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145B3" w14:textId="77777777"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14:paraId="3B3BCDD4" w14:textId="77777777" w:rsidR="00A50007" w:rsidRPr="0008176F" w:rsidRDefault="0008176F" w:rsidP="0008176F">
          <w:pPr>
            <w:pStyle w:val="NoSpacing"/>
            <w:jc w:val="center"/>
            <w:rPr>
              <w:caps/>
            </w:rPr>
          </w:pPr>
          <w:r w:rsidRPr="0008176F">
            <w:rPr>
              <w:caps/>
            </w:rPr>
            <w:t>University of Oklahoma</w:t>
          </w:r>
        </w:p>
        <w:p w14:paraId="005403C7" w14:textId="77777777" w:rsidR="0008176F" w:rsidRPr="0008176F" w:rsidRDefault="0008176F" w:rsidP="0008176F">
          <w:pPr>
            <w:pStyle w:val="NoSpacing"/>
            <w:jc w:val="center"/>
            <w:rPr>
              <w:caps/>
            </w:rPr>
          </w:pPr>
        </w:p>
        <w:p w14:paraId="3221A0E4" w14:textId="77777777" w:rsidR="0008176F" w:rsidRPr="0008176F" w:rsidRDefault="0008176F" w:rsidP="0008176F">
          <w:pPr>
            <w:pStyle w:val="NoSpacing"/>
            <w:jc w:val="center"/>
            <w:rPr>
              <w:caps/>
            </w:rPr>
          </w:pPr>
          <w:r w:rsidRPr="0008176F">
            <w:rPr>
              <w:caps/>
            </w:rPr>
            <w:t>Graduate College</w:t>
          </w:r>
        </w:p>
      </w:sdtContent>
    </w:sdt>
    <w:p w14:paraId="4F261C20" w14:textId="77777777" w:rsidR="0008176F" w:rsidRPr="0008176F" w:rsidRDefault="0008176F" w:rsidP="0008176F">
      <w:pPr>
        <w:pStyle w:val="NoSpacing"/>
        <w:jc w:val="center"/>
        <w:rPr>
          <w:caps/>
        </w:rPr>
      </w:pPr>
    </w:p>
    <w:p w14:paraId="0411E2ED" w14:textId="77777777" w:rsidR="0008176F" w:rsidRPr="0008176F" w:rsidRDefault="0008176F" w:rsidP="0008176F">
      <w:pPr>
        <w:pStyle w:val="NoSpacing"/>
        <w:jc w:val="center"/>
        <w:rPr>
          <w:caps/>
        </w:rPr>
      </w:pPr>
    </w:p>
    <w:p w14:paraId="3D3B55C5" w14:textId="77777777" w:rsidR="0008176F" w:rsidRPr="0008176F" w:rsidRDefault="0008176F" w:rsidP="0008176F">
      <w:pPr>
        <w:pStyle w:val="NoSpacing"/>
        <w:jc w:val="center"/>
        <w:rPr>
          <w:caps/>
        </w:rPr>
      </w:pPr>
    </w:p>
    <w:p w14:paraId="28563ED5" w14:textId="77777777" w:rsidR="0008176F" w:rsidRPr="0008176F" w:rsidRDefault="0008176F" w:rsidP="0008176F">
      <w:pPr>
        <w:pStyle w:val="NoSpacing"/>
        <w:jc w:val="center"/>
        <w:rPr>
          <w:caps/>
        </w:rPr>
      </w:pPr>
    </w:p>
    <w:p w14:paraId="0FB54A2C" w14:textId="77777777" w:rsidR="0008176F" w:rsidRPr="0008176F" w:rsidRDefault="0008176F" w:rsidP="0008176F">
      <w:pPr>
        <w:pStyle w:val="NoSpacing"/>
        <w:jc w:val="center"/>
        <w:rPr>
          <w:caps/>
        </w:rPr>
      </w:pPr>
    </w:p>
    <w:p w14:paraId="38EB36D4" w14:textId="77777777" w:rsidR="0008176F" w:rsidRPr="0008176F" w:rsidRDefault="0008176F" w:rsidP="0008176F">
      <w:pPr>
        <w:pStyle w:val="NoSpacing"/>
        <w:jc w:val="center"/>
        <w:rPr>
          <w:caps/>
        </w:rPr>
      </w:pPr>
    </w:p>
    <w:p w14:paraId="32A32960"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387710DB" w14:textId="15389F17" w:rsidR="0008176F" w:rsidRPr="0008176F" w:rsidRDefault="00BA06FE" w:rsidP="0008176F">
          <w:pPr>
            <w:pStyle w:val="NoSpacing"/>
            <w:spacing w:line="480" w:lineRule="auto"/>
            <w:jc w:val="center"/>
            <w:rPr>
              <w:caps/>
            </w:rPr>
          </w:pPr>
          <w:r>
            <w:rPr>
              <w:caps/>
            </w:rPr>
            <w:t>Using Satellite observations to understand and pr</w:t>
          </w:r>
          <w:r w:rsidR="00124E44">
            <w:rPr>
              <w:caps/>
            </w:rPr>
            <w:t>oject</w:t>
          </w:r>
          <w:r w:rsidR="0086609D">
            <w:rPr>
              <w:caps/>
            </w:rPr>
            <w:t xml:space="preserve"> THE</w:t>
          </w:r>
          <w:r w:rsidR="00330191">
            <w:rPr>
              <w:caps/>
            </w:rPr>
            <w:t xml:space="preserve"> </w:t>
          </w:r>
          <w:r w:rsidR="00124E44">
            <w:rPr>
              <w:caps/>
            </w:rPr>
            <w:t xml:space="preserve">urban expansion </w:t>
          </w:r>
          <w:r w:rsidR="0086609D">
            <w:rPr>
              <w:caps/>
            </w:rPr>
            <w:t xml:space="preserve">DYNAMICS </w:t>
          </w:r>
          <w:r w:rsidR="00124E44">
            <w:rPr>
              <w:caps/>
            </w:rPr>
            <w:t>of the west Africa urban system</w:t>
          </w:r>
        </w:p>
      </w:sdtContent>
    </w:sdt>
    <w:p w14:paraId="4ACE7840" w14:textId="77777777" w:rsidR="0008176F" w:rsidRPr="0008176F" w:rsidRDefault="0008176F" w:rsidP="0008176F">
      <w:pPr>
        <w:pStyle w:val="NoSpacing"/>
        <w:jc w:val="center"/>
        <w:rPr>
          <w:caps/>
        </w:rPr>
      </w:pPr>
    </w:p>
    <w:p w14:paraId="6DE80F28" w14:textId="77777777" w:rsidR="0008176F" w:rsidRPr="0008176F" w:rsidRDefault="0008176F" w:rsidP="0008176F">
      <w:pPr>
        <w:pStyle w:val="NoSpacing"/>
        <w:jc w:val="center"/>
        <w:rPr>
          <w:caps/>
        </w:rPr>
      </w:pPr>
    </w:p>
    <w:p w14:paraId="7A9A5E8C" w14:textId="77777777" w:rsidR="0008176F" w:rsidRPr="0008176F" w:rsidRDefault="0008176F" w:rsidP="0008176F">
      <w:pPr>
        <w:pStyle w:val="NoSpacing"/>
        <w:jc w:val="center"/>
        <w:rPr>
          <w:caps/>
        </w:rPr>
      </w:pPr>
    </w:p>
    <w:p w14:paraId="0F2A2C28" w14:textId="77777777" w:rsidR="0008176F" w:rsidRPr="0008176F" w:rsidRDefault="0008176F" w:rsidP="0008176F">
      <w:pPr>
        <w:pStyle w:val="NoSpacing"/>
        <w:jc w:val="center"/>
        <w:rPr>
          <w:caps/>
        </w:rPr>
      </w:pPr>
    </w:p>
    <w:p w14:paraId="5FECA16B" w14:textId="77777777" w:rsidR="0008176F" w:rsidRPr="0008176F" w:rsidRDefault="0008176F" w:rsidP="0008176F">
      <w:pPr>
        <w:pStyle w:val="NoSpacing"/>
        <w:jc w:val="center"/>
        <w:rPr>
          <w:caps/>
        </w:rPr>
      </w:pPr>
    </w:p>
    <w:p w14:paraId="13F96A21" w14:textId="77777777" w:rsidR="0008176F" w:rsidRPr="0008176F" w:rsidRDefault="0008176F" w:rsidP="0008176F">
      <w:pPr>
        <w:pStyle w:val="NoSpacing"/>
        <w:jc w:val="center"/>
        <w:rPr>
          <w:caps/>
        </w:rPr>
      </w:pPr>
    </w:p>
    <w:p w14:paraId="626928D0" w14:textId="7D43C40D" w:rsidR="0008176F" w:rsidRPr="0008176F" w:rsidRDefault="0000000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442FE">
            <w:rPr>
              <w:caps/>
            </w:rPr>
            <w:t>Dissertation</w:t>
          </w:r>
        </w:sdtContent>
      </w:sdt>
    </w:p>
    <w:p w14:paraId="774F8F92"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243D657" w14:textId="77777777" w:rsidR="0008176F" w:rsidRPr="0008176F" w:rsidRDefault="0008176F" w:rsidP="0008176F">
          <w:pPr>
            <w:pStyle w:val="NoSpacing"/>
            <w:jc w:val="center"/>
            <w:rPr>
              <w:caps/>
            </w:rPr>
          </w:pPr>
          <w:r w:rsidRPr="0008176F">
            <w:rPr>
              <w:caps/>
            </w:rPr>
            <w:t>submitted to the Graduate Faculty</w:t>
          </w:r>
        </w:p>
        <w:p w14:paraId="3F829CA6" w14:textId="77777777" w:rsidR="0008176F" w:rsidRDefault="0008176F" w:rsidP="0008176F">
          <w:pPr>
            <w:pStyle w:val="NoSpacing"/>
            <w:jc w:val="center"/>
          </w:pPr>
        </w:p>
        <w:p w14:paraId="10C06C5E" w14:textId="77777777" w:rsidR="0008176F" w:rsidRDefault="0008176F" w:rsidP="0008176F">
          <w:pPr>
            <w:pStyle w:val="NoSpacing"/>
            <w:jc w:val="center"/>
          </w:pPr>
          <w:r>
            <w:t>in partial fulfillment of the requirements for the</w:t>
          </w:r>
        </w:p>
        <w:p w14:paraId="410A0061" w14:textId="77777777" w:rsidR="0008176F" w:rsidRDefault="0008176F" w:rsidP="0008176F">
          <w:pPr>
            <w:pStyle w:val="NoSpacing"/>
            <w:jc w:val="center"/>
          </w:pPr>
        </w:p>
        <w:p w14:paraId="37BD65DA" w14:textId="77777777" w:rsidR="0008176F" w:rsidRDefault="0008176F" w:rsidP="0008176F">
          <w:pPr>
            <w:pStyle w:val="NoSpacing"/>
            <w:jc w:val="center"/>
          </w:pPr>
          <w:r>
            <w:t>Degree of</w:t>
          </w:r>
        </w:p>
      </w:sdtContent>
    </w:sdt>
    <w:p w14:paraId="77F92326"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2BC66988" w14:textId="4234694B" w:rsidR="00746E16" w:rsidRDefault="000442FE" w:rsidP="00746E16">
          <w:pPr>
            <w:pStyle w:val="NoSpacing"/>
            <w:spacing w:line="480" w:lineRule="auto"/>
            <w:jc w:val="center"/>
            <w:rPr>
              <w:caps/>
            </w:rPr>
          </w:pPr>
          <w:r>
            <w:rPr>
              <w:caps/>
            </w:rPr>
            <w:t>Doctor of Philosophy</w:t>
          </w:r>
        </w:p>
      </w:sdtContent>
    </w:sdt>
    <w:p w14:paraId="75CB62A4" w14:textId="77777777" w:rsidR="00730F0A" w:rsidRDefault="00730F0A" w:rsidP="0008176F">
      <w:pPr>
        <w:pStyle w:val="NoSpacing"/>
        <w:jc w:val="center"/>
      </w:pPr>
    </w:p>
    <w:p w14:paraId="16941E6C" w14:textId="77777777" w:rsidR="00730F0A" w:rsidRDefault="00730F0A" w:rsidP="0008176F">
      <w:pPr>
        <w:pStyle w:val="NoSpacing"/>
        <w:jc w:val="center"/>
      </w:pPr>
    </w:p>
    <w:p w14:paraId="4B5FDDFD" w14:textId="77777777" w:rsidR="00730F0A" w:rsidRDefault="00730F0A" w:rsidP="0008176F">
      <w:pPr>
        <w:pStyle w:val="NoSpacing"/>
        <w:jc w:val="center"/>
      </w:pPr>
    </w:p>
    <w:p w14:paraId="37D41B10" w14:textId="77777777" w:rsidR="00730F0A" w:rsidRDefault="00730F0A" w:rsidP="0008176F">
      <w:pPr>
        <w:pStyle w:val="NoSpacing"/>
        <w:jc w:val="center"/>
      </w:pPr>
    </w:p>
    <w:p w14:paraId="5F1EFAB8" w14:textId="77777777" w:rsidR="00730F0A" w:rsidRDefault="00730F0A" w:rsidP="0008176F">
      <w:pPr>
        <w:pStyle w:val="NoSpacing"/>
        <w:jc w:val="center"/>
      </w:pPr>
    </w:p>
    <w:p w14:paraId="428550BE" w14:textId="77777777" w:rsidR="00730F0A" w:rsidRDefault="00730F0A" w:rsidP="0008176F">
      <w:pPr>
        <w:pStyle w:val="NoSpacing"/>
        <w:jc w:val="center"/>
      </w:pPr>
    </w:p>
    <w:p w14:paraId="0F775215" w14:textId="77777777" w:rsidR="00730F0A" w:rsidRDefault="00730F0A" w:rsidP="0008176F">
      <w:pPr>
        <w:pStyle w:val="NoSpacing"/>
        <w:jc w:val="center"/>
      </w:pPr>
    </w:p>
    <w:p w14:paraId="6F94A6EC" w14:textId="77777777" w:rsidR="00730F0A" w:rsidRDefault="00730F0A" w:rsidP="0008176F">
      <w:pPr>
        <w:pStyle w:val="NoSpacing"/>
        <w:jc w:val="center"/>
      </w:pPr>
    </w:p>
    <w:p w14:paraId="34D4ADE3" w14:textId="77777777" w:rsidR="00730F0A" w:rsidRDefault="00730F0A" w:rsidP="0008176F">
      <w:pPr>
        <w:pStyle w:val="NoSpacing"/>
        <w:jc w:val="center"/>
      </w:pPr>
    </w:p>
    <w:p w14:paraId="5E1FA492" w14:textId="77777777" w:rsidR="00730F0A" w:rsidRDefault="00730F0A" w:rsidP="0008176F">
      <w:pPr>
        <w:pStyle w:val="NoSpacing"/>
        <w:jc w:val="center"/>
      </w:pPr>
      <w:r>
        <w:t>By</w:t>
      </w:r>
    </w:p>
    <w:p w14:paraId="7EF95D56"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3F7EA673" w14:textId="08211D34" w:rsidR="00746E16" w:rsidRDefault="00F6453E" w:rsidP="00746E16">
          <w:pPr>
            <w:pStyle w:val="NoSpacing"/>
            <w:jc w:val="center"/>
            <w:rPr>
              <w:caps/>
            </w:rPr>
          </w:pPr>
          <w:r>
            <w:rPr>
              <w:caps/>
            </w:rPr>
            <w:t>ANDREWS KORAH</w:t>
          </w:r>
        </w:p>
      </w:sdtContent>
    </w:sdt>
    <w:sdt>
      <w:sdtPr>
        <w:id w:val="30091838"/>
        <w:lock w:val="contentLocked"/>
        <w:placeholder>
          <w:docPart w:val="A81F602006EA4C16A9F3206BB0D96450"/>
        </w:placeholder>
        <w:group/>
      </w:sdtPr>
      <w:sdtContent>
        <w:p w14:paraId="78C46D8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22A9E500" w14:textId="70C6FDDD" w:rsidR="00730F0A" w:rsidRDefault="00F6453E" w:rsidP="00730F0A">
          <w:pPr>
            <w:pStyle w:val="NoSpacing"/>
            <w:jc w:val="center"/>
          </w:pPr>
          <w:r>
            <w:t>2024</w:t>
          </w:r>
        </w:p>
      </w:sdtContent>
    </w:sdt>
    <w:p w14:paraId="6AC303A5" w14:textId="77777777" w:rsidR="00730F0A" w:rsidRDefault="00730F0A" w:rsidP="00730F0A">
      <w:pPr>
        <w:pStyle w:val="NoSpacing"/>
        <w:jc w:val="center"/>
      </w:pPr>
      <w:r>
        <w:br w:type="page"/>
      </w:r>
    </w:p>
    <w:p w14:paraId="130B5656" w14:textId="77777777" w:rsidR="00F93475" w:rsidRDefault="00F93475" w:rsidP="00730F0A">
      <w:pPr>
        <w:pStyle w:val="NoSpacing"/>
        <w:jc w:val="center"/>
      </w:pPr>
    </w:p>
    <w:p w14:paraId="34FBE5CD" w14:textId="77777777" w:rsidR="00730F0A" w:rsidRDefault="00730F0A" w:rsidP="00730F0A">
      <w:pPr>
        <w:pStyle w:val="NoSpacing"/>
        <w:jc w:val="center"/>
      </w:pPr>
    </w:p>
    <w:p w14:paraId="3EABCB08"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5F98B86A" w14:textId="1482CB68" w:rsidR="00730F0A" w:rsidRPr="00730F0A" w:rsidRDefault="006976B9" w:rsidP="00730F0A">
          <w:pPr>
            <w:pStyle w:val="NoSpacing"/>
            <w:jc w:val="center"/>
            <w:rPr>
              <w:caps/>
            </w:rPr>
          </w:pPr>
          <w:r>
            <w:rPr>
              <w:caps/>
            </w:rPr>
            <w:t xml:space="preserve">USING SATELLITE OBSERVATIONS TO UNDERSTAND AND PROJECT THE </w:t>
          </w:r>
          <w:r w:rsidR="00B13807">
            <w:rPr>
              <w:caps/>
            </w:rPr>
            <w:t xml:space="preserve">URBAN </w:t>
          </w:r>
          <w:r>
            <w:rPr>
              <w:caps/>
            </w:rPr>
            <w:t>EXPANSION DYNAMICS OF THE WEST AFRICA URBAN SYSTEM</w:t>
          </w:r>
        </w:p>
      </w:sdtContent>
    </w:sdt>
    <w:p w14:paraId="00E7916E" w14:textId="77777777" w:rsidR="00730F0A" w:rsidRPr="00730F0A" w:rsidRDefault="00730F0A" w:rsidP="00730F0A">
      <w:pPr>
        <w:pStyle w:val="NoSpacing"/>
        <w:jc w:val="center"/>
        <w:rPr>
          <w:caps/>
        </w:rPr>
      </w:pPr>
    </w:p>
    <w:p w14:paraId="4EC2D10C" w14:textId="77777777" w:rsidR="00730F0A" w:rsidRDefault="00730F0A" w:rsidP="00730F0A">
      <w:pPr>
        <w:pStyle w:val="NoSpacing"/>
        <w:jc w:val="center"/>
        <w:rPr>
          <w:caps/>
        </w:rPr>
      </w:pPr>
    </w:p>
    <w:p w14:paraId="1F3FBCA8" w14:textId="77777777" w:rsidR="00FF6C84" w:rsidRDefault="00FF6C84" w:rsidP="00730F0A">
      <w:pPr>
        <w:pStyle w:val="NoSpacing"/>
        <w:jc w:val="center"/>
        <w:rPr>
          <w:caps/>
        </w:rPr>
      </w:pPr>
    </w:p>
    <w:p w14:paraId="736EF815" w14:textId="77777777" w:rsidR="00FF6C84" w:rsidRPr="00730F0A" w:rsidRDefault="00FF6C84" w:rsidP="00730F0A">
      <w:pPr>
        <w:pStyle w:val="NoSpacing"/>
        <w:jc w:val="center"/>
        <w:rPr>
          <w:caps/>
        </w:rPr>
      </w:pPr>
    </w:p>
    <w:p w14:paraId="22DA9A05" w14:textId="5AED7C5F" w:rsidR="00730F0A" w:rsidRPr="00730F0A" w:rsidRDefault="0000000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217CC">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37537CE5" w14:textId="5BB3A1E8" w:rsidR="00746E16" w:rsidRDefault="00E90FE9" w:rsidP="00746E16">
          <w:pPr>
            <w:pStyle w:val="NoSpacing"/>
            <w:jc w:val="center"/>
            <w:rPr>
              <w:caps/>
            </w:rPr>
          </w:pPr>
          <w:r>
            <w:rPr>
              <w:caps/>
            </w:rPr>
            <w:t>Department of Geography and Environmental Sustainability</w:t>
          </w:r>
        </w:p>
      </w:sdtContent>
    </w:sdt>
    <w:p w14:paraId="18EB372F" w14:textId="77777777" w:rsidR="00730F0A" w:rsidRPr="00730F0A" w:rsidRDefault="00730F0A" w:rsidP="00730F0A">
      <w:pPr>
        <w:pStyle w:val="NoSpacing"/>
        <w:jc w:val="center"/>
        <w:rPr>
          <w:caps/>
        </w:rPr>
      </w:pPr>
    </w:p>
    <w:p w14:paraId="12B0BF53" w14:textId="77777777" w:rsidR="00730F0A" w:rsidRPr="00730F0A" w:rsidRDefault="00730F0A" w:rsidP="00730F0A">
      <w:pPr>
        <w:pStyle w:val="NoSpacing"/>
        <w:jc w:val="center"/>
        <w:rPr>
          <w:caps/>
        </w:rPr>
      </w:pPr>
    </w:p>
    <w:p w14:paraId="21A87DF0" w14:textId="77777777" w:rsidR="00730F0A" w:rsidRPr="00730F0A" w:rsidRDefault="00730F0A" w:rsidP="00730F0A">
      <w:pPr>
        <w:pStyle w:val="NoSpacing"/>
        <w:jc w:val="center"/>
        <w:rPr>
          <w:caps/>
        </w:rPr>
      </w:pPr>
    </w:p>
    <w:p w14:paraId="57F42F29" w14:textId="77777777" w:rsidR="00730F0A" w:rsidRDefault="00730F0A" w:rsidP="00730F0A">
      <w:pPr>
        <w:pStyle w:val="NoSpacing"/>
        <w:jc w:val="center"/>
        <w:rPr>
          <w:caps/>
        </w:rPr>
      </w:pPr>
    </w:p>
    <w:p w14:paraId="4DC222F7" w14:textId="77777777" w:rsidR="00730F0A" w:rsidRPr="00730F0A" w:rsidRDefault="00730F0A" w:rsidP="00730F0A">
      <w:pPr>
        <w:pStyle w:val="NoSpacing"/>
        <w:jc w:val="center"/>
        <w:rPr>
          <w:caps/>
        </w:rPr>
      </w:pPr>
    </w:p>
    <w:p w14:paraId="2BC44D3A" w14:textId="77777777" w:rsidR="00730F0A" w:rsidRPr="00730F0A" w:rsidRDefault="00730F0A" w:rsidP="00730F0A">
      <w:pPr>
        <w:pStyle w:val="NoSpacing"/>
        <w:jc w:val="center"/>
        <w:rPr>
          <w:caps/>
        </w:rPr>
      </w:pPr>
    </w:p>
    <w:p w14:paraId="24D36856" w14:textId="77777777" w:rsidR="00730F0A" w:rsidRPr="00730F0A" w:rsidRDefault="00730F0A" w:rsidP="00730F0A">
      <w:pPr>
        <w:pStyle w:val="NoSpacing"/>
        <w:jc w:val="center"/>
        <w:rPr>
          <w:caps/>
        </w:rPr>
      </w:pPr>
    </w:p>
    <w:p w14:paraId="5D5682E8" w14:textId="77777777" w:rsidR="00730F0A" w:rsidRPr="00730F0A" w:rsidRDefault="00730F0A" w:rsidP="00730F0A">
      <w:pPr>
        <w:pStyle w:val="NoSpacing"/>
        <w:jc w:val="center"/>
        <w:rPr>
          <w:caps/>
        </w:rPr>
      </w:pPr>
    </w:p>
    <w:p w14:paraId="34B48C89" w14:textId="7F5182C4" w:rsidR="00730F0A" w:rsidRPr="0061081C" w:rsidRDefault="00730F0A" w:rsidP="00730F0A">
      <w:pPr>
        <w:pStyle w:val="NoSpacing"/>
        <w:jc w:val="center"/>
        <w:rPr>
          <w:caps/>
        </w:rPr>
      </w:pPr>
      <w:r w:rsidRPr="00730F0A">
        <w:rPr>
          <w:caps/>
        </w:rPr>
        <w:t>By</w:t>
      </w:r>
      <w:r w:rsidR="006D0CF2">
        <w:rPr>
          <w:caps/>
        </w:rPr>
        <w:t xml:space="preserve"> the commi</w:t>
      </w:r>
      <w:r w:rsidR="0068713E">
        <w:rPr>
          <w:caps/>
        </w:rPr>
        <w:t>ttee consisting of</w:t>
      </w:r>
    </w:p>
    <w:p w14:paraId="0D802722" w14:textId="4170D37A" w:rsidR="00730F0A" w:rsidRDefault="00730F0A" w:rsidP="006D2DAC">
      <w:pPr>
        <w:pStyle w:val="NoSpacing"/>
      </w:pPr>
    </w:p>
    <w:p w14:paraId="086A0225" w14:textId="77777777" w:rsidR="00730F0A" w:rsidRDefault="00730F0A" w:rsidP="00730F0A">
      <w:pPr>
        <w:pStyle w:val="NoSpacing"/>
        <w:jc w:val="center"/>
      </w:pPr>
    </w:p>
    <w:p w14:paraId="7A99DD50" w14:textId="77777777" w:rsidR="00C74FC8" w:rsidRDefault="00C74FC8" w:rsidP="00730F0A">
      <w:pPr>
        <w:pStyle w:val="NoSpacing"/>
        <w:jc w:val="center"/>
      </w:pPr>
    </w:p>
    <w:p w14:paraId="66AEEB37" w14:textId="77777777" w:rsidR="00FF6C84" w:rsidRDefault="00FF6C84" w:rsidP="00730F0A">
      <w:pPr>
        <w:pStyle w:val="NoSpacing"/>
        <w:jc w:val="center"/>
      </w:pPr>
    </w:p>
    <w:p w14:paraId="14E4BDAF" w14:textId="77777777" w:rsidR="00FF6C84" w:rsidRDefault="00FF6C84" w:rsidP="00730F0A">
      <w:pPr>
        <w:pStyle w:val="NoSpacing"/>
        <w:jc w:val="center"/>
      </w:pPr>
    </w:p>
    <w:p w14:paraId="65E10128" w14:textId="77777777" w:rsidR="00730F0A" w:rsidRPr="006B4721" w:rsidRDefault="00730F0A" w:rsidP="00730F0A">
      <w:pPr>
        <w:pStyle w:val="NoSpacing"/>
        <w:jc w:val="right"/>
      </w:pPr>
      <w:r>
        <w:tab/>
      </w:r>
      <w:r>
        <w:tab/>
      </w:r>
      <w:r>
        <w:tab/>
      </w:r>
      <w:r>
        <w:tab/>
      </w:r>
    </w:p>
    <w:p w14:paraId="03F652D2" w14:textId="591FBEBB" w:rsidR="00730F0A" w:rsidRDefault="0000000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3E5607">
            <w:t>Michael Wimberly</w:t>
          </w:r>
        </w:sdtContent>
      </w:sdt>
      <w:r w:rsidR="00730F0A">
        <w:t>, Chair</w:t>
      </w:r>
    </w:p>
    <w:p w14:paraId="1BD3FC5C" w14:textId="77777777" w:rsidR="00730F0A" w:rsidRDefault="00730F0A" w:rsidP="00730F0A">
      <w:pPr>
        <w:pStyle w:val="NoSpacing"/>
        <w:jc w:val="right"/>
      </w:pPr>
    </w:p>
    <w:p w14:paraId="2E85267F" w14:textId="77777777" w:rsidR="00730F0A" w:rsidRDefault="00730F0A" w:rsidP="00730F0A">
      <w:pPr>
        <w:pStyle w:val="NoSpacing"/>
        <w:jc w:val="right"/>
      </w:pPr>
    </w:p>
    <w:p w14:paraId="5C19BA45" w14:textId="0220A05F" w:rsidR="00730F0A" w:rsidRDefault="0000000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3E5607">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F21797">
            <w:t>John</w:t>
          </w:r>
          <w:r w:rsidR="003E5607">
            <w:t xml:space="preserve"> </w:t>
          </w:r>
          <w:r w:rsidR="00F21797">
            <w:t>Harris</w:t>
          </w:r>
          <w:r w:rsidR="00CB7E78">
            <w:t xml:space="preserve">, </w:t>
          </w:r>
          <w:r w:rsidR="00F21797">
            <w:t>Graduate College Representative</w:t>
          </w:r>
        </w:sdtContent>
      </w:sdt>
    </w:p>
    <w:p w14:paraId="620BD82F" w14:textId="77777777" w:rsidR="00730F0A" w:rsidRDefault="00730F0A" w:rsidP="00730F0A">
      <w:pPr>
        <w:pStyle w:val="NoSpacing"/>
        <w:jc w:val="right"/>
      </w:pPr>
    </w:p>
    <w:p w14:paraId="7B716B39" w14:textId="77777777" w:rsidR="00730F0A" w:rsidRDefault="00730F0A" w:rsidP="00730F0A">
      <w:pPr>
        <w:pStyle w:val="NoSpacing"/>
        <w:jc w:val="right"/>
      </w:pPr>
    </w:p>
    <w:p w14:paraId="492B55FA" w14:textId="21865018" w:rsidR="00730F0A" w:rsidRDefault="0000000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3E5607">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8506D7">
            <w:t>Jennifer Koch</w:t>
          </w:r>
        </w:sdtContent>
      </w:sdt>
    </w:p>
    <w:p w14:paraId="1E8E43CB" w14:textId="77777777" w:rsidR="00730F0A" w:rsidRDefault="00730F0A" w:rsidP="00730F0A">
      <w:pPr>
        <w:pStyle w:val="NoSpacing"/>
        <w:jc w:val="right"/>
      </w:pPr>
    </w:p>
    <w:p w14:paraId="52CB92C5" w14:textId="77777777" w:rsidR="00730F0A" w:rsidRPr="006B4721" w:rsidRDefault="00730F0A" w:rsidP="002D4FFE">
      <w:pPr>
        <w:pStyle w:val="NoSpacing"/>
      </w:pPr>
    </w:p>
    <w:p w14:paraId="66CA691B" w14:textId="7970C34C" w:rsidR="00FF0F0F" w:rsidRDefault="0000000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3E5607">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8506D7">
            <w:t>Laurel</w:t>
          </w:r>
          <w:r w:rsidR="003E5607">
            <w:t xml:space="preserve"> </w:t>
          </w:r>
          <w:r w:rsidR="008506D7">
            <w:t>Smith</w:t>
          </w:r>
        </w:sdtContent>
      </w:sdt>
    </w:p>
    <w:p w14:paraId="7E2F0CF8" w14:textId="77777777" w:rsidR="00FF0F0F" w:rsidRDefault="00FF0F0F" w:rsidP="00FF0F0F">
      <w:pPr>
        <w:pStyle w:val="NoSpacing"/>
        <w:jc w:val="right"/>
      </w:pPr>
    </w:p>
    <w:p w14:paraId="6A8A1FE9" w14:textId="77777777" w:rsidR="00FF0F0F" w:rsidRPr="006B4721" w:rsidRDefault="00FF0F0F" w:rsidP="00FF0F0F">
      <w:pPr>
        <w:pStyle w:val="NoSpacing"/>
        <w:jc w:val="right"/>
      </w:pPr>
    </w:p>
    <w:p w14:paraId="2E0149E6" w14:textId="07984D23" w:rsidR="00FF0F0F" w:rsidRDefault="00000000" w:rsidP="00FF0F0F">
      <w:pPr>
        <w:pStyle w:val="NoSpacing"/>
        <w:jc w:val="right"/>
      </w:pPr>
      <w:sdt>
        <w:sdtPr>
          <w:alias w:val="Click to enter 5th member name"/>
          <w:tag w:val="5th member"/>
          <w:id w:val="11707804"/>
          <w:lock w:val="sdtLocked"/>
          <w:placeholder>
            <w:docPart w:val="7EC8D7C93170496D8C44606F111D3434"/>
          </w:placeholder>
          <w:showingPlcHdr/>
        </w:sdtPr>
        <w:sdtContent>
          <w:r w:rsidR="0029267B" w:rsidRPr="008555B2">
            <w:rPr>
              <w:rStyle w:val="PlaceholderText"/>
              <w:rFonts w:eastAsia="Aptos"/>
              <w:color w:val="FFFFFF" w:themeColor="background1"/>
            </w:rPr>
            <w:t>Click here to enter text.</w:t>
          </w:r>
        </w:sdtContent>
      </w:sdt>
    </w:p>
    <w:p w14:paraId="027CB714" w14:textId="77777777" w:rsidR="00730F0A" w:rsidRDefault="00730F0A" w:rsidP="00730F0A">
      <w:pPr>
        <w:pStyle w:val="NoSpacing"/>
        <w:jc w:val="right"/>
      </w:pPr>
    </w:p>
    <w:p w14:paraId="0588286D" w14:textId="77777777" w:rsidR="00730F0A" w:rsidRDefault="00730F0A" w:rsidP="00730F0A">
      <w:pPr>
        <w:pStyle w:val="NoSpacing"/>
        <w:jc w:val="right"/>
      </w:pPr>
    </w:p>
    <w:p w14:paraId="53838CE1" w14:textId="77777777" w:rsidR="00730F0A" w:rsidRPr="006B4721" w:rsidRDefault="00730F0A" w:rsidP="00730F0A">
      <w:pPr>
        <w:pStyle w:val="NoSpacing"/>
        <w:jc w:val="right"/>
      </w:pPr>
    </w:p>
    <w:p w14:paraId="78C075CF" w14:textId="77777777" w:rsidR="00621F42" w:rsidRDefault="00730F0A" w:rsidP="00621F42">
      <w:pPr>
        <w:pStyle w:val="NoSpacing"/>
      </w:pPr>
      <w:r>
        <w:br w:type="page"/>
      </w:r>
    </w:p>
    <w:p w14:paraId="0A746E34" w14:textId="77777777" w:rsidR="00730F0A" w:rsidRDefault="00730F0A" w:rsidP="00730F0A">
      <w:pPr>
        <w:pStyle w:val="NoSpacing"/>
        <w:jc w:val="center"/>
      </w:pPr>
    </w:p>
    <w:p w14:paraId="2FB478DD" w14:textId="77777777" w:rsidR="00730F0A" w:rsidRDefault="00730F0A" w:rsidP="00730F0A">
      <w:pPr>
        <w:pStyle w:val="NoSpacing"/>
        <w:jc w:val="center"/>
      </w:pPr>
    </w:p>
    <w:p w14:paraId="398D8410" w14:textId="77777777" w:rsidR="00730F0A" w:rsidRDefault="00730F0A" w:rsidP="00730F0A">
      <w:pPr>
        <w:pStyle w:val="NoSpacing"/>
        <w:jc w:val="center"/>
      </w:pPr>
    </w:p>
    <w:p w14:paraId="0510221F" w14:textId="77777777" w:rsidR="00730F0A" w:rsidRDefault="00730F0A" w:rsidP="00730F0A">
      <w:pPr>
        <w:pStyle w:val="NoSpacing"/>
        <w:jc w:val="center"/>
      </w:pPr>
    </w:p>
    <w:p w14:paraId="56F9BD9A" w14:textId="77777777" w:rsidR="00730F0A" w:rsidRDefault="00730F0A" w:rsidP="00730F0A">
      <w:pPr>
        <w:pStyle w:val="NoSpacing"/>
        <w:jc w:val="center"/>
      </w:pPr>
    </w:p>
    <w:p w14:paraId="45EB9B94" w14:textId="77777777" w:rsidR="00730F0A" w:rsidRDefault="00730F0A" w:rsidP="00730F0A">
      <w:pPr>
        <w:pStyle w:val="NoSpacing"/>
        <w:jc w:val="center"/>
      </w:pPr>
    </w:p>
    <w:p w14:paraId="7ABC6669" w14:textId="77777777" w:rsidR="00730F0A" w:rsidRDefault="00730F0A" w:rsidP="00730F0A">
      <w:pPr>
        <w:pStyle w:val="NoSpacing"/>
        <w:jc w:val="center"/>
      </w:pPr>
    </w:p>
    <w:p w14:paraId="28B1CEB2" w14:textId="77777777" w:rsidR="00730F0A" w:rsidRDefault="00730F0A" w:rsidP="00730F0A">
      <w:pPr>
        <w:pStyle w:val="NoSpacing"/>
        <w:jc w:val="center"/>
      </w:pPr>
    </w:p>
    <w:p w14:paraId="48534294" w14:textId="77777777" w:rsidR="00730F0A" w:rsidRDefault="00730F0A" w:rsidP="00730F0A">
      <w:pPr>
        <w:pStyle w:val="NoSpacing"/>
        <w:jc w:val="center"/>
      </w:pPr>
    </w:p>
    <w:p w14:paraId="3D2DFF48" w14:textId="77777777" w:rsidR="00730F0A" w:rsidRDefault="00730F0A" w:rsidP="00730F0A">
      <w:pPr>
        <w:pStyle w:val="NoSpacing"/>
        <w:jc w:val="center"/>
      </w:pPr>
    </w:p>
    <w:p w14:paraId="28A74CFE" w14:textId="77777777" w:rsidR="00730F0A" w:rsidRDefault="00730F0A" w:rsidP="00730F0A">
      <w:pPr>
        <w:pStyle w:val="NoSpacing"/>
        <w:jc w:val="center"/>
      </w:pPr>
    </w:p>
    <w:p w14:paraId="35416BF7" w14:textId="77777777" w:rsidR="00730F0A" w:rsidRDefault="00730F0A" w:rsidP="00730F0A">
      <w:pPr>
        <w:pStyle w:val="NoSpacing"/>
        <w:jc w:val="center"/>
      </w:pPr>
    </w:p>
    <w:p w14:paraId="29D7A558" w14:textId="77777777" w:rsidR="00730F0A" w:rsidRDefault="00730F0A" w:rsidP="00730F0A">
      <w:pPr>
        <w:pStyle w:val="NoSpacing"/>
        <w:jc w:val="center"/>
      </w:pPr>
    </w:p>
    <w:p w14:paraId="50EEE6CD" w14:textId="77777777" w:rsidR="00730F0A" w:rsidRDefault="00730F0A" w:rsidP="00730F0A">
      <w:pPr>
        <w:pStyle w:val="NoSpacing"/>
        <w:jc w:val="center"/>
      </w:pPr>
    </w:p>
    <w:p w14:paraId="78192B66" w14:textId="77777777" w:rsidR="00730F0A" w:rsidRDefault="00730F0A" w:rsidP="00730F0A">
      <w:pPr>
        <w:pStyle w:val="NoSpacing"/>
        <w:jc w:val="center"/>
      </w:pPr>
    </w:p>
    <w:p w14:paraId="78A2DB97" w14:textId="77777777" w:rsidR="00730F0A" w:rsidRDefault="00730F0A" w:rsidP="00730F0A">
      <w:pPr>
        <w:pStyle w:val="NoSpacing"/>
        <w:jc w:val="center"/>
      </w:pPr>
    </w:p>
    <w:p w14:paraId="1ACF33A8" w14:textId="77777777" w:rsidR="00730F0A" w:rsidRDefault="00730F0A" w:rsidP="00730F0A">
      <w:pPr>
        <w:pStyle w:val="NoSpacing"/>
        <w:jc w:val="center"/>
      </w:pPr>
    </w:p>
    <w:p w14:paraId="19FD7AFE" w14:textId="77777777" w:rsidR="00730F0A" w:rsidRDefault="00730F0A" w:rsidP="00730F0A">
      <w:pPr>
        <w:pStyle w:val="NoSpacing"/>
        <w:jc w:val="center"/>
      </w:pPr>
    </w:p>
    <w:p w14:paraId="2C641646" w14:textId="77777777" w:rsidR="00621F42" w:rsidRDefault="00621F42" w:rsidP="00730F0A">
      <w:pPr>
        <w:pStyle w:val="NoSpacing"/>
        <w:jc w:val="center"/>
      </w:pPr>
    </w:p>
    <w:p w14:paraId="16B75785" w14:textId="77777777" w:rsidR="00621F42" w:rsidRDefault="00621F42" w:rsidP="00730F0A">
      <w:pPr>
        <w:pStyle w:val="NoSpacing"/>
        <w:jc w:val="center"/>
      </w:pPr>
    </w:p>
    <w:p w14:paraId="12A545DD" w14:textId="77777777" w:rsidR="00621F42" w:rsidRDefault="00621F42" w:rsidP="00730F0A">
      <w:pPr>
        <w:pStyle w:val="NoSpacing"/>
        <w:jc w:val="center"/>
      </w:pPr>
    </w:p>
    <w:p w14:paraId="6975D9C4" w14:textId="77777777" w:rsidR="00621F42" w:rsidRDefault="00621F42" w:rsidP="00730F0A">
      <w:pPr>
        <w:pStyle w:val="NoSpacing"/>
        <w:jc w:val="center"/>
      </w:pPr>
    </w:p>
    <w:p w14:paraId="69303407" w14:textId="77777777" w:rsidR="00621F42" w:rsidRDefault="00621F42" w:rsidP="00730F0A">
      <w:pPr>
        <w:pStyle w:val="NoSpacing"/>
        <w:jc w:val="center"/>
      </w:pPr>
    </w:p>
    <w:p w14:paraId="7948EC19" w14:textId="77777777" w:rsidR="00621F42" w:rsidRDefault="00621F42" w:rsidP="00730F0A">
      <w:pPr>
        <w:pStyle w:val="NoSpacing"/>
        <w:jc w:val="center"/>
      </w:pPr>
    </w:p>
    <w:p w14:paraId="7D966913" w14:textId="77777777" w:rsidR="00621F42" w:rsidRDefault="00621F42" w:rsidP="00730F0A">
      <w:pPr>
        <w:pStyle w:val="NoSpacing"/>
        <w:jc w:val="center"/>
      </w:pPr>
    </w:p>
    <w:p w14:paraId="0E49F09F" w14:textId="77777777" w:rsidR="00730F0A" w:rsidRDefault="00730F0A" w:rsidP="00730F0A">
      <w:pPr>
        <w:pStyle w:val="NoSpacing"/>
        <w:jc w:val="center"/>
      </w:pPr>
    </w:p>
    <w:p w14:paraId="45A0BAD6" w14:textId="77777777" w:rsidR="00730F0A" w:rsidRDefault="00730F0A" w:rsidP="00730F0A">
      <w:pPr>
        <w:pStyle w:val="NoSpacing"/>
        <w:jc w:val="center"/>
      </w:pPr>
    </w:p>
    <w:p w14:paraId="422C6AA0" w14:textId="77777777" w:rsidR="00730F0A" w:rsidRDefault="00730F0A" w:rsidP="00730F0A">
      <w:pPr>
        <w:pStyle w:val="NoSpacing"/>
        <w:jc w:val="center"/>
      </w:pPr>
    </w:p>
    <w:p w14:paraId="3D034F85" w14:textId="77777777" w:rsidR="00730F0A" w:rsidRDefault="00730F0A" w:rsidP="00730F0A">
      <w:pPr>
        <w:pStyle w:val="NoSpacing"/>
        <w:jc w:val="center"/>
      </w:pPr>
    </w:p>
    <w:p w14:paraId="430E8186" w14:textId="77777777" w:rsidR="00730F0A" w:rsidRDefault="00730F0A" w:rsidP="00730F0A">
      <w:pPr>
        <w:pStyle w:val="NoSpacing"/>
        <w:jc w:val="center"/>
      </w:pPr>
    </w:p>
    <w:p w14:paraId="1E8BD436" w14:textId="77777777" w:rsidR="00730F0A" w:rsidRDefault="00730F0A" w:rsidP="00730F0A">
      <w:pPr>
        <w:pStyle w:val="NoSpacing"/>
        <w:jc w:val="center"/>
      </w:pPr>
    </w:p>
    <w:p w14:paraId="7558EFFC" w14:textId="77777777" w:rsidR="00730F0A" w:rsidRDefault="00730F0A" w:rsidP="00621F42">
      <w:pPr>
        <w:pStyle w:val="NoSpacing"/>
      </w:pPr>
    </w:p>
    <w:p w14:paraId="6FFB849D" w14:textId="77777777" w:rsidR="00730F0A" w:rsidRDefault="00730F0A" w:rsidP="00730F0A">
      <w:pPr>
        <w:pStyle w:val="NoSpacing"/>
        <w:jc w:val="center"/>
      </w:pPr>
    </w:p>
    <w:p w14:paraId="1F1B74CC" w14:textId="77777777" w:rsidR="00730F0A" w:rsidRDefault="00730F0A" w:rsidP="00730F0A">
      <w:pPr>
        <w:pStyle w:val="NoSpacing"/>
        <w:jc w:val="center"/>
      </w:pPr>
    </w:p>
    <w:p w14:paraId="7B5C7007" w14:textId="77777777" w:rsidR="00621F42" w:rsidRDefault="00621F42" w:rsidP="00621F42">
      <w:pPr>
        <w:pStyle w:val="NoSpacing"/>
        <w:jc w:val="center"/>
      </w:pPr>
    </w:p>
    <w:p w14:paraId="2442A60B" w14:textId="77777777" w:rsidR="00621F42" w:rsidRDefault="00621F42" w:rsidP="00621F42">
      <w:pPr>
        <w:pStyle w:val="NoSpacing"/>
        <w:jc w:val="center"/>
      </w:pPr>
    </w:p>
    <w:p w14:paraId="2BE8C43F" w14:textId="77777777" w:rsidR="00621F42" w:rsidRDefault="00621F42" w:rsidP="00621F42">
      <w:pPr>
        <w:pStyle w:val="NoSpacing"/>
        <w:jc w:val="center"/>
      </w:pPr>
    </w:p>
    <w:p w14:paraId="1BBD6CF8" w14:textId="77777777" w:rsidR="00730F0A" w:rsidRDefault="00730F0A" w:rsidP="00730F0A">
      <w:pPr>
        <w:pStyle w:val="NoSpacing"/>
        <w:jc w:val="center"/>
      </w:pPr>
    </w:p>
    <w:p w14:paraId="4D0A35E4" w14:textId="77777777" w:rsidR="00730F0A" w:rsidRDefault="00730F0A" w:rsidP="00730F0A">
      <w:pPr>
        <w:pStyle w:val="NoSpacing"/>
        <w:jc w:val="center"/>
      </w:pPr>
    </w:p>
    <w:p w14:paraId="1BC256D4" w14:textId="77777777" w:rsidR="00730F0A" w:rsidRDefault="00730F0A" w:rsidP="00730F0A">
      <w:pPr>
        <w:pStyle w:val="NoSpacing"/>
        <w:jc w:val="center"/>
      </w:pPr>
    </w:p>
    <w:p w14:paraId="0989C52E" w14:textId="77777777" w:rsidR="00730F0A" w:rsidRDefault="00730F0A" w:rsidP="00730F0A">
      <w:pPr>
        <w:pStyle w:val="NoSpacing"/>
        <w:jc w:val="center"/>
      </w:pPr>
    </w:p>
    <w:p w14:paraId="055E381A" w14:textId="77777777" w:rsidR="00730F0A" w:rsidRDefault="00730F0A" w:rsidP="00730F0A">
      <w:pPr>
        <w:pStyle w:val="NoSpacing"/>
        <w:jc w:val="center"/>
      </w:pPr>
    </w:p>
    <w:p w14:paraId="0A9AEE61" w14:textId="77777777" w:rsidR="00730F0A" w:rsidRDefault="00730F0A" w:rsidP="00730F0A">
      <w:pPr>
        <w:pStyle w:val="NoSpacing"/>
        <w:jc w:val="center"/>
      </w:pPr>
    </w:p>
    <w:p w14:paraId="74B7A3CD" w14:textId="77777777" w:rsidR="00730F0A" w:rsidRDefault="00730F0A" w:rsidP="00730F0A">
      <w:pPr>
        <w:pStyle w:val="NoSpacing"/>
        <w:jc w:val="center"/>
      </w:pPr>
    </w:p>
    <w:p w14:paraId="4413E1E3" w14:textId="1C315305" w:rsidR="00730F0A" w:rsidRDefault="0000000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79672E">
            <w:rPr>
              <w:caps/>
            </w:rPr>
            <w:t>ANDREWS KORAH</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79672E">
            <w:t>2024</w:t>
          </w:r>
        </w:sdtContent>
      </w:sdt>
    </w:p>
    <w:p w14:paraId="74F9643F" w14:textId="5712FD31" w:rsidR="00E86244" w:rsidRDefault="00730F0A" w:rsidP="006A2C6D">
      <w:pPr>
        <w:pStyle w:val="NoSpacing"/>
        <w:jc w:val="center"/>
      </w:pPr>
      <w:r>
        <w:t>All Rights Reserved.</w:t>
      </w:r>
    </w:p>
    <w:p w14:paraId="71E838B1" w14:textId="0B170CCC" w:rsidR="008E1C26" w:rsidRDefault="008E1C26" w:rsidP="008E1C26">
      <w:pPr>
        <w:sectPr w:rsidR="008E1C26" w:rsidSect="00E83859">
          <w:pgSz w:w="12240" w:h="15840" w:code="1"/>
          <w:pgMar w:top="1440" w:right="1440" w:bottom="1440" w:left="1440" w:header="720" w:footer="720" w:gutter="0"/>
          <w:cols w:space="720"/>
          <w:docGrid w:linePitch="360"/>
        </w:sectPr>
      </w:pPr>
    </w:p>
    <w:p w14:paraId="74D3D68F" w14:textId="1286E4DF" w:rsidR="008E1C26" w:rsidRDefault="00715DE7" w:rsidP="002B23DE">
      <w:pPr>
        <w:pStyle w:val="Heading1"/>
      </w:pPr>
      <w:bookmarkStart w:id="0" w:name="_Toc172288690"/>
      <w:r>
        <w:lastRenderedPageBreak/>
        <w:t>Dedication</w:t>
      </w:r>
      <w:bookmarkEnd w:id="0"/>
    </w:p>
    <w:p w14:paraId="1493D46D" w14:textId="69AD92DA" w:rsidR="00715DE7" w:rsidRDefault="00715DE7" w:rsidP="00116434">
      <w:r>
        <w:t>I dedicate this dissertation research to my dad, Issahaku Yamusah, who passed away on December 3</w:t>
      </w:r>
      <w:r w:rsidRPr="0000523E">
        <w:rPr>
          <w:vertAlign w:val="superscript"/>
        </w:rPr>
        <w:t>rd</w:t>
      </w:r>
      <w:r>
        <w:t>, 2023.</w:t>
      </w:r>
    </w:p>
    <w:p w14:paraId="47FC732A" w14:textId="77777777" w:rsidR="00715DE7" w:rsidRDefault="00715DE7" w:rsidP="00715DE7">
      <w:pPr>
        <w:rPr>
          <w:lang w:bidi="ar-SA"/>
        </w:rPr>
      </w:pPr>
    </w:p>
    <w:p w14:paraId="441208A4" w14:textId="77777777" w:rsidR="00715DE7" w:rsidRDefault="00715DE7" w:rsidP="00715DE7">
      <w:pPr>
        <w:rPr>
          <w:lang w:bidi="ar-SA"/>
        </w:rPr>
      </w:pPr>
    </w:p>
    <w:p w14:paraId="69287B6A" w14:textId="77777777" w:rsidR="00715DE7" w:rsidRDefault="00715DE7" w:rsidP="00715DE7">
      <w:pPr>
        <w:rPr>
          <w:lang w:bidi="ar-SA"/>
        </w:rPr>
      </w:pPr>
    </w:p>
    <w:p w14:paraId="76B5A5B1" w14:textId="77777777" w:rsidR="00715DE7" w:rsidRDefault="00715DE7" w:rsidP="00715DE7">
      <w:pPr>
        <w:rPr>
          <w:lang w:bidi="ar-SA"/>
        </w:rPr>
      </w:pPr>
    </w:p>
    <w:p w14:paraId="3F5112E3" w14:textId="77777777" w:rsidR="00715DE7" w:rsidRDefault="00715DE7" w:rsidP="00715DE7">
      <w:pPr>
        <w:rPr>
          <w:lang w:bidi="ar-SA"/>
        </w:rPr>
      </w:pPr>
    </w:p>
    <w:p w14:paraId="6CF081EE" w14:textId="77777777" w:rsidR="00715DE7" w:rsidRDefault="00715DE7" w:rsidP="00715DE7">
      <w:pPr>
        <w:rPr>
          <w:lang w:bidi="ar-SA"/>
        </w:rPr>
      </w:pPr>
    </w:p>
    <w:p w14:paraId="0B563F9E" w14:textId="77777777" w:rsidR="00715DE7" w:rsidRDefault="00715DE7" w:rsidP="00715DE7">
      <w:pPr>
        <w:rPr>
          <w:lang w:bidi="ar-SA"/>
        </w:rPr>
      </w:pPr>
    </w:p>
    <w:p w14:paraId="0B0E679B" w14:textId="77777777" w:rsidR="006A2C6D" w:rsidRDefault="006A2C6D" w:rsidP="00715DE7">
      <w:pPr>
        <w:rPr>
          <w:lang w:bidi="ar-SA"/>
        </w:rPr>
      </w:pPr>
    </w:p>
    <w:p w14:paraId="740DDC37" w14:textId="77777777" w:rsidR="006A2C6D" w:rsidRDefault="006A2C6D" w:rsidP="00715DE7">
      <w:pPr>
        <w:rPr>
          <w:lang w:bidi="ar-SA"/>
        </w:rPr>
      </w:pPr>
    </w:p>
    <w:p w14:paraId="1880B110" w14:textId="77777777" w:rsidR="006A2C6D" w:rsidRDefault="006A2C6D" w:rsidP="00715DE7">
      <w:pPr>
        <w:rPr>
          <w:lang w:bidi="ar-SA"/>
        </w:rPr>
      </w:pPr>
    </w:p>
    <w:p w14:paraId="7B301FFE" w14:textId="00484CF6" w:rsidR="006A2C6D" w:rsidRDefault="006A2C6D">
      <w:pPr>
        <w:spacing w:line="240" w:lineRule="auto"/>
        <w:rPr>
          <w:lang w:bidi="ar-SA"/>
        </w:rPr>
      </w:pPr>
      <w:r>
        <w:rPr>
          <w:lang w:bidi="ar-SA"/>
        </w:rPr>
        <w:br w:type="page"/>
      </w:r>
    </w:p>
    <w:p w14:paraId="2B7AD2F5" w14:textId="73B13F86" w:rsidR="00715DE7" w:rsidRDefault="00715DE7" w:rsidP="00715DE7">
      <w:pPr>
        <w:pStyle w:val="Heading1"/>
      </w:pPr>
      <w:bookmarkStart w:id="1" w:name="_Toc172288691"/>
      <w:r>
        <w:lastRenderedPageBreak/>
        <w:t>Acknowledgments</w:t>
      </w:r>
      <w:bookmarkEnd w:id="1"/>
    </w:p>
    <w:p w14:paraId="25BA57E6" w14:textId="2F8D4720" w:rsidR="00922AB8" w:rsidRDefault="00B47F2B" w:rsidP="00570499">
      <w:pPr>
        <w:ind w:firstLine="720"/>
      </w:pPr>
      <w:r>
        <w:t>I would first</w:t>
      </w:r>
      <w:r w:rsidR="002C2516">
        <w:t xml:space="preserve"> </w:t>
      </w:r>
      <w:r w:rsidR="00D52619">
        <w:t xml:space="preserve">like </w:t>
      </w:r>
      <w:r w:rsidR="007921FA">
        <w:t>to thank</w:t>
      </w:r>
      <w:r>
        <w:t xml:space="preserve"> my advisor, D</w:t>
      </w:r>
      <w:r w:rsidR="00D72003">
        <w:t>r. Michael Wimberly</w:t>
      </w:r>
      <w:r w:rsidR="00BE034D">
        <w:t>. Sin</w:t>
      </w:r>
      <w:r w:rsidR="003100C7">
        <w:t xml:space="preserve">ce I started </w:t>
      </w:r>
      <w:r w:rsidR="001828C8">
        <w:t>the Ph</w:t>
      </w:r>
      <w:r w:rsidR="003F31D6">
        <w:t>.</w:t>
      </w:r>
      <w:r w:rsidR="001828C8">
        <w:t>D</w:t>
      </w:r>
      <w:r w:rsidR="003F31D6">
        <w:t>.</w:t>
      </w:r>
      <w:r w:rsidR="001828C8">
        <w:t xml:space="preserve"> program</w:t>
      </w:r>
      <w:r w:rsidR="003F31D6">
        <w:t xml:space="preserve"> in Fall 2020</w:t>
      </w:r>
      <w:r w:rsidR="001828C8">
        <w:t>, Mike</w:t>
      </w:r>
      <w:r w:rsidR="0070228D">
        <w:t xml:space="preserve"> </w:t>
      </w:r>
      <w:r w:rsidR="00904A13">
        <w:t>has</w:t>
      </w:r>
      <w:r w:rsidR="0070228D">
        <w:t xml:space="preserve"> </w:t>
      </w:r>
      <w:r w:rsidR="002073DB">
        <w:t xml:space="preserve">demonstrated </w:t>
      </w:r>
      <w:r w:rsidR="00921E82">
        <w:t>exceptional mentorship</w:t>
      </w:r>
      <w:r w:rsidR="00593B71">
        <w:t>, alway</w:t>
      </w:r>
      <w:r w:rsidR="00591EC4">
        <w:t xml:space="preserve">s </w:t>
      </w:r>
      <w:r w:rsidR="00921E82">
        <w:t>supported</w:t>
      </w:r>
      <w:r w:rsidR="00190D65">
        <w:t xml:space="preserve"> my ideas</w:t>
      </w:r>
      <w:r w:rsidR="00EA1EB1">
        <w:t>, and encouraged me to approach situations from diverse perspectives</w:t>
      </w:r>
      <w:r w:rsidR="00A02640">
        <w:t xml:space="preserve">. </w:t>
      </w:r>
      <w:r w:rsidR="00921E82">
        <w:t>I</w:t>
      </w:r>
      <w:r w:rsidR="00C60E2E">
        <w:t xml:space="preserve"> </w:t>
      </w:r>
      <w:r w:rsidR="00355E6E">
        <w:t xml:space="preserve">cannot thank Mike enough for </w:t>
      </w:r>
      <w:r w:rsidR="004D6152">
        <w:t>providing financial assistance to conferences</w:t>
      </w:r>
      <w:r w:rsidR="008F347F">
        <w:t xml:space="preserve"> and fieldwork</w:t>
      </w:r>
      <w:r w:rsidR="006F63FF">
        <w:t xml:space="preserve">, allowing me to </w:t>
      </w:r>
      <w:r w:rsidR="00F864BC">
        <w:t>build</w:t>
      </w:r>
      <w:r w:rsidR="00AC547B">
        <w:t xml:space="preserve"> connections with </w:t>
      </w:r>
      <w:r w:rsidR="00E62A98">
        <w:t>other research</w:t>
      </w:r>
      <w:r w:rsidR="00570499">
        <w:t>ers.</w:t>
      </w:r>
    </w:p>
    <w:p w14:paraId="60ED4E18" w14:textId="469217DD" w:rsidR="00E272EA" w:rsidRDefault="00570499" w:rsidP="00570499">
      <w:pPr>
        <w:ind w:firstLine="720"/>
      </w:pPr>
      <w:r>
        <w:t xml:space="preserve"> </w:t>
      </w:r>
      <w:r w:rsidR="00AF07D9">
        <w:t xml:space="preserve">I </w:t>
      </w:r>
      <w:r w:rsidR="00284407">
        <w:t>also</w:t>
      </w:r>
      <w:r w:rsidR="009C3995">
        <w:t xml:space="preserve"> thank</w:t>
      </w:r>
      <w:r w:rsidR="00284407">
        <w:t xml:space="preserve"> </w:t>
      </w:r>
      <w:r w:rsidR="00584080">
        <w:t xml:space="preserve">my advisory committee members for all the </w:t>
      </w:r>
      <w:r w:rsidR="00C60B88">
        <w:t xml:space="preserve">constructive </w:t>
      </w:r>
      <w:r w:rsidR="00E306ED">
        <w:t>feedback</w:t>
      </w:r>
      <w:r w:rsidR="003E54D0">
        <w:t xml:space="preserve"> and suggestion</w:t>
      </w:r>
      <w:r w:rsidR="00BA0E85">
        <w:t>s</w:t>
      </w:r>
      <w:r w:rsidR="003E54D0">
        <w:t xml:space="preserve"> </w:t>
      </w:r>
      <w:r w:rsidR="00CB1AB4">
        <w:t>o</w:t>
      </w:r>
      <w:r w:rsidR="00C232B6">
        <w:t>n this disse</w:t>
      </w:r>
      <w:r w:rsidR="008A415F">
        <w:t>rtation</w:t>
      </w:r>
      <w:r w:rsidR="00B22D52">
        <w:t xml:space="preserve"> research</w:t>
      </w:r>
      <w:r w:rsidR="008A415F">
        <w:t xml:space="preserve">. </w:t>
      </w:r>
      <w:r w:rsidR="009B6600">
        <w:t xml:space="preserve">Thank </w:t>
      </w:r>
      <w:r w:rsidR="00DB30B7">
        <w:t>you, Dr. Jennifer Koch</w:t>
      </w:r>
      <w:r w:rsidR="00E87D4D">
        <w:t>,</w:t>
      </w:r>
      <w:r w:rsidR="00B22D52">
        <w:t xml:space="preserve"> for</w:t>
      </w:r>
      <w:r w:rsidR="009B6600">
        <w:t xml:space="preserve"> </w:t>
      </w:r>
      <w:r w:rsidR="007E3BA0">
        <w:t xml:space="preserve">helping me ground my </w:t>
      </w:r>
      <w:r w:rsidR="00583078">
        <w:t>research</w:t>
      </w:r>
      <w:r w:rsidR="00B22D52">
        <w:t xml:space="preserve"> </w:t>
      </w:r>
      <w:r w:rsidR="007469CE">
        <w:t>with</w:t>
      </w:r>
      <w:r w:rsidR="00C82619">
        <w:t>in</w:t>
      </w:r>
      <w:r w:rsidR="007469CE">
        <w:t xml:space="preserve"> the context of urban growth mode</w:t>
      </w:r>
      <w:r w:rsidR="00117F0E">
        <w:t>ling</w:t>
      </w:r>
      <w:r w:rsidR="00A563D8">
        <w:t xml:space="preserve">. Also, thank you for all </w:t>
      </w:r>
      <w:r w:rsidR="00DF592E">
        <w:t>your kind words and e</w:t>
      </w:r>
      <w:r w:rsidR="00CE5333">
        <w:t>ncouragement</w:t>
      </w:r>
      <w:r w:rsidR="00DB30B7">
        <w:t xml:space="preserve">. </w:t>
      </w:r>
      <w:r w:rsidR="001376D1">
        <w:t>Thank you, Dr. Laurel Smith</w:t>
      </w:r>
      <w:r w:rsidR="00EA1A12">
        <w:t>, who</w:t>
      </w:r>
      <w:r w:rsidR="003F43E0">
        <w:t xml:space="preserve"> helped me </w:t>
      </w:r>
      <w:r w:rsidR="005157B1">
        <w:t>c</w:t>
      </w:r>
      <w:r w:rsidR="00D730E2">
        <w:t>ontext</w:t>
      </w:r>
      <w:r w:rsidR="00B24E64">
        <w:t>ualiz</w:t>
      </w:r>
      <w:r w:rsidR="00CD00AA">
        <w:t xml:space="preserve">e my </w:t>
      </w:r>
      <w:r w:rsidR="00224E08">
        <w:t>rese</w:t>
      </w:r>
      <w:r w:rsidR="001845C8">
        <w:t xml:space="preserve">arch </w:t>
      </w:r>
      <w:r w:rsidR="00B03587">
        <w:t xml:space="preserve">ideas from a mixed-method approach, </w:t>
      </w:r>
      <w:r w:rsidR="00046CA2">
        <w:t xml:space="preserve">facilitating </w:t>
      </w:r>
      <w:r w:rsidR="00214162">
        <w:t xml:space="preserve">communication </w:t>
      </w:r>
      <w:r w:rsidR="00046CA2">
        <w:t>to</w:t>
      </w:r>
      <w:r w:rsidR="00B24E64">
        <w:t xml:space="preserve"> multiple audiences</w:t>
      </w:r>
      <w:r w:rsidR="00046CA2">
        <w:t xml:space="preserve">. </w:t>
      </w:r>
      <w:r w:rsidR="00474DB7">
        <w:t>Thank you, Dr. John Harris</w:t>
      </w:r>
      <w:r w:rsidR="00E87D4D">
        <w:t>,</w:t>
      </w:r>
      <w:r w:rsidR="009E387A">
        <w:t xml:space="preserve"> for </w:t>
      </w:r>
      <w:r w:rsidR="006E78B9">
        <w:t xml:space="preserve">all your suggestions </w:t>
      </w:r>
      <w:r w:rsidR="00F42D90">
        <w:t>through</w:t>
      </w:r>
      <w:r w:rsidR="005A7E4F">
        <w:t>out this research.</w:t>
      </w:r>
    </w:p>
    <w:p w14:paraId="006D33E6" w14:textId="72F171B4" w:rsidR="0079351D" w:rsidRDefault="00CF5ECB" w:rsidP="00EE581A">
      <w:pPr>
        <w:ind w:firstLine="720"/>
      </w:pPr>
      <w:r>
        <w:t xml:space="preserve">I thank the </w:t>
      </w:r>
      <w:r w:rsidR="00B03BEE">
        <w:t xml:space="preserve">University of Oklahoma Graduate College and the </w:t>
      </w:r>
      <w:r w:rsidR="008C521E">
        <w:t>Department of Geography and Environmental Sustainability (DGES)</w:t>
      </w:r>
      <w:r w:rsidR="0013489D">
        <w:t xml:space="preserve"> </w:t>
      </w:r>
      <w:r w:rsidR="00881051">
        <w:t>for pro</w:t>
      </w:r>
      <w:r w:rsidR="00655E7F">
        <w:t>vi</w:t>
      </w:r>
      <w:r w:rsidR="00ED5D4E">
        <w:t>ding me with fundin</w:t>
      </w:r>
      <w:r w:rsidR="001E1ABA">
        <w:t>g and the opportunity to pu</w:t>
      </w:r>
      <w:r w:rsidR="00B9778D">
        <w:t xml:space="preserve">rsue my </w:t>
      </w:r>
      <w:r w:rsidR="00F06137">
        <w:t xml:space="preserve">Ph.D. </w:t>
      </w:r>
      <w:r w:rsidR="0079351D">
        <w:t xml:space="preserve">Thank you to all </w:t>
      </w:r>
      <w:r w:rsidR="00DF3330">
        <w:t>DGES</w:t>
      </w:r>
      <w:r w:rsidR="00A43773">
        <w:t xml:space="preserve"> </w:t>
      </w:r>
      <w:r w:rsidR="008874BB">
        <w:t>faculty</w:t>
      </w:r>
      <w:r w:rsidR="00A43773">
        <w:t>, staff</w:t>
      </w:r>
      <w:r w:rsidR="007D6351">
        <w:t>,</w:t>
      </w:r>
      <w:r w:rsidR="00A43773">
        <w:t xml:space="preserve"> </w:t>
      </w:r>
      <w:r w:rsidR="00EF25EE">
        <w:t xml:space="preserve">and graduate students, especially </w:t>
      </w:r>
      <w:r w:rsidR="0079351D">
        <w:t xml:space="preserve">current and previous </w:t>
      </w:r>
      <w:r w:rsidR="00B20B6C">
        <w:t>Ecological and Geospatial Research and Applications in Pla</w:t>
      </w:r>
      <w:r w:rsidR="00B91BA0">
        <w:t>netary Health (</w:t>
      </w:r>
      <w:r w:rsidR="0079351D">
        <w:t>E</w:t>
      </w:r>
      <w:r w:rsidR="000C6E78">
        <w:t>c</w:t>
      </w:r>
      <w:r w:rsidR="001A4855">
        <w:t>oGRAPH</w:t>
      </w:r>
      <w:r w:rsidR="00B91BA0">
        <w:t>)</w:t>
      </w:r>
      <w:r w:rsidR="00BF36C9">
        <w:t xml:space="preserve"> </w:t>
      </w:r>
      <w:r w:rsidR="00994555">
        <w:t>lab</w:t>
      </w:r>
      <w:r w:rsidR="00B91BA0">
        <w:t xml:space="preserve"> </w:t>
      </w:r>
      <w:r w:rsidR="0079351D">
        <w:t xml:space="preserve">members. I appreciate all your </w:t>
      </w:r>
      <w:r w:rsidR="009A181E">
        <w:t>assistance</w:t>
      </w:r>
      <w:r w:rsidR="0079351D">
        <w:t xml:space="preserve">, </w:t>
      </w:r>
      <w:r w:rsidR="009A181E">
        <w:t>feedback</w:t>
      </w:r>
      <w:r w:rsidR="0079351D">
        <w:t>, and encouragement</w:t>
      </w:r>
      <w:r w:rsidR="00443678">
        <w:t>.</w:t>
      </w:r>
      <w:r w:rsidR="0079351D">
        <w:t xml:space="preserve"> </w:t>
      </w:r>
    </w:p>
    <w:p w14:paraId="36946D36" w14:textId="163BB281" w:rsidR="002042D9" w:rsidRPr="00FC6918" w:rsidRDefault="002E1A02" w:rsidP="00810181">
      <w:pPr>
        <w:rPr>
          <w:rFonts w:ascii="Times New Roman" w:hAnsi="Times New Roman"/>
        </w:rPr>
      </w:pPr>
      <w:r>
        <w:tab/>
        <w:t xml:space="preserve">I appreciate the </w:t>
      </w:r>
      <w:r w:rsidR="002042D9" w:rsidRPr="00FC6918">
        <w:rPr>
          <w:rFonts w:ascii="Times New Roman" w:hAnsi="Times New Roman"/>
        </w:rPr>
        <w:t>Southwest American Association of Geographers</w:t>
      </w:r>
      <w:r w:rsidR="002C7954">
        <w:rPr>
          <w:rFonts w:ascii="Times New Roman" w:hAnsi="Times New Roman"/>
        </w:rPr>
        <w:t xml:space="preserve"> (SWAAG)</w:t>
      </w:r>
    </w:p>
    <w:p w14:paraId="178ED8E7" w14:textId="1CDA34CD" w:rsidR="00922AB8" w:rsidRDefault="002C7954" w:rsidP="00810181">
      <w:r>
        <w:t>2</w:t>
      </w:r>
      <w:r w:rsidR="001C6537">
        <w:t>022 s</w:t>
      </w:r>
      <w:r w:rsidR="00636D6A">
        <w:t xml:space="preserve">tudent </w:t>
      </w:r>
      <w:r w:rsidR="00200D7A">
        <w:t xml:space="preserve">summer </w:t>
      </w:r>
      <w:r w:rsidR="00636D6A">
        <w:t xml:space="preserve">research grant, </w:t>
      </w:r>
      <w:r w:rsidR="00BD244C">
        <w:t>which I used to p</w:t>
      </w:r>
      <w:r w:rsidR="00810181">
        <w:t>urchase</w:t>
      </w:r>
      <w:r>
        <w:t xml:space="preserve"> audio recording devices for field interviews</w:t>
      </w:r>
      <w:r w:rsidR="000B133C">
        <w:t xml:space="preserve"> with urban stakeholders in </w:t>
      </w:r>
      <w:r>
        <w:t>Ghana.</w:t>
      </w:r>
      <w:r w:rsidR="00810181">
        <w:t xml:space="preserve"> </w:t>
      </w:r>
      <w:r w:rsidR="002934F6">
        <w:t>Through the World Bank Group Africa Fellowship</w:t>
      </w:r>
      <w:r w:rsidR="008A05AD">
        <w:t xml:space="preserve"> P</w:t>
      </w:r>
      <w:r w:rsidR="002934F6">
        <w:t>rogram</w:t>
      </w:r>
      <w:r w:rsidR="008A05AD">
        <w:t xml:space="preserve"> (AFP)</w:t>
      </w:r>
      <w:r w:rsidR="00446A9C">
        <w:t xml:space="preserve"> for 2024</w:t>
      </w:r>
      <w:r w:rsidR="002934F6">
        <w:t xml:space="preserve">, I </w:t>
      </w:r>
      <w:r w:rsidR="006D1509">
        <w:t>wor</w:t>
      </w:r>
      <w:r w:rsidR="00316297">
        <w:t>ked with the City Resilience Program</w:t>
      </w:r>
      <w:r w:rsidR="008A05AD">
        <w:t xml:space="preserve"> (CRP)</w:t>
      </w:r>
      <w:r w:rsidR="00316297">
        <w:t xml:space="preserve"> under </w:t>
      </w:r>
      <w:r w:rsidR="002934F6">
        <w:t xml:space="preserve">the </w:t>
      </w:r>
      <w:r w:rsidR="00316297">
        <w:t xml:space="preserve">Global </w:t>
      </w:r>
      <w:r w:rsidR="002934F6">
        <w:t>Facility for Disaster Reduction and Recovery</w:t>
      </w:r>
      <w:r w:rsidR="008D4207">
        <w:t xml:space="preserve"> (G</w:t>
      </w:r>
      <w:r w:rsidR="001F4E48">
        <w:t>FDRR)</w:t>
      </w:r>
      <w:r w:rsidR="00AE0DA9">
        <w:t>, where</w:t>
      </w:r>
      <w:r w:rsidR="00682A3D">
        <w:t xml:space="preserve"> I</w:t>
      </w:r>
      <w:r w:rsidR="001159D9">
        <w:t xml:space="preserve"> develop</w:t>
      </w:r>
      <w:r w:rsidR="00AE0DA9">
        <w:t xml:space="preserve">ed </w:t>
      </w:r>
      <w:r w:rsidR="00682A3D">
        <w:t xml:space="preserve">a </w:t>
      </w:r>
      <w:r w:rsidR="00AE0DA9">
        <w:t>neighborhood scan</w:t>
      </w:r>
      <w:r w:rsidR="00730A55">
        <w:t xml:space="preserve"> </w:t>
      </w:r>
      <w:r w:rsidR="00730A55">
        <w:lastRenderedPageBreak/>
        <w:t xml:space="preserve">to help in planning and vulnerability </w:t>
      </w:r>
      <w:r w:rsidR="00EB5E93">
        <w:t>assessment</w:t>
      </w:r>
      <w:r w:rsidR="008F445B">
        <w:t xml:space="preserve"> in </w:t>
      </w:r>
      <w:r w:rsidR="009A379C">
        <w:t>cities</w:t>
      </w:r>
      <w:r w:rsidR="00EB5E93">
        <w:t xml:space="preserve">. </w:t>
      </w:r>
      <w:r w:rsidR="00890751">
        <w:t xml:space="preserve">Thank </w:t>
      </w:r>
      <w:r w:rsidR="002F021C">
        <w:t>you, AFP and CRP,</w:t>
      </w:r>
      <w:r w:rsidR="007344E3">
        <w:t xml:space="preserve"> </w:t>
      </w:r>
      <w:r w:rsidR="002F021C">
        <w:t xml:space="preserve">for the opportunity. </w:t>
      </w:r>
    </w:p>
    <w:p w14:paraId="02BDC802" w14:textId="46D77E3C" w:rsidR="00E14D4D" w:rsidRDefault="006E7891" w:rsidP="00EE581A">
      <w:pPr>
        <w:ind w:firstLine="720"/>
      </w:pPr>
      <w:r>
        <w:t xml:space="preserve">I would also like to </w:t>
      </w:r>
      <w:r w:rsidR="007240B6">
        <w:t xml:space="preserve">thank </w:t>
      </w:r>
      <w:r w:rsidR="00776231">
        <w:t>my wife</w:t>
      </w:r>
      <w:r w:rsidR="004E6B26">
        <w:t xml:space="preserve">, </w:t>
      </w:r>
      <w:r w:rsidR="00793CAB">
        <w:t>Oleta Korah</w:t>
      </w:r>
      <w:r w:rsidR="00537B97">
        <w:t xml:space="preserve">, and </w:t>
      </w:r>
      <w:r w:rsidR="003B09E2">
        <w:t xml:space="preserve">our </w:t>
      </w:r>
      <w:r w:rsidR="0004180F">
        <w:t>sons</w:t>
      </w:r>
      <w:r w:rsidR="003B09E2">
        <w:t>, Mylo</w:t>
      </w:r>
      <w:r w:rsidR="00796F17">
        <w:t xml:space="preserve"> </w:t>
      </w:r>
      <w:r w:rsidR="002E0C48">
        <w:t xml:space="preserve">and Myles Korah, for always </w:t>
      </w:r>
      <w:r w:rsidR="005E4724">
        <w:t>providing</w:t>
      </w:r>
      <w:r w:rsidR="002E0C48">
        <w:t xml:space="preserve"> mental and emotional support. Also, thank you, </w:t>
      </w:r>
      <w:r w:rsidR="00BB182F">
        <w:t>M</w:t>
      </w:r>
      <w:r w:rsidR="002E0C48">
        <w:t>um</w:t>
      </w:r>
      <w:r w:rsidR="005323D2">
        <w:t xml:space="preserve">, </w:t>
      </w:r>
      <w:r w:rsidR="002E0C48">
        <w:t>the late Issahaku Yamusah</w:t>
      </w:r>
      <w:r w:rsidR="007503CF">
        <w:t>,</w:t>
      </w:r>
      <w:r w:rsidR="005F35E1">
        <w:t xml:space="preserve"> </w:t>
      </w:r>
      <w:r w:rsidR="009E54E7">
        <w:t xml:space="preserve">for </w:t>
      </w:r>
      <w:r w:rsidR="00BF22FC">
        <w:t xml:space="preserve">all your </w:t>
      </w:r>
      <w:r w:rsidR="009F63BF">
        <w:t>unwavering support</w:t>
      </w:r>
      <w:r w:rsidR="00C7378B">
        <w:t xml:space="preserve"> </w:t>
      </w:r>
      <w:r w:rsidR="005F4691">
        <w:t>throughout</w:t>
      </w:r>
      <w:r w:rsidR="00C7378B">
        <w:t xml:space="preserve"> </w:t>
      </w:r>
      <w:r w:rsidR="005F4691">
        <w:t>my</w:t>
      </w:r>
      <w:r w:rsidR="00C7378B">
        <w:t xml:space="preserve"> Ph.D</w:t>
      </w:r>
      <w:r w:rsidR="005F4691">
        <w:t xml:space="preserve">. journey. </w:t>
      </w:r>
      <w:r w:rsidR="00AB26C8">
        <w:t>To</w:t>
      </w:r>
      <w:r w:rsidR="005C7065">
        <w:t xml:space="preserve"> </w:t>
      </w:r>
      <w:r w:rsidR="00106368">
        <w:t>the entire Korah family</w:t>
      </w:r>
      <w:r w:rsidR="00CE5253">
        <w:t xml:space="preserve">, especially </w:t>
      </w:r>
      <w:r w:rsidR="00AB26C8">
        <w:t>my</w:t>
      </w:r>
      <w:r w:rsidR="005C7065">
        <w:t xml:space="preserve"> siblings, </w:t>
      </w:r>
      <w:r w:rsidR="00BD18F7">
        <w:t>Fati, Alice, George</w:t>
      </w:r>
      <w:r w:rsidR="00E83C1A">
        <w:t>,</w:t>
      </w:r>
      <w:r w:rsidR="00BD18F7">
        <w:t xml:space="preserve"> and </w:t>
      </w:r>
      <w:r w:rsidR="005C7065">
        <w:t>Dr. Prosper Korah, than</w:t>
      </w:r>
      <w:r w:rsidR="00344E1F">
        <w:t xml:space="preserve">k you for </w:t>
      </w:r>
      <w:r w:rsidR="00BA5B96">
        <w:t xml:space="preserve">your constant </w:t>
      </w:r>
      <w:r w:rsidR="00B90116">
        <w:t xml:space="preserve">encouragement and motivation. </w:t>
      </w:r>
      <w:r w:rsidR="00842182">
        <w:t xml:space="preserve">Thank you to all my friends </w:t>
      </w:r>
      <w:r w:rsidR="001B04EB">
        <w:t>and ever</w:t>
      </w:r>
      <w:r w:rsidR="00EB1464">
        <w:t xml:space="preserve">yone </w:t>
      </w:r>
      <w:r w:rsidR="00842182">
        <w:t xml:space="preserve">for </w:t>
      </w:r>
      <w:r w:rsidR="00E47156">
        <w:t>helping make</w:t>
      </w:r>
      <w:r w:rsidR="00842182">
        <w:t xml:space="preserve"> </w:t>
      </w:r>
      <w:r w:rsidR="00DC0829">
        <w:t>my</w:t>
      </w:r>
      <w:r w:rsidR="00842182">
        <w:t xml:space="preserve"> </w:t>
      </w:r>
      <w:r w:rsidR="00A42F67">
        <w:t>Ph.D</w:t>
      </w:r>
      <w:r w:rsidR="00A022FD">
        <w:t>.</w:t>
      </w:r>
      <w:r w:rsidR="00A42F67">
        <w:t xml:space="preserve"> journey memorable.</w:t>
      </w:r>
    </w:p>
    <w:p w14:paraId="7DDB1A51" w14:textId="0FE8F14F" w:rsidR="003450B1" w:rsidRDefault="00E83C72" w:rsidP="00EE581A">
      <w:pPr>
        <w:ind w:firstLine="720"/>
      </w:pPr>
      <w:r>
        <w:t xml:space="preserve">Finally, </w:t>
      </w:r>
      <w:r w:rsidR="00F94B69">
        <w:t>I</w:t>
      </w:r>
      <w:r w:rsidR="0035382E">
        <w:t xml:space="preserve"> thank God </w:t>
      </w:r>
      <w:r w:rsidR="00026F70">
        <w:t xml:space="preserve">almighty </w:t>
      </w:r>
      <w:r w:rsidR="0035382E">
        <w:t>f</w:t>
      </w:r>
      <w:r w:rsidR="00902C92">
        <w:t xml:space="preserve">or </w:t>
      </w:r>
      <w:r w:rsidR="007F0061">
        <w:t>bring</w:t>
      </w:r>
      <w:r w:rsidR="00DA5933">
        <w:t>ing</w:t>
      </w:r>
      <w:r w:rsidR="007F0061">
        <w:t xml:space="preserve"> you all into </w:t>
      </w:r>
      <w:r w:rsidR="00D00286">
        <w:t xml:space="preserve">my </w:t>
      </w:r>
      <w:r w:rsidR="00DA5933">
        <w:t>life</w:t>
      </w:r>
      <w:r w:rsidR="00150BE6">
        <w:t xml:space="preserve"> and academic journey</w:t>
      </w:r>
      <w:r w:rsidR="004F7497">
        <w:t>.</w:t>
      </w:r>
    </w:p>
    <w:p w14:paraId="25287077" w14:textId="35A374A7" w:rsidR="0078679A" w:rsidRDefault="00775701" w:rsidP="002B23DE">
      <w:pPr>
        <w:pStyle w:val="Title"/>
      </w:pPr>
      <w:r>
        <w:br w:type="page"/>
      </w:r>
      <w:r>
        <w:lastRenderedPageBreak/>
        <w:t xml:space="preserve">Table of </w:t>
      </w:r>
      <w:r w:rsidRPr="00775701">
        <w:t>Contents</w:t>
      </w:r>
    </w:p>
    <w:p w14:paraId="18C8B64D" w14:textId="7121F27F" w:rsidR="005A57F0" w:rsidRDefault="00F7122D">
      <w:pPr>
        <w:pStyle w:val="TOC1"/>
        <w:rPr>
          <w:rFonts w:eastAsiaTheme="minorEastAsia" w:cstheme="minorBidi"/>
          <w:b w:val="0"/>
          <w:bCs w:val="0"/>
          <w:kern w:val="2"/>
          <w:lang w:bidi="ar-SA"/>
          <w14:ligatures w14:val="standardContextual"/>
        </w:rPr>
      </w:pPr>
      <w:r>
        <w:fldChar w:fldCharType="begin"/>
      </w:r>
      <w:r w:rsidR="000F56FF">
        <w:instrText xml:space="preserve"> TOC \o "3-3" \h \z \t "Heading 1,1,Heading 2,2,Chapter,1" </w:instrText>
      </w:r>
      <w:r>
        <w:fldChar w:fldCharType="separate"/>
      </w:r>
      <w:hyperlink w:anchor="_Toc172288690" w:history="1">
        <w:r w:rsidR="005A57F0" w:rsidRPr="00FE698B">
          <w:rPr>
            <w:rStyle w:val="Hyperlink"/>
          </w:rPr>
          <w:t>Dedication</w:t>
        </w:r>
        <w:r w:rsidR="005A57F0">
          <w:rPr>
            <w:webHidden/>
          </w:rPr>
          <w:tab/>
        </w:r>
        <w:r w:rsidR="005A57F0">
          <w:rPr>
            <w:webHidden/>
          </w:rPr>
          <w:fldChar w:fldCharType="begin"/>
        </w:r>
        <w:r w:rsidR="005A57F0">
          <w:rPr>
            <w:webHidden/>
          </w:rPr>
          <w:instrText xml:space="preserve"> PAGEREF _Toc172288690 \h </w:instrText>
        </w:r>
        <w:r w:rsidR="005A57F0">
          <w:rPr>
            <w:webHidden/>
          </w:rPr>
        </w:r>
        <w:r w:rsidR="005A57F0">
          <w:rPr>
            <w:webHidden/>
          </w:rPr>
          <w:fldChar w:fldCharType="separate"/>
        </w:r>
        <w:r w:rsidR="00B129D9">
          <w:rPr>
            <w:webHidden/>
          </w:rPr>
          <w:t>iv</w:t>
        </w:r>
        <w:r w:rsidR="005A57F0">
          <w:rPr>
            <w:webHidden/>
          </w:rPr>
          <w:fldChar w:fldCharType="end"/>
        </w:r>
      </w:hyperlink>
    </w:p>
    <w:p w14:paraId="67066736" w14:textId="7B19DC94" w:rsidR="005A57F0" w:rsidRDefault="00000000">
      <w:pPr>
        <w:pStyle w:val="TOC1"/>
        <w:rPr>
          <w:rFonts w:eastAsiaTheme="minorEastAsia" w:cstheme="minorBidi"/>
          <w:b w:val="0"/>
          <w:bCs w:val="0"/>
          <w:kern w:val="2"/>
          <w:lang w:bidi="ar-SA"/>
          <w14:ligatures w14:val="standardContextual"/>
        </w:rPr>
      </w:pPr>
      <w:hyperlink w:anchor="_Toc172288691" w:history="1">
        <w:r w:rsidR="005A57F0" w:rsidRPr="00FE698B">
          <w:rPr>
            <w:rStyle w:val="Hyperlink"/>
          </w:rPr>
          <w:t>Acknowledgments</w:t>
        </w:r>
        <w:r w:rsidR="005A57F0">
          <w:rPr>
            <w:webHidden/>
          </w:rPr>
          <w:tab/>
        </w:r>
        <w:r w:rsidR="005A57F0">
          <w:rPr>
            <w:webHidden/>
          </w:rPr>
          <w:fldChar w:fldCharType="begin"/>
        </w:r>
        <w:r w:rsidR="005A57F0">
          <w:rPr>
            <w:webHidden/>
          </w:rPr>
          <w:instrText xml:space="preserve"> PAGEREF _Toc172288691 \h </w:instrText>
        </w:r>
        <w:r w:rsidR="005A57F0">
          <w:rPr>
            <w:webHidden/>
          </w:rPr>
        </w:r>
        <w:r w:rsidR="005A57F0">
          <w:rPr>
            <w:webHidden/>
          </w:rPr>
          <w:fldChar w:fldCharType="separate"/>
        </w:r>
        <w:r w:rsidR="00B129D9">
          <w:rPr>
            <w:webHidden/>
          </w:rPr>
          <w:t>v</w:t>
        </w:r>
        <w:r w:rsidR="005A57F0">
          <w:rPr>
            <w:webHidden/>
          </w:rPr>
          <w:fldChar w:fldCharType="end"/>
        </w:r>
      </w:hyperlink>
    </w:p>
    <w:p w14:paraId="7BB26824" w14:textId="1347067F" w:rsidR="005A57F0" w:rsidRDefault="00000000">
      <w:pPr>
        <w:pStyle w:val="TOC1"/>
        <w:rPr>
          <w:rFonts w:eastAsiaTheme="minorEastAsia" w:cstheme="minorBidi"/>
          <w:b w:val="0"/>
          <w:bCs w:val="0"/>
          <w:kern w:val="2"/>
          <w:lang w:bidi="ar-SA"/>
          <w14:ligatures w14:val="standardContextual"/>
        </w:rPr>
      </w:pPr>
      <w:hyperlink w:anchor="_Toc172288692" w:history="1">
        <w:r w:rsidR="005A57F0" w:rsidRPr="00FE698B">
          <w:rPr>
            <w:rStyle w:val="Hyperlink"/>
          </w:rPr>
          <w:t>List of Tables</w:t>
        </w:r>
        <w:r w:rsidR="005A57F0">
          <w:rPr>
            <w:webHidden/>
          </w:rPr>
          <w:tab/>
        </w:r>
        <w:r w:rsidR="005A57F0">
          <w:rPr>
            <w:webHidden/>
          </w:rPr>
          <w:fldChar w:fldCharType="begin"/>
        </w:r>
        <w:r w:rsidR="005A57F0">
          <w:rPr>
            <w:webHidden/>
          </w:rPr>
          <w:instrText xml:space="preserve"> PAGEREF _Toc172288692 \h </w:instrText>
        </w:r>
        <w:r w:rsidR="005A57F0">
          <w:rPr>
            <w:webHidden/>
          </w:rPr>
        </w:r>
        <w:r w:rsidR="005A57F0">
          <w:rPr>
            <w:webHidden/>
          </w:rPr>
          <w:fldChar w:fldCharType="separate"/>
        </w:r>
        <w:r w:rsidR="00B129D9">
          <w:rPr>
            <w:webHidden/>
          </w:rPr>
          <w:t>xi</w:t>
        </w:r>
        <w:r w:rsidR="005A57F0">
          <w:rPr>
            <w:webHidden/>
          </w:rPr>
          <w:fldChar w:fldCharType="end"/>
        </w:r>
      </w:hyperlink>
    </w:p>
    <w:p w14:paraId="06523201" w14:textId="3AEEF78E" w:rsidR="005A57F0" w:rsidRDefault="00000000">
      <w:pPr>
        <w:pStyle w:val="TOC1"/>
        <w:rPr>
          <w:rFonts w:eastAsiaTheme="minorEastAsia" w:cstheme="minorBidi"/>
          <w:b w:val="0"/>
          <w:bCs w:val="0"/>
          <w:kern w:val="2"/>
          <w:lang w:bidi="ar-SA"/>
          <w14:ligatures w14:val="standardContextual"/>
        </w:rPr>
      </w:pPr>
      <w:hyperlink w:anchor="_Toc172288693" w:history="1">
        <w:r w:rsidR="005A57F0" w:rsidRPr="00FE698B">
          <w:rPr>
            <w:rStyle w:val="Hyperlink"/>
          </w:rPr>
          <w:t>List of Figures</w:t>
        </w:r>
        <w:r w:rsidR="005A57F0">
          <w:rPr>
            <w:webHidden/>
          </w:rPr>
          <w:tab/>
        </w:r>
        <w:r w:rsidR="005A57F0">
          <w:rPr>
            <w:webHidden/>
          </w:rPr>
          <w:fldChar w:fldCharType="begin"/>
        </w:r>
        <w:r w:rsidR="005A57F0">
          <w:rPr>
            <w:webHidden/>
          </w:rPr>
          <w:instrText xml:space="preserve"> PAGEREF _Toc172288693 \h </w:instrText>
        </w:r>
        <w:r w:rsidR="005A57F0">
          <w:rPr>
            <w:webHidden/>
          </w:rPr>
        </w:r>
        <w:r w:rsidR="005A57F0">
          <w:rPr>
            <w:webHidden/>
          </w:rPr>
          <w:fldChar w:fldCharType="separate"/>
        </w:r>
        <w:r w:rsidR="00B129D9">
          <w:rPr>
            <w:webHidden/>
          </w:rPr>
          <w:t>xii</w:t>
        </w:r>
        <w:r w:rsidR="005A57F0">
          <w:rPr>
            <w:webHidden/>
          </w:rPr>
          <w:fldChar w:fldCharType="end"/>
        </w:r>
      </w:hyperlink>
    </w:p>
    <w:p w14:paraId="1A550CD5" w14:textId="041BDF7D" w:rsidR="005A57F0" w:rsidRDefault="00000000">
      <w:pPr>
        <w:pStyle w:val="TOC1"/>
        <w:rPr>
          <w:rFonts w:eastAsiaTheme="minorEastAsia" w:cstheme="minorBidi"/>
          <w:b w:val="0"/>
          <w:bCs w:val="0"/>
          <w:kern w:val="2"/>
          <w:lang w:bidi="ar-SA"/>
          <w14:ligatures w14:val="standardContextual"/>
        </w:rPr>
      </w:pPr>
      <w:hyperlink w:anchor="_Toc172288694" w:history="1">
        <w:r w:rsidR="005A57F0" w:rsidRPr="00FE698B">
          <w:rPr>
            <w:rStyle w:val="Hyperlink"/>
          </w:rPr>
          <w:t>Abstract</w:t>
        </w:r>
        <w:r w:rsidR="005A57F0">
          <w:rPr>
            <w:webHidden/>
          </w:rPr>
          <w:tab/>
        </w:r>
        <w:r w:rsidR="005A57F0">
          <w:rPr>
            <w:webHidden/>
          </w:rPr>
          <w:fldChar w:fldCharType="begin"/>
        </w:r>
        <w:r w:rsidR="005A57F0">
          <w:rPr>
            <w:webHidden/>
          </w:rPr>
          <w:instrText xml:space="preserve"> PAGEREF _Toc172288694 \h </w:instrText>
        </w:r>
        <w:r w:rsidR="005A57F0">
          <w:rPr>
            <w:webHidden/>
          </w:rPr>
        </w:r>
        <w:r w:rsidR="005A57F0">
          <w:rPr>
            <w:webHidden/>
          </w:rPr>
          <w:fldChar w:fldCharType="separate"/>
        </w:r>
        <w:r w:rsidR="00B129D9">
          <w:rPr>
            <w:webHidden/>
          </w:rPr>
          <w:t>xiv</w:t>
        </w:r>
        <w:r w:rsidR="005A57F0">
          <w:rPr>
            <w:webHidden/>
          </w:rPr>
          <w:fldChar w:fldCharType="end"/>
        </w:r>
      </w:hyperlink>
    </w:p>
    <w:p w14:paraId="4BDA1142" w14:textId="4BE3809F" w:rsidR="005A57F0" w:rsidRDefault="00000000">
      <w:pPr>
        <w:pStyle w:val="TOC1"/>
        <w:rPr>
          <w:rFonts w:eastAsiaTheme="minorEastAsia" w:cstheme="minorBidi"/>
          <w:b w:val="0"/>
          <w:bCs w:val="0"/>
          <w:kern w:val="2"/>
          <w:lang w:bidi="ar-SA"/>
          <w14:ligatures w14:val="standardContextual"/>
        </w:rPr>
      </w:pPr>
      <w:hyperlink w:anchor="_Toc172288695" w:history="1">
        <w:r w:rsidR="005A57F0" w:rsidRPr="00FE698B">
          <w:rPr>
            <w:rStyle w:val="Hyperlink"/>
          </w:rPr>
          <w:t>Chapter 1: Introduction</w:t>
        </w:r>
        <w:r w:rsidR="005A57F0">
          <w:rPr>
            <w:webHidden/>
          </w:rPr>
          <w:tab/>
        </w:r>
        <w:r w:rsidR="005A57F0">
          <w:rPr>
            <w:webHidden/>
          </w:rPr>
          <w:fldChar w:fldCharType="begin"/>
        </w:r>
        <w:r w:rsidR="005A57F0">
          <w:rPr>
            <w:webHidden/>
          </w:rPr>
          <w:instrText xml:space="preserve"> PAGEREF _Toc172288695 \h </w:instrText>
        </w:r>
        <w:r w:rsidR="005A57F0">
          <w:rPr>
            <w:webHidden/>
          </w:rPr>
        </w:r>
        <w:r w:rsidR="005A57F0">
          <w:rPr>
            <w:webHidden/>
          </w:rPr>
          <w:fldChar w:fldCharType="separate"/>
        </w:r>
        <w:r w:rsidR="00B129D9">
          <w:rPr>
            <w:webHidden/>
          </w:rPr>
          <w:t>1</w:t>
        </w:r>
        <w:r w:rsidR="005A57F0">
          <w:rPr>
            <w:webHidden/>
          </w:rPr>
          <w:fldChar w:fldCharType="end"/>
        </w:r>
      </w:hyperlink>
    </w:p>
    <w:p w14:paraId="07D4EE91" w14:textId="77075ECD" w:rsidR="005A57F0" w:rsidRDefault="00000000">
      <w:pPr>
        <w:pStyle w:val="TOC2"/>
        <w:rPr>
          <w:rFonts w:eastAsiaTheme="minorEastAsia" w:cstheme="minorBidi"/>
          <w:noProof/>
          <w:kern w:val="2"/>
          <w:lang w:bidi="ar-SA"/>
          <w14:ligatures w14:val="standardContextual"/>
        </w:rPr>
      </w:pPr>
      <w:hyperlink w:anchor="_Toc172288696" w:history="1">
        <w:r w:rsidR="005A57F0" w:rsidRPr="00FE698B">
          <w:rPr>
            <w:rStyle w:val="Hyperlink"/>
            <w:noProof/>
          </w:rPr>
          <w:t>1.1</w:t>
        </w:r>
        <w:r w:rsidR="005A57F0">
          <w:rPr>
            <w:rFonts w:eastAsiaTheme="minorEastAsia" w:cstheme="minorBidi"/>
            <w:noProof/>
            <w:kern w:val="2"/>
            <w:lang w:bidi="ar-SA"/>
            <w14:ligatures w14:val="standardContextual"/>
          </w:rPr>
          <w:tab/>
        </w:r>
        <w:r w:rsidR="005A57F0" w:rsidRPr="00FE698B">
          <w:rPr>
            <w:rStyle w:val="Hyperlink"/>
            <w:noProof/>
          </w:rPr>
          <w:t>Urbanization and urban expansion</w:t>
        </w:r>
        <w:r w:rsidR="005A57F0">
          <w:rPr>
            <w:noProof/>
            <w:webHidden/>
          </w:rPr>
          <w:tab/>
        </w:r>
        <w:r w:rsidR="005A57F0">
          <w:rPr>
            <w:noProof/>
            <w:webHidden/>
          </w:rPr>
          <w:fldChar w:fldCharType="begin"/>
        </w:r>
        <w:r w:rsidR="005A57F0">
          <w:rPr>
            <w:noProof/>
            <w:webHidden/>
          </w:rPr>
          <w:instrText xml:space="preserve"> PAGEREF _Toc172288696 \h </w:instrText>
        </w:r>
        <w:r w:rsidR="005A57F0">
          <w:rPr>
            <w:noProof/>
            <w:webHidden/>
          </w:rPr>
        </w:r>
        <w:r w:rsidR="005A57F0">
          <w:rPr>
            <w:noProof/>
            <w:webHidden/>
          </w:rPr>
          <w:fldChar w:fldCharType="separate"/>
        </w:r>
        <w:r w:rsidR="00B129D9">
          <w:rPr>
            <w:noProof/>
            <w:webHidden/>
          </w:rPr>
          <w:t>1</w:t>
        </w:r>
        <w:r w:rsidR="005A57F0">
          <w:rPr>
            <w:noProof/>
            <w:webHidden/>
          </w:rPr>
          <w:fldChar w:fldCharType="end"/>
        </w:r>
      </w:hyperlink>
    </w:p>
    <w:p w14:paraId="0ED0DF22" w14:textId="7C03818F" w:rsidR="005A57F0" w:rsidRDefault="00000000">
      <w:pPr>
        <w:pStyle w:val="TOC2"/>
        <w:rPr>
          <w:rFonts w:eastAsiaTheme="minorEastAsia" w:cstheme="minorBidi"/>
          <w:noProof/>
          <w:kern w:val="2"/>
          <w:lang w:bidi="ar-SA"/>
          <w14:ligatures w14:val="standardContextual"/>
        </w:rPr>
      </w:pPr>
      <w:hyperlink w:anchor="_Toc172288697" w:history="1">
        <w:r w:rsidR="005A57F0" w:rsidRPr="00FE698B">
          <w:rPr>
            <w:rStyle w:val="Hyperlink"/>
            <w:noProof/>
          </w:rPr>
          <w:t>1.2</w:t>
        </w:r>
        <w:r w:rsidR="005A57F0">
          <w:rPr>
            <w:rFonts w:eastAsiaTheme="minorEastAsia" w:cstheme="minorBidi"/>
            <w:noProof/>
            <w:kern w:val="2"/>
            <w:lang w:bidi="ar-SA"/>
            <w14:ligatures w14:val="standardContextual"/>
          </w:rPr>
          <w:tab/>
        </w:r>
        <w:r w:rsidR="005A57F0" w:rsidRPr="00FE698B">
          <w:rPr>
            <w:rStyle w:val="Hyperlink"/>
            <w:noProof/>
          </w:rPr>
          <w:t>West Africa urban system</w:t>
        </w:r>
        <w:r w:rsidR="005A57F0">
          <w:rPr>
            <w:noProof/>
            <w:webHidden/>
          </w:rPr>
          <w:tab/>
        </w:r>
        <w:r w:rsidR="005A57F0">
          <w:rPr>
            <w:noProof/>
            <w:webHidden/>
          </w:rPr>
          <w:fldChar w:fldCharType="begin"/>
        </w:r>
        <w:r w:rsidR="005A57F0">
          <w:rPr>
            <w:noProof/>
            <w:webHidden/>
          </w:rPr>
          <w:instrText xml:space="preserve"> PAGEREF _Toc172288697 \h </w:instrText>
        </w:r>
        <w:r w:rsidR="005A57F0">
          <w:rPr>
            <w:noProof/>
            <w:webHidden/>
          </w:rPr>
        </w:r>
        <w:r w:rsidR="005A57F0">
          <w:rPr>
            <w:noProof/>
            <w:webHidden/>
          </w:rPr>
          <w:fldChar w:fldCharType="separate"/>
        </w:r>
        <w:r w:rsidR="00B129D9">
          <w:rPr>
            <w:noProof/>
            <w:webHidden/>
          </w:rPr>
          <w:t>2</w:t>
        </w:r>
        <w:r w:rsidR="005A57F0">
          <w:rPr>
            <w:noProof/>
            <w:webHidden/>
          </w:rPr>
          <w:fldChar w:fldCharType="end"/>
        </w:r>
      </w:hyperlink>
    </w:p>
    <w:p w14:paraId="7E0CE680" w14:textId="483ED965" w:rsidR="005A57F0" w:rsidRDefault="00000000">
      <w:pPr>
        <w:pStyle w:val="TOC2"/>
        <w:rPr>
          <w:rFonts w:eastAsiaTheme="minorEastAsia" w:cstheme="minorBidi"/>
          <w:noProof/>
          <w:kern w:val="2"/>
          <w:lang w:bidi="ar-SA"/>
          <w14:ligatures w14:val="standardContextual"/>
        </w:rPr>
      </w:pPr>
      <w:hyperlink w:anchor="_Toc172288698" w:history="1">
        <w:r w:rsidR="005A57F0" w:rsidRPr="00FE698B">
          <w:rPr>
            <w:rStyle w:val="Hyperlink"/>
            <w:noProof/>
          </w:rPr>
          <w:t>1.3</w:t>
        </w:r>
        <w:r w:rsidR="005A57F0">
          <w:rPr>
            <w:rFonts w:eastAsiaTheme="minorEastAsia" w:cstheme="minorBidi"/>
            <w:noProof/>
            <w:kern w:val="2"/>
            <w:lang w:bidi="ar-SA"/>
            <w14:ligatures w14:val="standardContextual"/>
          </w:rPr>
          <w:tab/>
        </w:r>
        <w:r w:rsidR="005A57F0" w:rsidRPr="00FE698B">
          <w:rPr>
            <w:rStyle w:val="Hyperlink"/>
            <w:noProof/>
          </w:rPr>
          <w:t>Satellite data for urban expansion analysis</w:t>
        </w:r>
        <w:r w:rsidR="005A57F0">
          <w:rPr>
            <w:noProof/>
            <w:webHidden/>
          </w:rPr>
          <w:tab/>
        </w:r>
        <w:r w:rsidR="005A57F0">
          <w:rPr>
            <w:noProof/>
            <w:webHidden/>
          </w:rPr>
          <w:fldChar w:fldCharType="begin"/>
        </w:r>
        <w:r w:rsidR="005A57F0">
          <w:rPr>
            <w:noProof/>
            <w:webHidden/>
          </w:rPr>
          <w:instrText xml:space="preserve"> PAGEREF _Toc172288698 \h </w:instrText>
        </w:r>
        <w:r w:rsidR="005A57F0">
          <w:rPr>
            <w:noProof/>
            <w:webHidden/>
          </w:rPr>
        </w:r>
        <w:r w:rsidR="005A57F0">
          <w:rPr>
            <w:noProof/>
            <w:webHidden/>
          </w:rPr>
          <w:fldChar w:fldCharType="separate"/>
        </w:r>
        <w:r w:rsidR="00B129D9">
          <w:rPr>
            <w:noProof/>
            <w:webHidden/>
          </w:rPr>
          <w:t>3</w:t>
        </w:r>
        <w:r w:rsidR="005A57F0">
          <w:rPr>
            <w:noProof/>
            <w:webHidden/>
          </w:rPr>
          <w:fldChar w:fldCharType="end"/>
        </w:r>
      </w:hyperlink>
    </w:p>
    <w:p w14:paraId="4FF3C3D2" w14:textId="23DC2D96" w:rsidR="005A57F0" w:rsidRDefault="00000000">
      <w:pPr>
        <w:pStyle w:val="TOC2"/>
        <w:rPr>
          <w:rFonts w:eastAsiaTheme="minorEastAsia" w:cstheme="minorBidi"/>
          <w:noProof/>
          <w:kern w:val="2"/>
          <w:lang w:bidi="ar-SA"/>
          <w14:ligatures w14:val="standardContextual"/>
        </w:rPr>
      </w:pPr>
      <w:hyperlink w:anchor="_Toc172288699" w:history="1">
        <w:r w:rsidR="005A57F0" w:rsidRPr="00FE698B">
          <w:rPr>
            <w:rStyle w:val="Hyperlink"/>
            <w:rFonts w:eastAsia="Aptos"/>
            <w:noProof/>
          </w:rPr>
          <w:t>1.4</w:t>
        </w:r>
        <w:r w:rsidR="005A57F0">
          <w:rPr>
            <w:rFonts w:eastAsiaTheme="minorEastAsia" w:cstheme="minorBidi"/>
            <w:noProof/>
            <w:kern w:val="2"/>
            <w:lang w:bidi="ar-SA"/>
            <w14:ligatures w14:val="standardContextual"/>
          </w:rPr>
          <w:tab/>
        </w:r>
        <w:r w:rsidR="005A57F0" w:rsidRPr="00FE698B">
          <w:rPr>
            <w:rStyle w:val="Hyperlink"/>
            <w:rFonts w:eastAsia="Aptos"/>
            <w:noProof/>
          </w:rPr>
          <w:t>Mixed-method analysis of urban expansion</w:t>
        </w:r>
        <w:r w:rsidR="005A57F0">
          <w:rPr>
            <w:noProof/>
            <w:webHidden/>
          </w:rPr>
          <w:tab/>
        </w:r>
        <w:r w:rsidR="005A57F0">
          <w:rPr>
            <w:noProof/>
            <w:webHidden/>
          </w:rPr>
          <w:fldChar w:fldCharType="begin"/>
        </w:r>
        <w:r w:rsidR="005A57F0">
          <w:rPr>
            <w:noProof/>
            <w:webHidden/>
          </w:rPr>
          <w:instrText xml:space="preserve"> PAGEREF _Toc172288699 \h </w:instrText>
        </w:r>
        <w:r w:rsidR="005A57F0">
          <w:rPr>
            <w:noProof/>
            <w:webHidden/>
          </w:rPr>
        </w:r>
        <w:r w:rsidR="005A57F0">
          <w:rPr>
            <w:noProof/>
            <w:webHidden/>
          </w:rPr>
          <w:fldChar w:fldCharType="separate"/>
        </w:r>
        <w:r w:rsidR="00B129D9">
          <w:rPr>
            <w:noProof/>
            <w:webHidden/>
          </w:rPr>
          <w:t>4</w:t>
        </w:r>
        <w:r w:rsidR="005A57F0">
          <w:rPr>
            <w:noProof/>
            <w:webHidden/>
          </w:rPr>
          <w:fldChar w:fldCharType="end"/>
        </w:r>
      </w:hyperlink>
    </w:p>
    <w:p w14:paraId="55AC2AED" w14:textId="7B5A6040" w:rsidR="005A57F0" w:rsidRDefault="00000000">
      <w:pPr>
        <w:pStyle w:val="TOC2"/>
        <w:rPr>
          <w:rFonts w:eastAsiaTheme="minorEastAsia" w:cstheme="minorBidi"/>
          <w:noProof/>
          <w:kern w:val="2"/>
          <w:lang w:bidi="ar-SA"/>
          <w14:ligatures w14:val="standardContextual"/>
        </w:rPr>
      </w:pPr>
      <w:hyperlink w:anchor="_Toc172288700" w:history="1">
        <w:r w:rsidR="005A57F0" w:rsidRPr="00FE698B">
          <w:rPr>
            <w:rStyle w:val="Hyperlink"/>
            <w:rFonts w:eastAsia="Aptos"/>
            <w:noProof/>
          </w:rPr>
          <w:t>1.5</w:t>
        </w:r>
        <w:r w:rsidR="005A57F0">
          <w:rPr>
            <w:rFonts w:eastAsiaTheme="minorEastAsia" w:cstheme="minorBidi"/>
            <w:noProof/>
            <w:kern w:val="2"/>
            <w:lang w:bidi="ar-SA"/>
            <w14:ligatures w14:val="standardContextual"/>
          </w:rPr>
          <w:tab/>
        </w:r>
        <w:r w:rsidR="005A57F0" w:rsidRPr="00FE698B">
          <w:rPr>
            <w:rStyle w:val="Hyperlink"/>
            <w:rFonts w:eastAsia="Aptos"/>
            <w:noProof/>
          </w:rPr>
          <w:t>Urban expansion modeling</w:t>
        </w:r>
        <w:r w:rsidR="005A57F0">
          <w:rPr>
            <w:noProof/>
            <w:webHidden/>
          </w:rPr>
          <w:tab/>
        </w:r>
        <w:r w:rsidR="005A57F0">
          <w:rPr>
            <w:noProof/>
            <w:webHidden/>
          </w:rPr>
          <w:fldChar w:fldCharType="begin"/>
        </w:r>
        <w:r w:rsidR="005A57F0">
          <w:rPr>
            <w:noProof/>
            <w:webHidden/>
          </w:rPr>
          <w:instrText xml:space="preserve"> PAGEREF _Toc172288700 \h </w:instrText>
        </w:r>
        <w:r w:rsidR="005A57F0">
          <w:rPr>
            <w:noProof/>
            <w:webHidden/>
          </w:rPr>
        </w:r>
        <w:r w:rsidR="005A57F0">
          <w:rPr>
            <w:noProof/>
            <w:webHidden/>
          </w:rPr>
          <w:fldChar w:fldCharType="separate"/>
        </w:r>
        <w:r w:rsidR="00B129D9">
          <w:rPr>
            <w:noProof/>
            <w:webHidden/>
          </w:rPr>
          <w:t>5</w:t>
        </w:r>
        <w:r w:rsidR="005A57F0">
          <w:rPr>
            <w:noProof/>
            <w:webHidden/>
          </w:rPr>
          <w:fldChar w:fldCharType="end"/>
        </w:r>
      </w:hyperlink>
    </w:p>
    <w:p w14:paraId="48F7A58E" w14:textId="7CBB2FAE" w:rsidR="005A57F0" w:rsidRDefault="00000000">
      <w:pPr>
        <w:pStyle w:val="TOC2"/>
        <w:rPr>
          <w:rFonts w:eastAsiaTheme="minorEastAsia" w:cstheme="minorBidi"/>
          <w:noProof/>
          <w:kern w:val="2"/>
          <w:lang w:bidi="ar-SA"/>
          <w14:ligatures w14:val="standardContextual"/>
        </w:rPr>
      </w:pPr>
      <w:hyperlink w:anchor="_Toc172288701" w:history="1">
        <w:r w:rsidR="005A57F0" w:rsidRPr="00FE698B">
          <w:rPr>
            <w:rStyle w:val="Hyperlink"/>
            <w:noProof/>
          </w:rPr>
          <w:t>1.6</w:t>
        </w:r>
        <w:r w:rsidR="005A57F0">
          <w:rPr>
            <w:rFonts w:eastAsiaTheme="minorEastAsia" w:cstheme="minorBidi"/>
            <w:noProof/>
            <w:kern w:val="2"/>
            <w:lang w:bidi="ar-SA"/>
            <w14:ligatures w14:val="standardContextual"/>
          </w:rPr>
          <w:tab/>
        </w:r>
        <w:r w:rsidR="005A57F0" w:rsidRPr="00FE698B">
          <w:rPr>
            <w:rStyle w:val="Hyperlink"/>
            <w:noProof/>
          </w:rPr>
          <w:t>Purpose of dissertation and overview of chapters</w:t>
        </w:r>
        <w:r w:rsidR="005A57F0">
          <w:rPr>
            <w:noProof/>
            <w:webHidden/>
          </w:rPr>
          <w:tab/>
        </w:r>
        <w:r w:rsidR="005A57F0">
          <w:rPr>
            <w:noProof/>
            <w:webHidden/>
          </w:rPr>
          <w:fldChar w:fldCharType="begin"/>
        </w:r>
        <w:r w:rsidR="005A57F0">
          <w:rPr>
            <w:noProof/>
            <w:webHidden/>
          </w:rPr>
          <w:instrText xml:space="preserve"> PAGEREF _Toc172288701 \h </w:instrText>
        </w:r>
        <w:r w:rsidR="005A57F0">
          <w:rPr>
            <w:noProof/>
            <w:webHidden/>
          </w:rPr>
        </w:r>
        <w:r w:rsidR="005A57F0">
          <w:rPr>
            <w:noProof/>
            <w:webHidden/>
          </w:rPr>
          <w:fldChar w:fldCharType="separate"/>
        </w:r>
        <w:r w:rsidR="00B129D9">
          <w:rPr>
            <w:noProof/>
            <w:webHidden/>
          </w:rPr>
          <w:t>6</w:t>
        </w:r>
        <w:r w:rsidR="005A57F0">
          <w:rPr>
            <w:noProof/>
            <w:webHidden/>
          </w:rPr>
          <w:fldChar w:fldCharType="end"/>
        </w:r>
      </w:hyperlink>
    </w:p>
    <w:p w14:paraId="5F972229" w14:textId="7416C17F" w:rsidR="005A57F0" w:rsidRDefault="00000000">
      <w:pPr>
        <w:pStyle w:val="TOC1"/>
        <w:rPr>
          <w:rFonts w:eastAsiaTheme="minorEastAsia" w:cstheme="minorBidi"/>
          <w:b w:val="0"/>
          <w:bCs w:val="0"/>
          <w:kern w:val="2"/>
          <w:lang w:bidi="ar-SA"/>
          <w14:ligatures w14:val="standardContextual"/>
        </w:rPr>
      </w:pPr>
      <w:hyperlink w:anchor="_Toc172288702" w:history="1">
        <w:r w:rsidR="005A57F0" w:rsidRPr="00FE698B">
          <w:rPr>
            <w:rStyle w:val="Hyperlink"/>
          </w:rPr>
          <w:t>References</w:t>
        </w:r>
        <w:r w:rsidR="005A57F0">
          <w:rPr>
            <w:webHidden/>
          </w:rPr>
          <w:tab/>
        </w:r>
        <w:r w:rsidR="005A57F0">
          <w:rPr>
            <w:webHidden/>
          </w:rPr>
          <w:fldChar w:fldCharType="begin"/>
        </w:r>
        <w:r w:rsidR="005A57F0">
          <w:rPr>
            <w:webHidden/>
          </w:rPr>
          <w:instrText xml:space="preserve"> PAGEREF _Toc172288702 \h </w:instrText>
        </w:r>
        <w:r w:rsidR="005A57F0">
          <w:rPr>
            <w:webHidden/>
          </w:rPr>
        </w:r>
        <w:r w:rsidR="005A57F0">
          <w:rPr>
            <w:webHidden/>
          </w:rPr>
          <w:fldChar w:fldCharType="separate"/>
        </w:r>
        <w:r w:rsidR="00B129D9">
          <w:rPr>
            <w:webHidden/>
          </w:rPr>
          <w:t>10</w:t>
        </w:r>
        <w:r w:rsidR="005A57F0">
          <w:rPr>
            <w:webHidden/>
          </w:rPr>
          <w:fldChar w:fldCharType="end"/>
        </w:r>
      </w:hyperlink>
    </w:p>
    <w:p w14:paraId="4406561C" w14:textId="23E91EBD" w:rsidR="005A57F0" w:rsidRDefault="00000000">
      <w:pPr>
        <w:pStyle w:val="TOC1"/>
        <w:rPr>
          <w:rFonts w:eastAsiaTheme="minorEastAsia" w:cstheme="minorBidi"/>
          <w:b w:val="0"/>
          <w:bCs w:val="0"/>
          <w:kern w:val="2"/>
          <w:lang w:bidi="ar-SA"/>
          <w14:ligatures w14:val="standardContextual"/>
        </w:rPr>
      </w:pPr>
      <w:hyperlink w:anchor="_Toc172288703" w:history="1">
        <w:r w:rsidR="005A57F0" w:rsidRPr="00FE698B">
          <w:rPr>
            <w:rStyle w:val="Hyperlink"/>
          </w:rPr>
          <w:t>Chapter 2: Smaller Cities Have Large Impacts on West Africa’s Expanding Urban System</w:t>
        </w:r>
        <w:r w:rsidR="005A57F0">
          <w:rPr>
            <w:webHidden/>
          </w:rPr>
          <w:tab/>
        </w:r>
        <w:r w:rsidR="005A57F0">
          <w:rPr>
            <w:webHidden/>
          </w:rPr>
          <w:fldChar w:fldCharType="begin"/>
        </w:r>
        <w:r w:rsidR="005A57F0">
          <w:rPr>
            <w:webHidden/>
          </w:rPr>
          <w:instrText xml:space="preserve"> PAGEREF _Toc172288703 \h </w:instrText>
        </w:r>
        <w:r w:rsidR="005A57F0">
          <w:rPr>
            <w:webHidden/>
          </w:rPr>
        </w:r>
        <w:r w:rsidR="005A57F0">
          <w:rPr>
            <w:webHidden/>
          </w:rPr>
          <w:fldChar w:fldCharType="separate"/>
        </w:r>
        <w:r w:rsidR="00B129D9">
          <w:rPr>
            <w:webHidden/>
          </w:rPr>
          <w:t>16</w:t>
        </w:r>
        <w:r w:rsidR="005A57F0">
          <w:rPr>
            <w:webHidden/>
          </w:rPr>
          <w:fldChar w:fldCharType="end"/>
        </w:r>
      </w:hyperlink>
    </w:p>
    <w:p w14:paraId="42225A7F" w14:textId="3FD7E334" w:rsidR="005A57F0" w:rsidRDefault="00000000">
      <w:pPr>
        <w:pStyle w:val="TOC1"/>
        <w:rPr>
          <w:rFonts w:eastAsiaTheme="minorEastAsia" w:cstheme="minorBidi"/>
          <w:b w:val="0"/>
          <w:bCs w:val="0"/>
          <w:kern w:val="2"/>
          <w:lang w:bidi="ar-SA"/>
          <w14:ligatures w14:val="standardContextual"/>
        </w:rPr>
      </w:pPr>
      <w:hyperlink w:anchor="_Toc172288704" w:history="1">
        <w:r w:rsidR="005A57F0" w:rsidRPr="00FE698B">
          <w:rPr>
            <w:rStyle w:val="Hyperlink"/>
          </w:rPr>
          <w:t>Abstract</w:t>
        </w:r>
        <w:r w:rsidR="005A57F0">
          <w:rPr>
            <w:webHidden/>
          </w:rPr>
          <w:tab/>
        </w:r>
        <w:r w:rsidR="005A57F0">
          <w:rPr>
            <w:webHidden/>
          </w:rPr>
          <w:fldChar w:fldCharType="begin"/>
        </w:r>
        <w:r w:rsidR="005A57F0">
          <w:rPr>
            <w:webHidden/>
          </w:rPr>
          <w:instrText xml:space="preserve"> PAGEREF _Toc172288704 \h </w:instrText>
        </w:r>
        <w:r w:rsidR="005A57F0">
          <w:rPr>
            <w:webHidden/>
          </w:rPr>
        </w:r>
        <w:r w:rsidR="005A57F0">
          <w:rPr>
            <w:webHidden/>
          </w:rPr>
          <w:fldChar w:fldCharType="separate"/>
        </w:r>
        <w:r w:rsidR="00B129D9">
          <w:rPr>
            <w:webHidden/>
          </w:rPr>
          <w:t>17</w:t>
        </w:r>
        <w:r w:rsidR="005A57F0">
          <w:rPr>
            <w:webHidden/>
          </w:rPr>
          <w:fldChar w:fldCharType="end"/>
        </w:r>
      </w:hyperlink>
    </w:p>
    <w:p w14:paraId="3AF68A50" w14:textId="642C6EAE" w:rsidR="005A57F0" w:rsidRDefault="00000000">
      <w:pPr>
        <w:pStyle w:val="TOC2"/>
        <w:rPr>
          <w:rFonts w:eastAsiaTheme="minorEastAsia" w:cstheme="minorBidi"/>
          <w:noProof/>
          <w:kern w:val="2"/>
          <w:lang w:bidi="ar-SA"/>
          <w14:ligatures w14:val="standardContextual"/>
        </w:rPr>
      </w:pPr>
      <w:hyperlink w:anchor="_Toc172288705" w:history="1">
        <w:r w:rsidR="005A57F0" w:rsidRPr="00FE698B">
          <w:rPr>
            <w:rStyle w:val="Hyperlink"/>
            <w:noProof/>
          </w:rPr>
          <w:t>2.1</w:t>
        </w:r>
        <w:r w:rsidR="005A57F0">
          <w:rPr>
            <w:rFonts w:eastAsiaTheme="minorEastAsia" w:cstheme="minorBidi"/>
            <w:noProof/>
            <w:kern w:val="2"/>
            <w:lang w:bidi="ar-SA"/>
            <w14:ligatures w14:val="standardContextual"/>
          </w:rPr>
          <w:tab/>
        </w:r>
        <w:r w:rsidR="005A57F0" w:rsidRPr="00FE698B">
          <w:rPr>
            <w:rStyle w:val="Hyperlink"/>
            <w:noProof/>
          </w:rPr>
          <w:t>Introduction</w:t>
        </w:r>
        <w:r w:rsidR="005A57F0">
          <w:rPr>
            <w:noProof/>
            <w:webHidden/>
          </w:rPr>
          <w:tab/>
        </w:r>
        <w:r w:rsidR="005A57F0">
          <w:rPr>
            <w:noProof/>
            <w:webHidden/>
          </w:rPr>
          <w:fldChar w:fldCharType="begin"/>
        </w:r>
        <w:r w:rsidR="005A57F0">
          <w:rPr>
            <w:noProof/>
            <w:webHidden/>
          </w:rPr>
          <w:instrText xml:space="preserve"> PAGEREF _Toc172288705 \h </w:instrText>
        </w:r>
        <w:r w:rsidR="005A57F0">
          <w:rPr>
            <w:noProof/>
            <w:webHidden/>
          </w:rPr>
        </w:r>
        <w:r w:rsidR="005A57F0">
          <w:rPr>
            <w:noProof/>
            <w:webHidden/>
          </w:rPr>
          <w:fldChar w:fldCharType="separate"/>
        </w:r>
        <w:r w:rsidR="00B129D9">
          <w:rPr>
            <w:noProof/>
            <w:webHidden/>
          </w:rPr>
          <w:t>18</w:t>
        </w:r>
        <w:r w:rsidR="005A57F0">
          <w:rPr>
            <w:noProof/>
            <w:webHidden/>
          </w:rPr>
          <w:fldChar w:fldCharType="end"/>
        </w:r>
      </w:hyperlink>
    </w:p>
    <w:p w14:paraId="1F24E02D" w14:textId="4622D3C4"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06" w:history="1">
        <w:r w:rsidR="005A57F0" w:rsidRPr="00FE698B">
          <w:rPr>
            <w:rStyle w:val="Hyperlink"/>
            <w:rFonts w:ascii="Times" w:hAnsi="Times"/>
            <w:noProof/>
          </w:rPr>
          <w:t>2.1.1</w:t>
        </w:r>
        <w:r w:rsidR="005A57F0">
          <w:rPr>
            <w:rFonts w:eastAsiaTheme="minorEastAsia" w:cstheme="minorBidi"/>
            <w:noProof/>
            <w:kern w:val="2"/>
            <w:lang w:bidi="ar-SA"/>
            <w14:ligatures w14:val="standardContextual"/>
          </w:rPr>
          <w:tab/>
        </w:r>
        <w:r w:rsidR="005A57F0" w:rsidRPr="00FE698B">
          <w:rPr>
            <w:rStyle w:val="Hyperlink"/>
            <w:noProof/>
          </w:rPr>
          <w:t>Drivers of urban expansion in West Africa</w:t>
        </w:r>
        <w:r w:rsidR="005A57F0">
          <w:rPr>
            <w:noProof/>
            <w:webHidden/>
          </w:rPr>
          <w:tab/>
        </w:r>
        <w:r w:rsidR="005A57F0">
          <w:rPr>
            <w:noProof/>
            <w:webHidden/>
          </w:rPr>
          <w:fldChar w:fldCharType="begin"/>
        </w:r>
        <w:r w:rsidR="005A57F0">
          <w:rPr>
            <w:noProof/>
            <w:webHidden/>
          </w:rPr>
          <w:instrText xml:space="preserve"> PAGEREF _Toc172288706 \h </w:instrText>
        </w:r>
        <w:r w:rsidR="005A57F0">
          <w:rPr>
            <w:noProof/>
            <w:webHidden/>
          </w:rPr>
        </w:r>
        <w:r w:rsidR="005A57F0">
          <w:rPr>
            <w:noProof/>
            <w:webHidden/>
          </w:rPr>
          <w:fldChar w:fldCharType="separate"/>
        </w:r>
        <w:r w:rsidR="00B129D9">
          <w:rPr>
            <w:noProof/>
            <w:webHidden/>
          </w:rPr>
          <w:t>18</w:t>
        </w:r>
        <w:r w:rsidR="005A57F0">
          <w:rPr>
            <w:noProof/>
            <w:webHidden/>
          </w:rPr>
          <w:fldChar w:fldCharType="end"/>
        </w:r>
      </w:hyperlink>
    </w:p>
    <w:p w14:paraId="64B8F244" w14:textId="6FF74ED1"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07" w:history="1">
        <w:r w:rsidR="005A57F0" w:rsidRPr="00FE698B">
          <w:rPr>
            <w:rStyle w:val="Hyperlink"/>
            <w:rFonts w:ascii="Times" w:hAnsi="Times"/>
            <w:noProof/>
          </w:rPr>
          <w:t>2.1.2</w:t>
        </w:r>
        <w:r w:rsidR="005A57F0">
          <w:rPr>
            <w:rFonts w:eastAsiaTheme="minorEastAsia" w:cstheme="minorBidi"/>
            <w:noProof/>
            <w:kern w:val="2"/>
            <w:lang w:bidi="ar-SA"/>
            <w14:ligatures w14:val="standardContextual"/>
          </w:rPr>
          <w:tab/>
        </w:r>
        <w:r w:rsidR="005A57F0" w:rsidRPr="00FE698B">
          <w:rPr>
            <w:rStyle w:val="Hyperlink"/>
            <w:noProof/>
          </w:rPr>
          <w:t>Geospatial analysis of urban network expansion</w:t>
        </w:r>
        <w:r w:rsidR="005A57F0">
          <w:rPr>
            <w:noProof/>
            <w:webHidden/>
          </w:rPr>
          <w:tab/>
        </w:r>
        <w:r w:rsidR="005A57F0">
          <w:rPr>
            <w:noProof/>
            <w:webHidden/>
          </w:rPr>
          <w:fldChar w:fldCharType="begin"/>
        </w:r>
        <w:r w:rsidR="005A57F0">
          <w:rPr>
            <w:noProof/>
            <w:webHidden/>
          </w:rPr>
          <w:instrText xml:space="preserve"> PAGEREF _Toc172288707 \h </w:instrText>
        </w:r>
        <w:r w:rsidR="005A57F0">
          <w:rPr>
            <w:noProof/>
            <w:webHidden/>
          </w:rPr>
        </w:r>
        <w:r w:rsidR="005A57F0">
          <w:rPr>
            <w:noProof/>
            <w:webHidden/>
          </w:rPr>
          <w:fldChar w:fldCharType="separate"/>
        </w:r>
        <w:r w:rsidR="00B129D9">
          <w:rPr>
            <w:noProof/>
            <w:webHidden/>
          </w:rPr>
          <w:t>21</w:t>
        </w:r>
        <w:r w:rsidR="005A57F0">
          <w:rPr>
            <w:noProof/>
            <w:webHidden/>
          </w:rPr>
          <w:fldChar w:fldCharType="end"/>
        </w:r>
      </w:hyperlink>
    </w:p>
    <w:p w14:paraId="26330554" w14:textId="39991FAC"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08" w:history="1">
        <w:r w:rsidR="005A57F0" w:rsidRPr="00FE698B">
          <w:rPr>
            <w:rStyle w:val="Hyperlink"/>
            <w:rFonts w:ascii="Times" w:hAnsi="Times"/>
            <w:noProof/>
          </w:rPr>
          <w:t>2.1.3</w:t>
        </w:r>
        <w:r w:rsidR="005A57F0">
          <w:rPr>
            <w:rFonts w:eastAsiaTheme="minorEastAsia" w:cstheme="minorBidi"/>
            <w:noProof/>
            <w:kern w:val="2"/>
            <w:lang w:bidi="ar-SA"/>
            <w14:ligatures w14:val="standardContextual"/>
          </w:rPr>
          <w:tab/>
        </w:r>
        <w:r w:rsidR="005A57F0" w:rsidRPr="00FE698B">
          <w:rPr>
            <w:rStyle w:val="Hyperlink"/>
            <w:noProof/>
          </w:rPr>
          <w:t>Study rationale and objectives</w:t>
        </w:r>
        <w:r w:rsidR="005A57F0">
          <w:rPr>
            <w:noProof/>
            <w:webHidden/>
          </w:rPr>
          <w:tab/>
        </w:r>
        <w:r w:rsidR="005A57F0">
          <w:rPr>
            <w:noProof/>
            <w:webHidden/>
          </w:rPr>
          <w:fldChar w:fldCharType="begin"/>
        </w:r>
        <w:r w:rsidR="005A57F0">
          <w:rPr>
            <w:noProof/>
            <w:webHidden/>
          </w:rPr>
          <w:instrText xml:space="preserve"> PAGEREF _Toc172288708 \h </w:instrText>
        </w:r>
        <w:r w:rsidR="005A57F0">
          <w:rPr>
            <w:noProof/>
            <w:webHidden/>
          </w:rPr>
        </w:r>
        <w:r w:rsidR="005A57F0">
          <w:rPr>
            <w:noProof/>
            <w:webHidden/>
          </w:rPr>
          <w:fldChar w:fldCharType="separate"/>
        </w:r>
        <w:r w:rsidR="00B129D9">
          <w:rPr>
            <w:noProof/>
            <w:webHidden/>
          </w:rPr>
          <w:t>22</w:t>
        </w:r>
        <w:r w:rsidR="005A57F0">
          <w:rPr>
            <w:noProof/>
            <w:webHidden/>
          </w:rPr>
          <w:fldChar w:fldCharType="end"/>
        </w:r>
      </w:hyperlink>
    </w:p>
    <w:p w14:paraId="0E602D34" w14:textId="16B65E97" w:rsidR="005A57F0" w:rsidRDefault="00000000">
      <w:pPr>
        <w:pStyle w:val="TOC2"/>
        <w:rPr>
          <w:rFonts w:eastAsiaTheme="minorEastAsia" w:cstheme="minorBidi"/>
          <w:noProof/>
          <w:kern w:val="2"/>
          <w:lang w:bidi="ar-SA"/>
          <w14:ligatures w14:val="standardContextual"/>
        </w:rPr>
      </w:pPr>
      <w:hyperlink w:anchor="_Toc172288709" w:history="1">
        <w:r w:rsidR="005A57F0" w:rsidRPr="00FE698B">
          <w:rPr>
            <w:rStyle w:val="Hyperlink"/>
            <w:noProof/>
          </w:rPr>
          <w:t>2.2</w:t>
        </w:r>
        <w:r w:rsidR="005A57F0">
          <w:rPr>
            <w:rFonts w:eastAsiaTheme="minorEastAsia" w:cstheme="minorBidi"/>
            <w:noProof/>
            <w:kern w:val="2"/>
            <w:lang w:bidi="ar-SA"/>
            <w14:ligatures w14:val="standardContextual"/>
          </w:rPr>
          <w:tab/>
        </w:r>
        <w:r w:rsidR="005A57F0" w:rsidRPr="00FE698B">
          <w:rPr>
            <w:rStyle w:val="Hyperlink"/>
            <w:noProof/>
          </w:rPr>
          <w:t>Materials and Methods</w:t>
        </w:r>
        <w:r w:rsidR="005A57F0">
          <w:rPr>
            <w:noProof/>
            <w:webHidden/>
          </w:rPr>
          <w:tab/>
        </w:r>
        <w:r w:rsidR="005A57F0">
          <w:rPr>
            <w:noProof/>
            <w:webHidden/>
          </w:rPr>
          <w:fldChar w:fldCharType="begin"/>
        </w:r>
        <w:r w:rsidR="005A57F0">
          <w:rPr>
            <w:noProof/>
            <w:webHidden/>
          </w:rPr>
          <w:instrText xml:space="preserve"> PAGEREF _Toc172288709 \h </w:instrText>
        </w:r>
        <w:r w:rsidR="005A57F0">
          <w:rPr>
            <w:noProof/>
            <w:webHidden/>
          </w:rPr>
        </w:r>
        <w:r w:rsidR="005A57F0">
          <w:rPr>
            <w:noProof/>
            <w:webHidden/>
          </w:rPr>
          <w:fldChar w:fldCharType="separate"/>
        </w:r>
        <w:r w:rsidR="00B129D9">
          <w:rPr>
            <w:noProof/>
            <w:webHidden/>
          </w:rPr>
          <w:t>23</w:t>
        </w:r>
        <w:r w:rsidR="005A57F0">
          <w:rPr>
            <w:noProof/>
            <w:webHidden/>
          </w:rPr>
          <w:fldChar w:fldCharType="end"/>
        </w:r>
      </w:hyperlink>
    </w:p>
    <w:p w14:paraId="1AB2D486" w14:textId="52080903"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10" w:history="1">
        <w:r w:rsidR="005A57F0" w:rsidRPr="00FE698B">
          <w:rPr>
            <w:rStyle w:val="Hyperlink"/>
            <w:rFonts w:ascii="Times" w:hAnsi="Times"/>
            <w:noProof/>
          </w:rPr>
          <w:t>2.2.1</w:t>
        </w:r>
        <w:r w:rsidR="005A57F0">
          <w:rPr>
            <w:rFonts w:eastAsiaTheme="minorEastAsia" w:cstheme="minorBidi"/>
            <w:noProof/>
            <w:kern w:val="2"/>
            <w:lang w:bidi="ar-SA"/>
            <w14:ligatures w14:val="standardContextual"/>
          </w:rPr>
          <w:tab/>
        </w:r>
        <w:r w:rsidR="005A57F0" w:rsidRPr="00FE698B">
          <w:rPr>
            <w:rStyle w:val="Hyperlink"/>
            <w:noProof/>
          </w:rPr>
          <w:t>Study area</w:t>
        </w:r>
        <w:r w:rsidR="005A57F0">
          <w:rPr>
            <w:noProof/>
            <w:webHidden/>
          </w:rPr>
          <w:tab/>
        </w:r>
        <w:r w:rsidR="005A57F0">
          <w:rPr>
            <w:noProof/>
            <w:webHidden/>
          </w:rPr>
          <w:fldChar w:fldCharType="begin"/>
        </w:r>
        <w:r w:rsidR="005A57F0">
          <w:rPr>
            <w:noProof/>
            <w:webHidden/>
          </w:rPr>
          <w:instrText xml:space="preserve"> PAGEREF _Toc172288710 \h </w:instrText>
        </w:r>
        <w:r w:rsidR="005A57F0">
          <w:rPr>
            <w:noProof/>
            <w:webHidden/>
          </w:rPr>
        </w:r>
        <w:r w:rsidR="005A57F0">
          <w:rPr>
            <w:noProof/>
            <w:webHidden/>
          </w:rPr>
          <w:fldChar w:fldCharType="separate"/>
        </w:r>
        <w:r w:rsidR="00B129D9">
          <w:rPr>
            <w:noProof/>
            <w:webHidden/>
          </w:rPr>
          <w:t>24</w:t>
        </w:r>
        <w:r w:rsidR="005A57F0">
          <w:rPr>
            <w:noProof/>
            <w:webHidden/>
          </w:rPr>
          <w:fldChar w:fldCharType="end"/>
        </w:r>
      </w:hyperlink>
    </w:p>
    <w:p w14:paraId="598FC7BC" w14:textId="78C50C29"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11" w:history="1">
        <w:r w:rsidR="005A57F0" w:rsidRPr="00FE698B">
          <w:rPr>
            <w:rStyle w:val="Hyperlink"/>
            <w:rFonts w:ascii="Times" w:hAnsi="Times"/>
            <w:noProof/>
          </w:rPr>
          <w:t>2.2.2</w:t>
        </w:r>
        <w:r w:rsidR="005A57F0">
          <w:rPr>
            <w:rFonts w:eastAsiaTheme="minorEastAsia" w:cstheme="minorBidi"/>
            <w:noProof/>
            <w:kern w:val="2"/>
            <w:lang w:bidi="ar-SA"/>
            <w14:ligatures w14:val="standardContextual"/>
          </w:rPr>
          <w:tab/>
        </w:r>
        <w:r w:rsidR="005A57F0" w:rsidRPr="00FE698B">
          <w:rPr>
            <w:rStyle w:val="Hyperlink"/>
            <w:noProof/>
          </w:rPr>
          <w:t>Urban cover change data</w:t>
        </w:r>
        <w:r w:rsidR="005A57F0">
          <w:rPr>
            <w:noProof/>
            <w:webHidden/>
          </w:rPr>
          <w:tab/>
        </w:r>
        <w:r w:rsidR="005A57F0">
          <w:rPr>
            <w:noProof/>
            <w:webHidden/>
          </w:rPr>
          <w:fldChar w:fldCharType="begin"/>
        </w:r>
        <w:r w:rsidR="005A57F0">
          <w:rPr>
            <w:noProof/>
            <w:webHidden/>
          </w:rPr>
          <w:instrText xml:space="preserve"> PAGEREF _Toc172288711 \h </w:instrText>
        </w:r>
        <w:r w:rsidR="005A57F0">
          <w:rPr>
            <w:noProof/>
            <w:webHidden/>
          </w:rPr>
        </w:r>
        <w:r w:rsidR="005A57F0">
          <w:rPr>
            <w:noProof/>
            <w:webHidden/>
          </w:rPr>
          <w:fldChar w:fldCharType="separate"/>
        </w:r>
        <w:r w:rsidR="00B129D9">
          <w:rPr>
            <w:noProof/>
            <w:webHidden/>
          </w:rPr>
          <w:t>26</w:t>
        </w:r>
        <w:r w:rsidR="005A57F0">
          <w:rPr>
            <w:noProof/>
            <w:webHidden/>
          </w:rPr>
          <w:fldChar w:fldCharType="end"/>
        </w:r>
      </w:hyperlink>
    </w:p>
    <w:p w14:paraId="7BEE53D4" w14:textId="08A832BF"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12" w:history="1">
        <w:r w:rsidR="005A57F0" w:rsidRPr="00FE698B">
          <w:rPr>
            <w:rStyle w:val="Hyperlink"/>
            <w:noProof/>
          </w:rPr>
          <w:t>2.2.3</w:t>
        </w:r>
        <w:r w:rsidR="005A57F0">
          <w:rPr>
            <w:rFonts w:eastAsiaTheme="minorEastAsia" w:cstheme="minorBidi"/>
            <w:noProof/>
            <w:kern w:val="2"/>
            <w:lang w:bidi="ar-SA"/>
            <w14:ligatures w14:val="standardContextual"/>
          </w:rPr>
          <w:tab/>
        </w:r>
        <w:r w:rsidR="005A57F0" w:rsidRPr="00FE698B">
          <w:rPr>
            <w:rStyle w:val="Hyperlink"/>
            <w:noProof/>
          </w:rPr>
          <w:t>Quantifying urban expansion</w:t>
        </w:r>
        <w:r w:rsidR="005A57F0">
          <w:rPr>
            <w:noProof/>
            <w:webHidden/>
          </w:rPr>
          <w:tab/>
        </w:r>
        <w:r w:rsidR="005A57F0">
          <w:rPr>
            <w:noProof/>
            <w:webHidden/>
          </w:rPr>
          <w:fldChar w:fldCharType="begin"/>
        </w:r>
        <w:r w:rsidR="005A57F0">
          <w:rPr>
            <w:noProof/>
            <w:webHidden/>
          </w:rPr>
          <w:instrText xml:space="preserve"> PAGEREF _Toc172288712 \h </w:instrText>
        </w:r>
        <w:r w:rsidR="005A57F0">
          <w:rPr>
            <w:noProof/>
            <w:webHidden/>
          </w:rPr>
        </w:r>
        <w:r w:rsidR="005A57F0">
          <w:rPr>
            <w:noProof/>
            <w:webHidden/>
          </w:rPr>
          <w:fldChar w:fldCharType="separate"/>
        </w:r>
        <w:r w:rsidR="00B129D9">
          <w:rPr>
            <w:noProof/>
            <w:webHidden/>
          </w:rPr>
          <w:t>29</w:t>
        </w:r>
        <w:r w:rsidR="005A57F0">
          <w:rPr>
            <w:noProof/>
            <w:webHidden/>
          </w:rPr>
          <w:fldChar w:fldCharType="end"/>
        </w:r>
      </w:hyperlink>
    </w:p>
    <w:p w14:paraId="0112F8BC" w14:textId="63C8CB46"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13" w:history="1">
        <w:r w:rsidR="005A57F0" w:rsidRPr="00FE698B">
          <w:rPr>
            <w:rStyle w:val="Hyperlink"/>
            <w:noProof/>
          </w:rPr>
          <w:t>2.2.4</w:t>
        </w:r>
        <w:r w:rsidR="005A57F0">
          <w:rPr>
            <w:rFonts w:eastAsiaTheme="minorEastAsia" w:cstheme="minorBidi"/>
            <w:noProof/>
            <w:kern w:val="2"/>
            <w:lang w:bidi="ar-SA"/>
            <w14:ligatures w14:val="standardContextual"/>
          </w:rPr>
          <w:tab/>
        </w:r>
        <w:r w:rsidR="005A57F0" w:rsidRPr="00FE698B">
          <w:rPr>
            <w:rStyle w:val="Hyperlink"/>
            <w:noProof/>
          </w:rPr>
          <w:t>Modeling city size and average annual urban growth rates</w:t>
        </w:r>
        <w:r w:rsidR="005A57F0">
          <w:rPr>
            <w:noProof/>
            <w:webHidden/>
          </w:rPr>
          <w:tab/>
        </w:r>
        <w:r w:rsidR="005A57F0">
          <w:rPr>
            <w:noProof/>
            <w:webHidden/>
          </w:rPr>
          <w:fldChar w:fldCharType="begin"/>
        </w:r>
        <w:r w:rsidR="005A57F0">
          <w:rPr>
            <w:noProof/>
            <w:webHidden/>
          </w:rPr>
          <w:instrText xml:space="preserve"> PAGEREF _Toc172288713 \h </w:instrText>
        </w:r>
        <w:r w:rsidR="005A57F0">
          <w:rPr>
            <w:noProof/>
            <w:webHidden/>
          </w:rPr>
        </w:r>
        <w:r w:rsidR="005A57F0">
          <w:rPr>
            <w:noProof/>
            <w:webHidden/>
          </w:rPr>
          <w:fldChar w:fldCharType="separate"/>
        </w:r>
        <w:r w:rsidR="00B129D9">
          <w:rPr>
            <w:noProof/>
            <w:webHidden/>
          </w:rPr>
          <w:t>30</w:t>
        </w:r>
        <w:r w:rsidR="005A57F0">
          <w:rPr>
            <w:noProof/>
            <w:webHidden/>
          </w:rPr>
          <w:fldChar w:fldCharType="end"/>
        </w:r>
      </w:hyperlink>
    </w:p>
    <w:p w14:paraId="4FDCFC91" w14:textId="75C2BE12" w:rsidR="005A57F0" w:rsidRDefault="00000000">
      <w:pPr>
        <w:pStyle w:val="TOC2"/>
        <w:rPr>
          <w:rFonts w:eastAsiaTheme="minorEastAsia" w:cstheme="minorBidi"/>
          <w:noProof/>
          <w:kern w:val="2"/>
          <w:lang w:bidi="ar-SA"/>
          <w14:ligatures w14:val="standardContextual"/>
        </w:rPr>
      </w:pPr>
      <w:hyperlink w:anchor="_Toc172288714" w:history="1">
        <w:r w:rsidR="005A57F0" w:rsidRPr="00FE698B">
          <w:rPr>
            <w:rStyle w:val="Hyperlink"/>
            <w:noProof/>
          </w:rPr>
          <w:t>2.3</w:t>
        </w:r>
        <w:r w:rsidR="005A57F0">
          <w:rPr>
            <w:rFonts w:eastAsiaTheme="minorEastAsia" w:cstheme="minorBidi"/>
            <w:noProof/>
            <w:kern w:val="2"/>
            <w:lang w:bidi="ar-SA"/>
            <w14:ligatures w14:val="standardContextual"/>
          </w:rPr>
          <w:tab/>
        </w:r>
        <w:r w:rsidR="005A57F0" w:rsidRPr="00FE698B">
          <w:rPr>
            <w:rStyle w:val="Hyperlink"/>
            <w:noProof/>
          </w:rPr>
          <w:t>Results</w:t>
        </w:r>
        <w:r w:rsidR="005A57F0">
          <w:rPr>
            <w:noProof/>
            <w:webHidden/>
          </w:rPr>
          <w:tab/>
        </w:r>
        <w:r w:rsidR="005A57F0">
          <w:rPr>
            <w:noProof/>
            <w:webHidden/>
          </w:rPr>
          <w:fldChar w:fldCharType="begin"/>
        </w:r>
        <w:r w:rsidR="005A57F0">
          <w:rPr>
            <w:noProof/>
            <w:webHidden/>
          </w:rPr>
          <w:instrText xml:space="preserve"> PAGEREF _Toc172288714 \h </w:instrText>
        </w:r>
        <w:r w:rsidR="005A57F0">
          <w:rPr>
            <w:noProof/>
            <w:webHidden/>
          </w:rPr>
        </w:r>
        <w:r w:rsidR="005A57F0">
          <w:rPr>
            <w:noProof/>
            <w:webHidden/>
          </w:rPr>
          <w:fldChar w:fldCharType="separate"/>
        </w:r>
        <w:r w:rsidR="00B129D9">
          <w:rPr>
            <w:noProof/>
            <w:webHidden/>
          </w:rPr>
          <w:t>31</w:t>
        </w:r>
        <w:r w:rsidR="005A57F0">
          <w:rPr>
            <w:noProof/>
            <w:webHidden/>
          </w:rPr>
          <w:fldChar w:fldCharType="end"/>
        </w:r>
      </w:hyperlink>
    </w:p>
    <w:p w14:paraId="6BD23053" w14:textId="41429089"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15" w:history="1">
        <w:r w:rsidR="005A57F0" w:rsidRPr="00FE698B">
          <w:rPr>
            <w:rStyle w:val="Hyperlink"/>
            <w:noProof/>
          </w:rPr>
          <w:t>2.3.1</w:t>
        </w:r>
        <w:r w:rsidR="005A57F0">
          <w:rPr>
            <w:rFonts w:eastAsiaTheme="minorEastAsia" w:cstheme="minorBidi"/>
            <w:noProof/>
            <w:kern w:val="2"/>
            <w:lang w:bidi="ar-SA"/>
            <w14:ligatures w14:val="standardContextual"/>
          </w:rPr>
          <w:tab/>
        </w:r>
        <w:r w:rsidR="005A57F0" w:rsidRPr="00FE698B">
          <w:rPr>
            <w:rStyle w:val="Hyperlink"/>
            <w:noProof/>
          </w:rPr>
          <w:t>Validation and classification accuracies</w:t>
        </w:r>
        <w:r w:rsidR="005A57F0">
          <w:rPr>
            <w:noProof/>
            <w:webHidden/>
          </w:rPr>
          <w:tab/>
        </w:r>
        <w:r w:rsidR="005A57F0">
          <w:rPr>
            <w:noProof/>
            <w:webHidden/>
          </w:rPr>
          <w:fldChar w:fldCharType="begin"/>
        </w:r>
        <w:r w:rsidR="005A57F0">
          <w:rPr>
            <w:noProof/>
            <w:webHidden/>
          </w:rPr>
          <w:instrText xml:space="preserve"> PAGEREF _Toc172288715 \h </w:instrText>
        </w:r>
        <w:r w:rsidR="005A57F0">
          <w:rPr>
            <w:noProof/>
            <w:webHidden/>
          </w:rPr>
        </w:r>
        <w:r w:rsidR="005A57F0">
          <w:rPr>
            <w:noProof/>
            <w:webHidden/>
          </w:rPr>
          <w:fldChar w:fldCharType="separate"/>
        </w:r>
        <w:r w:rsidR="00B129D9">
          <w:rPr>
            <w:noProof/>
            <w:webHidden/>
          </w:rPr>
          <w:t>31</w:t>
        </w:r>
        <w:r w:rsidR="005A57F0">
          <w:rPr>
            <w:noProof/>
            <w:webHidden/>
          </w:rPr>
          <w:fldChar w:fldCharType="end"/>
        </w:r>
      </w:hyperlink>
    </w:p>
    <w:p w14:paraId="7994C9CC" w14:textId="3943C19E"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16" w:history="1">
        <w:r w:rsidR="005A57F0" w:rsidRPr="00FE698B">
          <w:rPr>
            <w:rStyle w:val="Hyperlink"/>
            <w:noProof/>
          </w:rPr>
          <w:t>2.3.2</w:t>
        </w:r>
        <w:r w:rsidR="005A57F0">
          <w:rPr>
            <w:rFonts w:eastAsiaTheme="minorEastAsia" w:cstheme="minorBidi"/>
            <w:noProof/>
            <w:kern w:val="2"/>
            <w:lang w:bidi="ar-SA"/>
            <w14:ligatures w14:val="standardContextual"/>
          </w:rPr>
          <w:tab/>
        </w:r>
        <w:r w:rsidR="005A57F0" w:rsidRPr="00FE698B">
          <w:rPr>
            <w:rStyle w:val="Hyperlink"/>
            <w:noProof/>
          </w:rPr>
          <w:t>Quantities and rates of urban expansion</w:t>
        </w:r>
        <w:r w:rsidR="005A57F0">
          <w:rPr>
            <w:noProof/>
            <w:webHidden/>
          </w:rPr>
          <w:tab/>
        </w:r>
        <w:r w:rsidR="005A57F0">
          <w:rPr>
            <w:noProof/>
            <w:webHidden/>
          </w:rPr>
          <w:fldChar w:fldCharType="begin"/>
        </w:r>
        <w:r w:rsidR="005A57F0">
          <w:rPr>
            <w:noProof/>
            <w:webHidden/>
          </w:rPr>
          <w:instrText xml:space="preserve"> PAGEREF _Toc172288716 \h </w:instrText>
        </w:r>
        <w:r w:rsidR="005A57F0">
          <w:rPr>
            <w:noProof/>
            <w:webHidden/>
          </w:rPr>
        </w:r>
        <w:r w:rsidR="005A57F0">
          <w:rPr>
            <w:noProof/>
            <w:webHidden/>
          </w:rPr>
          <w:fldChar w:fldCharType="separate"/>
        </w:r>
        <w:r w:rsidR="00B129D9">
          <w:rPr>
            <w:noProof/>
            <w:webHidden/>
          </w:rPr>
          <w:t>31</w:t>
        </w:r>
        <w:r w:rsidR="005A57F0">
          <w:rPr>
            <w:noProof/>
            <w:webHidden/>
          </w:rPr>
          <w:fldChar w:fldCharType="end"/>
        </w:r>
      </w:hyperlink>
    </w:p>
    <w:p w14:paraId="5C0E9BCE" w14:textId="5AF28DEA"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17" w:history="1">
        <w:r w:rsidR="005A57F0" w:rsidRPr="00FE698B">
          <w:rPr>
            <w:rStyle w:val="Hyperlink"/>
            <w:noProof/>
          </w:rPr>
          <w:t>2.3.3</w:t>
        </w:r>
        <w:r w:rsidR="005A57F0">
          <w:rPr>
            <w:rFonts w:eastAsiaTheme="minorEastAsia" w:cstheme="minorBidi"/>
            <w:noProof/>
            <w:kern w:val="2"/>
            <w:lang w:bidi="ar-SA"/>
            <w14:ligatures w14:val="standardContextual"/>
          </w:rPr>
          <w:tab/>
        </w:r>
        <w:r w:rsidR="005A57F0" w:rsidRPr="00FE698B">
          <w:rPr>
            <w:rStyle w:val="Hyperlink"/>
            <w:noProof/>
          </w:rPr>
          <w:t>Patterns of sprawl and infill expansion</w:t>
        </w:r>
        <w:r w:rsidR="005A57F0">
          <w:rPr>
            <w:noProof/>
            <w:webHidden/>
          </w:rPr>
          <w:tab/>
        </w:r>
        <w:r w:rsidR="005A57F0">
          <w:rPr>
            <w:noProof/>
            <w:webHidden/>
          </w:rPr>
          <w:fldChar w:fldCharType="begin"/>
        </w:r>
        <w:r w:rsidR="005A57F0">
          <w:rPr>
            <w:noProof/>
            <w:webHidden/>
          </w:rPr>
          <w:instrText xml:space="preserve"> PAGEREF _Toc172288717 \h </w:instrText>
        </w:r>
        <w:r w:rsidR="005A57F0">
          <w:rPr>
            <w:noProof/>
            <w:webHidden/>
          </w:rPr>
        </w:r>
        <w:r w:rsidR="005A57F0">
          <w:rPr>
            <w:noProof/>
            <w:webHidden/>
          </w:rPr>
          <w:fldChar w:fldCharType="separate"/>
        </w:r>
        <w:r w:rsidR="00B129D9">
          <w:rPr>
            <w:noProof/>
            <w:webHidden/>
          </w:rPr>
          <w:t>35</w:t>
        </w:r>
        <w:r w:rsidR="005A57F0">
          <w:rPr>
            <w:noProof/>
            <w:webHidden/>
          </w:rPr>
          <w:fldChar w:fldCharType="end"/>
        </w:r>
      </w:hyperlink>
    </w:p>
    <w:p w14:paraId="377C220D" w14:textId="45A19017"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18" w:history="1">
        <w:r w:rsidR="005A57F0" w:rsidRPr="00FE698B">
          <w:rPr>
            <w:rStyle w:val="Hyperlink"/>
            <w:noProof/>
          </w:rPr>
          <w:t>2.3.4</w:t>
        </w:r>
        <w:r w:rsidR="005A57F0">
          <w:rPr>
            <w:rFonts w:eastAsiaTheme="minorEastAsia" w:cstheme="minorBidi"/>
            <w:noProof/>
            <w:kern w:val="2"/>
            <w:lang w:bidi="ar-SA"/>
            <w14:ligatures w14:val="standardContextual"/>
          </w:rPr>
          <w:tab/>
        </w:r>
        <w:r w:rsidR="005A57F0" w:rsidRPr="00FE698B">
          <w:rPr>
            <w:rStyle w:val="Hyperlink"/>
            <w:noProof/>
          </w:rPr>
          <w:t>Expansion rate in relation to developed area</w:t>
        </w:r>
        <w:r w:rsidR="005A57F0">
          <w:rPr>
            <w:noProof/>
            <w:webHidden/>
          </w:rPr>
          <w:tab/>
        </w:r>
        <w:r w:rsidR="005A57F0">
          <w:rPr>
            <w:noProof/>
            <w:webHidden/>
          </w:rPr>
          <w:fldChar w:fldCharType="begin"/>
        </w:r>
        <w:r w:rsidR="005A57F0">
          <w:rPr>
            <w:noProof/>
            <w:webHidden/>
          </w:rPr>
          <w:instrText xml:space="preserve"> PAGEREF _Toc172288718 \h </w:instrText>
        </w:r>
        <w:r w:rsidR="005A57F0">
          <w:rPr>
            <w:noProof/>
            <w:webHidden/>
          </w:rPr>
        </w:r>
        <w:r w:rsidR="005A57F0">
          <w:rPr>
            <w:noProof/>
            <w:webHidden/>
          </w:rPr>
          <w:fldChar w:fldCharType="separate"/>
        </w:r>
        <w:r w:rsidR="00B129D9">
          <w:rPr>
            <w:noProof/>
            <w:webHidden/>
          </w:rPr>
          <w:t>36</w:t>
        </w:r>
        <w:r w:rsidR="005A57F0">
          <w:rPr>
            <w:noProof/>
            <w:webHidden/>
          </w:rPr>
          <w:fldChar w:fldCharType="end"/>
        </w:r>
      </w:hyperlink>
    </w:p>
    <w:p w14:paraId="30331C00" w14:textId="3F3B32C9"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19" w:history="1">
        <w:r w:rsidR="005A57F0" w:rsidRPr="00FE698B">
          <w:rPr>
            <w:rStyle w:val="Hyperlink"/>
            <w:noProof/>
          </w:rPr>
          <w:t>2.3.5</w:t>
        </w:r>
        <w:r w:rsidR="005A57F0">
          <w:rPr>
            <w:rFonts w:eastAsiaTheme="minorEastAsia" w:cstheme="minorBidi"/>
            <w:noProof/>
            <w:kern w:val="2"/>
            <w:lang w:bidi="ar-SA"/>
            <w14:ligatures w14:val="standardContextual"/>
          </w:rPr>
          <w:tab/>
        </w:r>
        <w:r w:rsidR="005A57F0" w:rsidRPr="00FE698B">
          <w:rPr>
            <w:rStyle w:val="Hyperlink"/>
            <w:noProof/>
          </w:rPr>
          <w:t>Expansion rate in relation to developed area and gravity index</w:t>
        </w:r>
        <w:r w:rsidR="005A57F0">
          <w:rPr>
            <w:noProof/>
            <w:webHidden/>
          </w:rPr>
          <w:tab/>
        </w:r>
        <w:r w:rsidR="005A57F0">
          <w:rPr>
            <w:noProof/>
            <w:webHidden/>
          </w:rPr>
          <w:fldChar w:fldCharType="begin"/>
        </w:r>
        <w:r w:rsidR="005A57F0">
          <w:rPr>
            <w:noProof/>
            <w:webHidden/>
          </w:rPr>
          <w:instrText xml:space="preserve"> PAGEREF _Toc172288719 \h </w:instrText>
        </w:r>
        <w:r w:rsidR="005A57F0">
          <w:rPr>
            <w:noProof/>
            <w:webHidden/>
          </w:rPr>
        </w:r>
        <w:r w:rsidR="005A57F0">
          <w:rPr>
            <w:noProof/>
            <w:webHidden/>
          </w:rPr>
          <w:fldChar w:fldCharType="separate"/>
        </w:r>
        <w:r w:rsidR="00B129D9">
          <w:rPr>
            <w:noProof/>
            <w:webHidden/>
          </w:rPr>
          <w:t>37</w:t>
        </w:r>
        <w:r w:rsidR="005A57F0">
          <w:rPr>
            <w:noProof/>
            <w:webHidden/>
          </w:rPr>
          <w:fldChar w:fldCharType="end"/>
        </w:r>
      </w:hyperlink>
    </w:p>
    <w:p w14:paraId="33C5E638" w14:textId="7EF046C4" w:rsidR="005A57F0" w:rsidRDefault="00000000">
      <w:pPr>
        <w:pStyle w:val="TOC2"/>
        <w:rPr>
          <w:rFonts w:eastAsiaTheme="minorEastAsia" w:cstheme="minorBidi"/>
          <w:noProof/>
          <w:kern w:val="2"/>
          <w:lang w:bidi="ar-SA"/>
          <w14:ligatures w14:val="standardContextual"/>
        </w:rPr>
      </w:pPr>
      <w:hyperlink w:anchor="_Toc172288720" w:history="1">
        <w:r w:rsidR="005A57F0" w:rsidRPr="00FE698B">
          <w:rPr>
            <w:rStyle w:val="Hyperlink"/>
            <w:noProof/>
          </w:rPr>
          <w:t>2.4</w:t>
        </w:r>
        <w:r w:rsidR="005A57F0">
          <w:rPr>
            <w:rFonts w:eastAsiaTheme="minorEastAsia" w:cstheme="minorBidi"/>
            <w:noProof/>
            <w:kern w:val="2"/>
            <w:lang w:bidi="ar-SA"/>
            <w14:ligatures w14:val="standardContextual"/>
          </w:rPr>
          <w:tab/>
        </w:r>
        <w:r w:rsidR="005A57F0" w:rsidRPr="00FE698B">
          <w:rPr>
            <w:rStyle w:val="Hyperlink"/>
            <w:noProof/>
          </w:rPr>
          <w:t>Discussion</w:t>
        </w:r>
        <w:r w:rsidR="005A57F0">
          <w:rPr>
            <w:noProof/>
            <w:webHidden/>
          </w:rPr>
          <w:tab/>
        </w:r>
        <w:r w:rsidR="005A57F0">
          <w:rPr>
            <w:noProof/>
            <w:webHidden/>
          </w:rPr>
          <w:fldChar w:fldCharType="begin"/>
        </w:r>
        <w:r w:rsidR="005A57F0">
          <w:rPr>
            <w:noProof/>
            <w:webHidden/>
          </w:rPr>
          <w:instrText xml:space="preserve"> PAGEREF _Toc172288720 \h </w:instrText>
        </w:r>
        <w:r w:rsidR="005A57F0">
          <w:rPr>
            <w:noProof/>
            <w:webHidden/>
          </w:rPr>
        </w:r>
        <w:r w:rsidR="005A57F0">
          <w:rPr>
            <w:noProof/>
            <w:webHidden/>
          </w:rPr>
          <w:fldChar w:fldCharType="separate"/>
        </w:r>
        <w:r w:rsidR="00B129D9">
          <w:rPr>
            <w:noProof/>
            <w:webHidden/>
          </w:rPr>
          <w:t>39</w:t>
        </w:r>
        <w:r w:rsidR="005A57F0">
          <w:rPr>
            <w:noProof/>
            <w:webHidden/>
          </w:rPr>
          <w:fldChar w:fldCharType="end"/>
        </w:r>
      </w:hyperlink>
    </w:p>
    <w:p w14:paraId="4A1DD15A" w14:textId="0D2092D3"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21" w:history="1">
        <w:r w:rsidR="005A57F0" w:rsidRPr="00FE698B">
          <w:rPr>
            <w:rStyle w:val="Hyperlink"/>
            <w:rFonts w:ascii="Times" w:hAnsi="Times"/>
            <w:noProof/>
          </w:rPr>
          <w:t>2.4.1</w:t>
        </w:r>
        <w:r w:rsidR="005A57F0">
          <w:rPr>
            <w:rFonts w:eastAsiaTheme="minorEastAsia" w:cstheme="minorBidi"/>
            <w:noProof/>
            <w:kern w:val="2"/>
            <w:lang w:bidi="ar-SA"/>
            <w14:ligatures w14:val="standardContextual"/>
          </w:rPr>
          <w:tab/>
        </w:r>
        <w:r w:rsidR="005A57F0" w:rsidRPr="00FE698B">
          <w:rPr>
            <w:rStyle w:val="Hyperlink"/>
            <w:noProof/>
          </w:rPr>
          <w:t>Patterns of urban expansion rates</w:t>
        </w:r>
        <w:r w:rsidR="005A57F0">
          <w:rPr>
            <w:noProof/>
            <w:webHidden/>
          </w:rPr>
          <w:tab/>
        </w:r>
        <w:r w:rsidR="005A57F0">
          <w:rPr>
            <w:noProof/>
            <w:webHidden/>
          </w:rPr>
          <w:fldChar w:fldCharType="begin"/>
        </w:r>
        <w:r w:rsidR="005A57F0">
          <w:rPr>
            <w:noProof/>
            <w:webHidden/>
          </w:rPr>
          <w:instrText xml:space="preserve"> PAGEREF _Toc172288721 \h </w:instrText>
        </w:r>
        <w:r w:rsidR="005A57F0">
          <w:rPr>
            <w:noProof/>
            <w:webHidden/>
          </w:rPr>
        </w:r>
        <w:r w:rsidR="005A57F0">
          <w:rPr>
            <w:noProof/>
            <w:webHidden/>
          </w:rPr>
          <w:fldChar w:fldCharType="separate"/>
        </w:r>
        <w:r w:rsidR="00B129D9">
          <w:rPr>
            <w:noProof/>
            <w:webHidden/>
          </w:rPr>
          <w:t>39</w:t>
        </w:r>
        <w:r w:rsidR="005A57F0">
          <w:rPr>
            <w:noProof/>
            <w:webHidden/>
          </w:rPr>
          <w:fldChar w:fldCharType="end"/>
        </w:r>
      </w:hyperlink>
    </w:p>
    <w:p w14:paraId="74F54FD2" w14:textId="55751E04"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22" w:history="1">
        <w:r w:rsidR="005A57F0" w:rsidRPr="00FE698B">
          <w:rPr>
            <w:rStyle w:val="Hyperlink"/>
            <w:rFonts w:ascii="Times" w:hAnsi="Times"/>
            <w:noProof/>
          </w:rPr>
          <w:t>2.4.2</w:t>
        </w:r>
        <w:r w:rsidR="005A57F0">
          <w:rPr>
            <w:rFonts w:eastAsiaTheme="minorEastAsia" w:cstheme="minorBidi"/>
            <w:noProof/>
            <w:kern w:val="2"/>
            <w:lang w:bidi="ar-SA"/>
            <w14:ligatures w14:val="standardContextual"/>
          </w:rPr>
          <w:tab/>
        </w:r>
        <w:r w:rsidR="005A57F0" w:rsidRPr="00FE698B">
          <w:rPr>
            <w:rStyle w:val="Hyperlink"/>
            <w:noProof/>
          </w:rPr>
          <w:t>Urban networks effects on expansion rates of cities</w:t>
        </w:r>
        <w:r w:rsidR="005A57F0">
          <w:rPr>
            <w:noProof/>
            <w:webHidden/>
          </w:rPr>
          <w:tab/>
        </w:r>
        <w:r w:rsidR="005A57F0">
          <w:rPr>
            <w:noProof/>
            <w:webHidden/>
          </w:rPr>
          <w:fldChar w:fldCharType="begin"/>
        </w:r>
        <w:r w:rsidR="005A57F0">
          <w:rPr>
            <w:noProof/>
            <w:webHidden/>
          </w:rPr>
          <w:instrText xml:space="preserve"> PAGEREF _Toc172288722 \h </w:instrText>
        </w:r>
        <w:r w:rsidR="005A57F0">
          <w:rPr>
            <w:noProof/>
            <w:webHidden/>
          </w:rPr>
        </w:r>
        <w:r w:rsidR="005A57F0">
          <w:rPr>
            <w:noProof/>
            <w:webHidden/>
          </w:rPr>
          <w:fldChar w:fldCharType="separate"/>
        </w:r>
        <w:r w:rsidR="00B129D9">
          <w:rPr>
            <w:noProof/>
            <w:webHidden/>
          </w:rPr>
          <w:t>40</w:t>
        </w:r>
        <w:r w:rsidR="005A57F0">
          <w:rPr>
            <w:noProof/>
            <w:webHidden/>
          </w:rPr>
          <w:fldChar w:fldCharType="end"/>
        </w:r>
      </w:hyperlink>
    </w:p>
    <w:p w14:paraId="02041B3C" w14:textId="5FA609BC"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23" w:history="1">
        <w:r w:rsidR="005A57F0" w:rsidRPr="00FE698B">
          <w:rPr>
            <w:rStyle w:val="Hyperlink"/>
            <w:noProof/>
          </w:rPr>
          <w:t>2.4.3</w:t>
        </w:r>
        <w:r w:rsidR="005A57F0">
          <w:rPr>
            <w:rFonts w:eastAsiaTheme="minorEastAsia" w:cstheme="minorBidi"/>
            <w:noProof/>
            <w:kern w:val="2"/>
            <w:lang w:bidi="ar-SA"/>
            <w14:ligatures w14:val="standardContextual"/>
          </w:rPr>
          <w:tab/>
        </w:r>
        <w:r w:rsidR="005A57F0" w:rsidRPr="00FE698B">
          <w:rPr>
            <w:rStyle w:val="Hyperlink"/>
            <w:noProof/>
          </w:rPr>
          <w:t>Implications of results</w:t>
        </w:r>
        <w:r w:rsidR="005A57F0">
          <w:rPr>
            <w:noProof/>
            <w:webHidden/>
          </w:rPr>
          <w:tab/>
        </w:r>
        <w:r w:rsidR="005A57F0">
          <w:rPr>
            <w:noProof/>
            <w:webHidden/>
          </w:rPr>
          <w:fldChar w:fldCharType="begin"/>
        </w:r>
        <w:r w:rsidR="005A57F0">
          <w:rPr>
            <w:noProof/>
            <w:webHidden/>
          </w:rPr>
          <w:instrText xml:space="preserve"> PAGEREF _Toc172288723 \h </w:instrText>
        </w:r>
        <w:r w:rsidR="005A57F0">
          <w:rPr>
            <w:noProof/>
            <w:webHidden/>
          </w:rPr>
        </w:r>
        <w:r w:rsidR="005A57F0">
          <w:rPr>
            <w:noProof/>
            <w:webHidden/>
          </w:rPr>
          <w:fldChar w:fldCharType="separate"/>
        </w:r>
        <w:r w:rsidR="00B129D9">
          <w:rPr>
            <w:noProof/>
            <w:webHidden/>
          </w:rPr>
          <w:t>42</w:t>
        </w:r>
        <w:r w:rsidR="005A57F0">
          <w:rPr>
            <w:noProof/>
            <w:webHidden/>
          </w:rPr>
          <w:fldChar w:fldCharType="end"/>
        </w:r>
      </w:hyperlink>
    </w:p>
    <w:p w14:paraId="72958EA8" w14:textId="799978F0"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24" w:history="1">
        <w:r w:rsidR="005A57F0" w:rsidRPr="00FE698B">
          <w:rPr>
            <w:rStyle w:val="Hyperlink"/>
            <w:rFonts w:ascii="Times" w:hAnsi="Times"/>
            <w:noProof/>
          </w:rPr>
          <w:t>2.4.4</w:t>
        </w:r>
        <w:r w:rsidR="005A57F0">
          <w:rPr>
            <w:rFonts w:eastAsiaTheme="minorEastAsia" w:cstheme="minorBidi"/>
            <w:noProof/>
            <w:kern w:val="2"/>
            <w:lang w:bidi="ar-SA"/>
            <w14:ligatures w14:val="standardContextual"/>
          </w:rPr>
          <w:tab/>
        </w:r>
        <w:r w:rsidR="005A57F0" w:rsidRPr="00FE698B">
          <w:rPr>
            <w:rStyle w:val="Hyperlink"/>
            <w:noProof/>
          </w:rPr>
          <w:t>Study limitations and prospects for future research</w:t>
        </w:r>
        <w:r w:rsidR="005A57F0">
          <w:rPr>
            <w:noProof/>
            <w:webHidden/>
          </w:rPr>
          <w:tab/>
        </w:r>
        <w:r w:rsidR="005A57F0">
          <w:rPr>
            <w:noProof/>
            <w:webHidden/>
          </w:rPr>
          <w:fldChar w:fldCharType="begin"/>
        </w:r>
        <w:r w:rsidR="005A57F0">
          <w:rPr>
            <w:noProof/>
            <w:webHidden/>
          </w:rPr>
          <w:instrText xml:space="preserve"> PAGEREF _Toc172288724 \h </w:instrText>
        </w:r>
        <w:r w:rsidR="005A57F0">
          <w:rPr>
            <w:noProof/>
            <w:webHidden/>
          </w:rPr>
        </w:r>
        <w:r w:rsidR="005A57F0">
          <w:rPr>
            <w:noProof/>
            <w:webHidden/>
          </w:rPr>
          <w:fldChar w:fldCharType="separate"/>
        </w:r>
        <w:r w:rsidR="00B129D9">
          <w:rPr>
            <w:noProof/>
            <w:webHidden/>
          </w:rPr>
          <w:t>44</w:t>
        </w:r>
        <w:r w:rsidR="005A57F0">
          <w:rPr>
            <w:noProof/>
            <w:webHidden/>
          </w:rPr>
          <w:fldChar w:fldCharType="end"/>
        </w:r>
      </w:hyperlink>
    </w:p>
    <w:p w14:paraId="6E8EB645" w14:textId="0E4DD099" w:rsidR="005A57F0" w:rsidRDefault="00000000">
      <w:pPr>
        <w:pStyle w:val="TOC2"/>
        <w:rPr>
          <w:rFonts w:eastAsiaTheme="minorEastAsia" w:cstheme="minorBidi"/>
          <w:noProof/>
          <w:kern w:val="2"/>
          <w:lang w:bidi="ar-SA"/>
          <w14:ligatures w14:val="standardContextual"/>
        </w:rPr>
      </w:pPr>
      <w:hyperlink w:anchor="_Toc172288725" w:history="1">
        <w:r w:rsidR="005A57F0" w:rsidRPr="00FE698B">
          <w:rPr>
            <w:rStyle w:val="Hyperlink"/>
            <w:noProof/>
          </w:rPr>
          <w:t>2.5</w:t>
        </w:r>
        <w:r w:rsidR="005A57F0">
          <w:rPr>
            <w:rFonts w:eastAsiaTheme="minorEastAsia" w:cstheme="minorBidi"/>
            <w:noProof/>
            <w:kern w:val="2"/>
            <w:lang w:bidi="ar-SA"/>
            <w14:ligatures w14:val="standardContextual"/>
          </w:rPr>
          <w:tab/>
        </w:r>
        <w:r w:rsidR="005A57F0" w:rsidRPr="00FE698B">
          <w:rPr>
            <w:rStyle w:val="Hyperlink"/>
            <w:noProof/>
          </w:rPr>
          <w:t>Conclusion</w:t>
        </w:r>
        <w:r w:rsidR="005A57F0">
          <w:rPr>
            <w:noProof/>
            <w:webHidden/>
          </w:rPr>
          <w:tab/>
        </w:r>
        <w:r w:rsidR="005A57F0">
          <w:rPr>
            <w:noProof/>
            <w:webHidden/>
          </w:rPr>
          <w:fldChar w:fldCharType="begin"/>
        </w:r>
        <w:r w:rsidR="005A57F0">
          <w:rPr>
            <w:noProof/>
            <w:webHidden/>
          </w:rPr>
          <w:instrText xml:space="preserve"> PAGEREF _Toc172288725 \h </w:instrText>
        </w:r>
        <w:r w:rsidR="005A57F0">
          <w:rPr>
            <w:noProof/>
            <w:webHidden/>
          </w:rPr>
        </w:r>
        <w:r w:rsidR="005A57F0">
          <w:rPr>
            <w:noProof/>
            <w:webHidden/>
          </w:rPr>
          <w:fldChar w:fldCharType="separate"/>
        </w:r>
        <w:r w:rsidR="00B129D9">
          <w:rPr>
            <w:noProof/>
            <w:webHidden/>
          </w:rPr>
          <w:t>46</w:t>
        </w:r>
        <w:r w:rsidR="005A57F0">
          <w:rPr>
            <w:noProof/>
            <w:webHidden/>
          </w:rPr>
          <w:fldChar w:fldCharType="end"/>
        </w:r>
      </w:hyperlink>
    </w:p>
    <w:p w14:paraId="73F373EB" w14:textId="1EE7FA1D" w:rsidR="005A57F0" w:rsidRDefault="00000000">
      <w:pPr>
        <w:pStyle w:val="TOC1"/>
        <w:rPr>
          <w:rFonts w:eastAsiaTheme="minorEastAsia" w:cstheme="minorBidi"/>
          <w:b w:val="0"/>
          <w:bCs w:val="0"/>
          <w:kern w:val="2"/>
          <w:lang w:bidi="ar-SA"/>
          <w14:ligatures w14:val="standardContextual"/>
        </w:rPr>
      </w:pPr>
      <w:hyperlink w:anchor="_Toc172288726" w:history="1">
        <w:r w:rsidR="005A57F0" w:rsidRPr="00FE698B">
          <w:rPr>
            <w:rStyle w:val="Hyperlink"/>
            <w:lang w:val="fr-FR"/>
          </w:rPr>
          <w:t>References</w:t>
        </w:r>
        <w:r w:rsidR="005A57F0">
          <w:rPr>
            <w:webHidden/>
          </w:rPr>
          <w:tab/>
        </w:r>
        <w:r w:rsidR="005A57F0">
          <w:rPr>
            <w:webHidden/>
          </w:rPr>
          <w:fldChar w:fldCharType="begin"/>
        </w:r>
        <w:r w:rsidR="005A57F0">
          <w:rPr>
            <w:webHidden/>
          </w:rPr>
          <w:instrText xml:space="preserve"> PAGEREF _Toc172288726 \h </w:instrText>
        </w:r>
        <w:r w:rsidR="005A57F0">
          <w:rPr>
            <w:webHidden/>
          </w:rPr>
        </w:r>
        <w:r w:rsidR="005A57F0">
          <w:rPr>
            <w:webHidden/>
          </w:rPr>
          <w:fldChar w:fldCharType="separate"/>
        </w:r>
        <w:r w:rsidR="00B129D9">
          <w:rPr>
            <w:webHidden/>
          </w:rPr>
          <w:t>48</w:t>
        </w:r>
        <w:r w:rsidR="005A57F0">
          <w:rPr>
            <w:webHidden/>
          </w:rPr>
          <w:fldChar w:fldCharType="end"/>
        </w:r>
      </w:hyperlink>
    </w:p>
    <w:p w14:paraId="5DB2EC24" w14:textId="09849F2F" w:rsidR="005A57F0" w:rsidRDefault="00000000">
      <w:pPr>
        <w:pStyle w:val="TOC1"/>
        <w:rPr>
          <w:rFonts w:eastAsiaTheme="minorEastAsia" w:cstheme="minorBidi"/>
          <w:b w:val="0"/>
          <w:bCs w:val="0"/>
          <w:kern w:val="2"/>
          <w:lang w:bidi="ar-SA"/>
          <w14:ligatures w14:val="standardContextual"/>
        </w:rPr>
      </w:pPr>
      <w:hyperlink w:anchor="_Toc172288727" w:history="1">
        <w:r w:rsidR="005A57F0" w:rsidRPr="00FE698B">
          <w:rPr>
            <w:rStyle w:val="Hyperlink"/>
          </w:rPr>
          <w:t>Chapter 3: Understanding Urban Expansion Across Primary and Secondary Cities in Ghana</w:t>
        </w:r>
        <w:r w:rsidR="005A57F0">
          <w:rPr>
            <w:webHidden/>
          </w:rPr>
          <w:tab/>
        </w:r>
        <w:r w:rsidR="005A57F0">
          <w:rPr>
            <w:webHidden/>
          </w:rPr>
          <w:fldChar w:fldCharType="begin"/>
        </w:r>
        <w:r w:rsidR="005A57F0">
          <w:rPr>
            <w:webHidden/>
          </w:rPr>
          <w:instrText xml:space="preserve"> PAGEREF _Toc172288727 \h </w:instrText>
        </w:r>
        <w:r w:rsidR="005A57F0">
          <w:rPr>
            <w:webHidden/>
          </w:rPr>
        </w:r>
        <w:r w:rsidR="005A57F0">
          <w:rPr>
            <w:webHidden/>
          </w:rPr>
          <w:fldChar w:fldCharType="separate"/>
        </w:r>
        <w:r w:rsidR="00B129D9">
          <w:rPr>
            <w:webHidden/>
          </w:rPr>
          <w:t>57</w:t>
        </w:r>
        <w:r w:rsidR="005A57F0">
          <w:rPr>
            <w:webHidden/>
          </w:rPr>
          <w:fldChar w:fldCharType="end"/>
        </w:r>
      </w:hyperlink>
    </w:p>
    <w:p w14:paraId="3419FEF7" w14:textId="61CC7DFD" w:rsidR="005A57F0" w:rsidRDefault="00000000">
      <w:pPr>
        <w:pStyle w:val="TOC1"/>
        <w:rPr>
          <w:rFonts w:eastAsiaTheme="minorEastAsia" w:cstheme="minorBidi"/>
          <w:b w:val="0"/>
          <w:bCs w:val="0"/>
          <w:kern w:val="2"/>
          <w:lang w:bidi="ar-SA"/>
          <w14:ligatures w14:val="standardContextual"/>
        </w:rPr>
      </w:pPr>
      <w:hyperlink w:anchor="_Toc172288728" w:history="1">
        <w:r w:rsidR="005A57F0" w:rsidRPr="00FE698B">
          <w:rPr>
            <w:rStyle w:val="Hyperlink"/>
          </w:rPr>
          <w:t>Abstract</w:t>
        </w:r>
        <w:r w:rsidR="005A57F0">
          <w:rPr>
            <w:webHidden/>
          </w:rPr>
          <w:tab/>
        </w:r>
        <w:r w:rsidR="005A57F0">
          <w:rPr>
            <w:webHidden/>
          </w:rPr>
          <w:fldChar w:fldCharType="begin"/>
        </w:r>
        <w:r w:rsidR="005A57F0">
          <w:rPr>
            <w:webHidden/>
          </w:rPr>
          <w:instrText xml:space="preserve"> PAGEREF _Toc172288728 \h </w:instrText>
        </w:r>
        <w:r w:rsidR="005A57F0">
          <w:rPr>
            <w:webHidden/>
          </w:rPr>
        </w:r>
        <w:r w:rsidR="005A57F0">
          <w:rPr>
            <w:webHidden/>
          </w:rPr>
          <w:fldChar w:fldCharType="separate"/>
        </w:r>
        <w:r w:rsidR="00B129D9">
          <w:rPr>
            <w:webHidden/>
          </w:rPr>
          <w:t>58</w:t>
        </w:r>
        <w:r w:rsidR="005A57F0">
          <w:rPr>
            <w:webHidden/>
          </w:rPr>
          <w:fldChar w:fldCharType="end"/>
        </w:r>
      </w:hyperlink>
    </w:p>
    <w:p w14:paraId="6457140F" w14:textId="0E65C542" w:rsidR="005A57F0" w:rsidRDefault="00000000">
      <w:pPr>
        <w:pStyle w:val="TOC2"/>
        <w:rPr>
          <w:rFonts w:eastAsiaTheme="minorEastAsia" w:cstheme="minorBidi"/>
          <w:noProof/>
          <w:kern w:val="2"/>
          <w:lang w:bidi="ar-SA"/>
          <w14:ligatures w14:val="standardContextual"/>
        </w:rPr>
      </w:pPr>
      <w:hyperlink w:anchor="_Toc172288729" w:history="1">
        <w:r w:rsidR="005A57F0" w:rsidRPr="00FE698B">
          <w:rPr>
            <w:rStyle w:val="Hyperlink"/>
            <w:noProof/>
          </w:rPr>
          <w:t>3.1</w:t>
        </w:r>
        <w:r w:rsidR="005A57F0">
          <w:rPr>
            <w:rFonts w:eastAsiaTheme="minorEastAsia" w:cstheme="minorBidi"/>
            <w:noProof/>
            <w:kern w:val="2"/>
            <w:lang w:bidi="ar-SA"/>
            <w14:ligatures w14:val="standardContextual"/>
          </w:rPr>
          <w:tab/>
        </w:r>
        <w:r w:rsidR="005A57F0" w:rsidRPr="00FE698B">
          <w:rPr>
            <w:rStyle w:val="Hyperlink"/>
            <w:noProof/>
          </w:rPr>
          <w:t>Introduction</w:t>
        </w:r>
        <w:r w:rsidR="005A57F0">
          <w:rPr>
            <w:noProof/>
            <w:webHidden/>
          </w:rPr>
          <w:tab/>
        </w:r>
        <w:r w:rsidR="005A57F0">
          <w:rPr>
            <w:noProof/>
            <w:webHidden/>
          </w:rPr>
          <w:fldChar w:fldCharType="begin"/>
        </w:r>
        <w:r w:rsidR="005A57F0">
          <w:rPr>
            <w:noProof/>
            <w:webHidden/>
          </w:rPr>
          <w:instrText xml:space="preserve"> PAGEREF _Toc172288729 \h </w:instrText>
        </w:r>
        <w:r w:rsidR="005A57F0">
          <w:rPr>
            <w:noProof/>
            <w:webHidden/>
          </w:rPr>
        </w:r>
        <w:r w:rsidR="005A57F0">
          <w:rPr>
            <w:noProof/>
            <w:webHidden/>
          </w:rPr>
          <w:fldChar w:fldCharType="separate"/>
        </w:r>
        <w:r w:rsidR="00B129D9">
          <w:rPr>
            <w:noProof/>
            <w:webHidden/>
          </w:rPr>
          <w:t>59</w:t>
        </w:r>
        <w:r w:rsidR="005A57F0">
          <w:rPr>
            <w:noProof/>
            <w:webHidden/>
          </w:rPr>
          <w:fldChar w:fldCharType="end"/>
        </w:r>
      </w:hyperlink>
    </w:p>
    <w:p w14:paraId="7BA9647A" w14:textId="3604D39C" w:rsidR="005A57F0" w:rsidRDefault="00000000">
      <w:pPr>
        <w:pStyle w:val="TOC2"/>
        <w:rPr>
          <w:rFonts w:eastAsiaTheme="minorEastAsia" w:cstheme="minorBidi"/>
          <w:noProof/>
          <w:kern w:val="2"/>
          <w:lang w:bidi="ar-SA"/>
          <w14:ligatures w14:val="standardContextual"/>
        </w:rPr>
      </w:pPr>
      <w:hyperlink w:anchor="_Toc172288730" w:history="1">
        <w:r w:rsidR="005A57F0" w:rsidRPr="00FE698B">
          <w:rPr>
            <w:rStyle w:val="Hyperlink"/>
            <w:noProof/>
          </w:rPr>
          <w:t>3.2</w:t>
        </w:r>
        <w:r w:rsidR="005A57F0">
          <w:rPr>
            <w:rFonts w:eastAsiaTheme="minorEastAsia" w:cstheme="minorBidi"/>
            <w:noProof/>
            <w:kern w:val="2"/>
            <w:lang w:bidi="ar-SA"/>
            <w14:ligatures w14:val="standardContextual"/>
          </w:rPr>
          <w:tab/>
        </w:r>
        <w:r w:rsidR="005A57F0" w:rsidRPr="00FE698B">
          <w:rPr>
            <w:rStyle w:val="Hyperlink"/>
            <w:noProof/>
          </w:rPr>
          <w:t>Materials and Methods</w:t>
        </w:r>
        <w:r w:rsidR="005A57F0">
          <w:rPr>
            <w:noProof/>
            <w:webHidden/>
          </w:rPr>
          <w:tab/>
        </w:r>
        <w:r w:rsidR="005A57F0">
          <w:rPr>
            <w:noProof/>
            <w:webHidden/>
          </w:rPr>
          <w:fldChar w:fldCharType="begin"/>
        </w:r>
        <w:r w:rsidR="005A57F0">
          <w:rPr>
            <w:noProof/>
            <w:webHidden/>
          </w:rPr>
          <w:instrText xml:space="preserve"> PAGEREF _Toc172288730 \h </w:instrText>
        </w:r>
        <w:r w:rsidR="005A57F0">
          <w:rPr>
            <w:noProof/>
            <w:webHidden/>
          </w:rPr>
        </w:r>
        <w:r w:rsidR="005A57F0">
          <w:rPr>
            <w:noProof/>
            <w:webHidden/>
          </w:rPr>
          <w:fldChar w:fldCharType="separate"/>
        </w:r>
        <w:r w:rsidR="00B129D9">
          <w:rPr>
            <w:noProof/>
            <w:webHidden/>
          </w:rPr>
          <w:t>62</w:t>
        </w:r>
        <w:r w:rsidR="005A57F0">
          <w:rPr>
            <w:noProof/>
            <w:webHidden/>
          </w:rPr>
          <w:fldChar w:fldCharType="end"/>
        </w:r>
      </w:hyperlink>
    </w:p>
    <w:p w14:paraId="2C80A524" w14:textId="3D11C04C"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31" w:history="1">
        <w:r w:rsidR="005A57F0" w:rsidRPr="00FE698B">
          <w:rPr>
            <w:rStyle w:val="Hyperlink"/>
            <w:noProof/>
          </w:rPr>
          <w:t>3.2.1</w:t>
        </w:r>
        <w:r w:rsidR="005A57F0">
          <w:rPr>
            <w:rFonts w:eastAsiaTheme="minorEastAsia" w:cstheme="minorBidi"/>
            <w:noProof/>
            <w:kern w:val="2"/>
            <w:lang w:bidi="ar-SA"/>
            <w14:ligatures w14:val="standardContextual"/>
          </w:rPr>
          <w:tab/>
        </w:r>
        <w:r w:rsidR="005A57F0" w:rsidRPr="00FE698B">
          <w:rPr>
            <w:rStyle w:val="Hyperlink"/>
            <w:noProof/>
          </w:rPr>
          <w:t>Study Area</w:t>
        </w:r>
        <w:r w:rsidR="005A57F0">
          <w:rPr>
            <w:noProof/>
            <w:webHidden/>
          </w:rPr>
          <w:tab/>
        </w:r>
        <w:r w:rsidR="005A57F0">
          <w:rPr>
            <w:noProof/>
            <w:webHidden/>
          </w:rPr>
          <w:fldChar w:fldCharType="begin"/>
        </w:r>
        <w:r w:rsidR="005A57F0">
          <w:rPr>
            <w:noProof/>
            <w:webHidden/>
          </w:rPr>
          <w:instrText xml:space="preserve"> PAGEREF _Toc172288731 \h </w:instrText>
        </w:r>
        <w:r w:rsidR="005A57F0">
          <w:rPr>
            <w:noProof/>
            <w:webHidden/>
          </w:rPr>
        </w:r>
        <w:r w:rsidR="005A57F0">
          <w:rPr>
            <w:noProof/>
            <w:webHidden/>
          </w:rPr>
          <w:fldChar w:fldCharType="separate"/>
        </w:r>
        <w:r w:rsidR="00B129D9">
          <w:rPr>
            <w:noProof/>
            <w:webHidden/>
          </w:rPr>
          <w:t>62</w:t>
        </w:r>
        <w:r w:rsidR="005A57F0">
          <w:rPr>
            <w:noProof/>
            <w:webHidden/>
          </w:rPr>
          <w:fldChar w:fldCharType="end"/>
        </w:r>
      </w:hyperlink>
    </w:p>
    <w:p w14:paraId="5E4C23A1" w14:textId="5B75E1C1"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32" w:history="1">
        <w:r w:rsidR="005A57F0" w:rsidRPr="00FE698B">
          <w:rPr>
            <w:rStyle w:val="Hyperlink"/>
            <w:noProof/>
          </w:rPr>
          <w:t>3.2.2</w:t>
        </w:r>
        <w:r w:rsidR="005A57F0">
          <w:rPr>
            <w:rFonts w:eastAsiaTheme="minorEastAsia" w:cstheme="minorBidi"/>
            <w:noProof/>
            <w:kern w:val="2"/>
            <w:lang w:bidi="ar-SA"/>
            <w14:ligatures w14:val="standardContextual"/>
          </w:rPr>
          <w:tab/>
        </w:r>
        <w:r w:rsidR="005A57F0" w:rsidRPr="00FE698B">
          <w:rPr>
            <w:rStyle w:val="Hyperlink"/>
            <w:noProof/>
          </w:rPr>
          <w:t>Methods</w:t>
        </w:r>
        <w:r w:rsidR="005A57F0">
          <w:rPr>
            <w:noProof/>
            <w:webHidden/>
          </w:rPr>
          <w:tab/>
        </w:r>
        <w:r w:rsidR="005A57F0">
          <w:rPr>
            <w:noProof/>
            <w:webHidden/>
          </w:rPr>
          <w:fldChar w:fldCharType="begin"/>
        </w:r>
        <w:r w:rsidR="005A57F0">
          <w:rPr>
            <w:noProof/>
            <w:webHidden/>
          </w:rPr>
          <w:instrText xml:space="preserve"> PAGEREF _Toc172288732 \h </w:instrText>
        </w:r>
        <w:r w:rsidR="005A57F0">
          <w:rPr>
            <w:noProof/>
            <w:webHidden/>
          </w:rPr>
        </w:r>
        <w:r w:rsidR="005A57F0">
          <w:rPr>
            <w:noProof/>
            <w:webHidden/>
          </w:rPr>
          <w:fldChar w:fldCharType="separate"/>
        </w:r>
        <w:r w:rsidR="00B129D9">
          <w:rPr>
            <w:noProof/>
            <w:webHidden/>
          </w:rPr>
          <w:t>63</w:t>
        </w:r>
        <w:r w:rsidR="005A57F0">
          <w:rPr>
            <w:noProof/>
            <w:webHidden/>
          </w:rPr>
          <w:fldChar w:fldCharType="end"/>
        </w:r>
      </w:hyperlink>
    </w:p>
    <w:p w14:paraId="29FFB141" w14:textId="66E6E707" w:rsidR="005A57F0" w:rsidRDefault="00000000">
      <w:pPr>
        <w:pStyle w:val="TOC2"/>
        <w:rPr>
          <w:rFonts w:eastAsiaTheme="minorEastAsia" w:cstheme="minorBidi"/>
          <w:noProof/>
          <w:kern w:val="2"/>
          <w:lang w:bidi="ar-SA"/>
          <w14:ligatures w14:val="standardContextual"/>
        </w:rPr>
      </w:pPr>
      <w:hyperlink w:anchor="_Toc172288733" w:history="1">
        <w:r w:rsidR="005A57F0" w:rsidRPr="00FE698B">
          <w:rPr>
            <w:rStyle w:val="Hyperlink"/>
            <w:noProof/>
          </w:rPr>
          <w:t>3.3</w:t>
        </w:r>
        <w:r w:rsidR="005A57F0">
          <w:rPr>
            <w:rFonts w:eastAsiaTheme="minorEastAsia" w:cstheme="minorBidi"/>
            <w:noProof/>
            <w:kern w:val="2"/>
            <w:lang w:bidi="ar-SA"/>
            <w14:ligatures w14:val="standardContextual"/>
          </w:rPr>
          <w:tab/>
        </w:r>
        <w:r w:rsidR="005A57F0" w:rsidRPr="00FE698B">
          <w:rPr>
            <w:rStyle w:val="Hyperlink"/>
            <w:noProof/>
          </w:rPr>
          <w:t>Results and Discussion</w:t>
        </w:r>
        <w:r w:rsidR="005A57F0">
          <w:rPr>
            <w:noProof/>
            <w:webHidden/>
          </w:rPr>
          <w:tab/>
        </w:r>
        <w:r w:rsidR="005A57F0">
          <w:rPr>
            <w:noProof/>
            <w:webHidden/>
          </w:rPr>
          <w:fldChar w:fldCharType="begin"/>
        </w:r>
        <w:r w:rsidR="005A57F0">
          <w:rPr>
            <w:noProof/>
            <w:webHidden/>
          </w:rPr>
          <w:instrText xml:space="preserve"> PAGEREF _Toc172288733 \h </w:instrText>
        </w:r>
        <w:r w:rsidR="005A57F0">
          <w:rPr>
            <w:noProof/>
            <w:webHidden/>
          </w:rPr>
        </w:r>
        <w:r w:rsidR="005A57F0">
          <w:rPr>
            <w:noProof/>
            <w:webHidden/>
          </w:rPr>
          <w:fldChar w:fldCharType="separate"/>
        </w:r>
        <w:r w:rsidR="00B129D9">
          <w:rPr>
            <w:noProof/>
            <w:webHidden/>
          </w:rPr>
          <w:t>65</w:t>
        </w:r>
        <w:r w:rsidR="005A57F0">
          <w:rPr>
            <w:noProof/>
            <w:webHidden/>
          </w:rPr>
          <w:fldChar w:fldCharType="end"/>
        </w:r>
      </w:hyperlink>
    </w:p>
    <w:p w14:paraId="513FD551" w14:textId="20557DE8"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34" w:history="1">
        <w:r w:rsidR="005A57F0" w:rsidRPr="00FE698B">
          <w:rPr>
            <w:rStyle w:val="Hyperlink"/>
            <w:noProof/>
          </w:rPr>
          <w:t>3.3.1</w:t>
        </w:r>
        <w:r w:rsidR="005A57F0">
          <w:rPr>
            <w:rFonts w:eastAsiaTheme="minorEastAsia" w:cstheme="minorBidi"/>
            <w:noProof/>
            <w:kern w:val="2"/>
            <w:lang w:bidi="ar-SA"/>
            <w14:ligatures w14:val="standardContextual"/>
          </w:rPr>
          <w:tab/>
        </w:r>
        <w:r w:rsidR="005A57F0" w:rsidRPr="00FE698B">
          <w:rPr>
            <w:rStyle w:val="Hyperlink"/>
            <w:noProof/>
          </w:rPr>
          <w:t>Urban expansion rates and patterns in cities</w:t>
        </w:r>
        <w:r w:rsidR="005A57F0">
          <w:rPr>
            <w:noProof/>
            <w:webHidden/>
          </w:rPr>
          <w:tab/>
        </w:r>
        <w:r w:rsidR="005A57F0">
          <w:rPr>
            <w:noProof/>
            <w:webHidden/>
          </w:rPr>
          <w:fldChar w:fldCharType="begin"/>
        </w:r>
        <w:r w:rsidR="005A57F0">
          <w:rPr>
            <w:noProof/>
            <w:webHidden/>
          </w:rPr>
          <w:instrText xml:space="preserve"> PAGEREF _Toc172288734 \h </w:instrText>
        </w:r>
        <w:r w:rsidR="005A57F0">
          <w:rPr>
            <w:noProof/>
            <w:webHidden/>
          </w:rPr>
        </w:r>
        <w:r w:rsidR="005A57F0">
          <w:rPr>
            <w:noProof/>
            <w:webHidden/>
          </w:rPr>
          <w:fldChar w:fldCharType="separate"/>
        </w:r>
        <w:r w:rsidR="00B129D9">
          <w:rPr>
            <w:noProof/>
            <w:webHidden/>
          </w:rPr>
          <w:t>65</w:t>
        </w:r>
        <w:r w:rsidR="005A57F0">
          <w:rPr>
            <w:noProof/>
            <w:webHidden/>
          </w:rPr>
          <w:fldChar w:fldCharType="end"/>
        </w:r>
      </w:hyperlink>
    </w:p>
    <w:p w14:paraId="18E761F0" w14:textId="4F260E59"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35" w:history="1">
        <w:r w:rsidR="005A57F0" w:rsidRPr="00FE698B">
          <w:rPr>
            <w:rStyle w:val="Hyperlink"/>
            <w:noProof/>
          </w:rPr>
          <w:t>3.3.2</w:t>
        </w:r>
        <w:r w:rsidR="005A57F0">
          <w:rPr>
            <w:rFonts w:eastAsiaTheme="minorEastAsia" w:cstheme="minorBidi"/>
            <w:noProof/>
            <w:kern w:val="2"/>
            <w:lang w:bidi="ar-SA"/>
            <w14:ligatures w14:val="standardContextual"/>
          </w:rPr>
          <w:tab/>
        </w:r>
        <w:r w:rsidR="005A57F0" w:rsidRPr="00FE698B">
          <w:rPr>
            <w:rStyle w:val="Hyperlink"/>
            <w:noProof/>
          </w:rPr>
          <w:t>Sprawl and infill patterns: lessons learned from qualitative interviews</w:t>
        </w:r>
        <w:r w:rsidR="005A57F0">
          <w:rPr>
            <w:noProof/>
            <w:webHidden/>
          </w:rPr>
          <w:tab/>
        </w:r>
        <w:r w:rsidR="005A57F0">
          <w:rPr>
            <w:noProof/>
            <w:webHidden/>
          </w:rPr>
          <w:fldChar w:fldCharType="begin"/>
        </w:r>
        <w:r w:rsidR="005A57F0">
          <w:rPr>
            <w:noProof/>
            <w:webHidden/>
          </w:rPr>
          <w:instrText xml:space="preserve"> PAGEREF _Toc172288735 \h </w:instrText>
        </w:r>
        <w:r w:rsidR="005A57F0">
          <w:rPr>
            <w:noProof/>
            <w:webHidden/>
          </w:rPr>
        </w:r>
        <w:r w:rsidR="005A57F0">
          <w:rPr>
            <w:noProof/>
            <w:webHidden/>
          </w:rPr>
          <w:fldChar w:fldCharType="separate"/>
        </w:r>
        <w:r w:rsidR="00B129D9">
          <w:rPr>
            <w:noProof/>
            <w:webHidden/>
          </w:rPr>
          <w:t>69</w:t>
        </w:r>
        <w:r w:rsidR="005A57F0">
          <w:rPr>
            <w:noProof/>
            <w:webHidden/>
          </w:rPr>
          <w:fldChar w:fldCharType="end"/>
        </w:r>
      </w:hyperlink>
    </w:p>
    <w:p w14:paraId="7FA50209" w14:textId="07A883BE"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36" w:history="1">
        <w:r w:rsidR="005A57F0" w:rsidRPr="00FE698B">
          <w:rPr>
            <w:rStyle w:val="Hyperlink"/>
            <w:noProof/>
          </w:rPr>
          <w:t>3.3.3</w:t>
        </w:r>
        <w:r w:rsidR="005A57F0">
          <w:rPr>
            <w:rFonts w:eastAsiaTheme="minorEastAsia" w:cstheme="minorBidi"/>
            <w:noProof/>
            <w:kern w:val="2"/>
            <w:lang w:bidi="ar-SA"/>
            <w14:ligatures w14:val="standardContextual"/>
          </w:rPr>
          <w:tab/>
        </w:r>
        <w:r w:rsidR="005A57F0" w:rsidRPr="00FE698B">
          <w:rPr>
            <w:rStyle w:val="Hyperlink"/>
            <w:noProof/>
          </w:rPr>
          <w:t>Land and rent cost</w:t>
        </w:r>
        <w:r w:rsidR="005A57F0">
          <w:rPr>
            <w:noProof/>
            <w:webHidden/>
          </w:rPr>
          <w:tab/>
        </w:r>
        <w:r w:rsidR="005A57F0">
          <w:rPr>
            <w:noProof/>
            <w:webHidden/>
          </w:rPr>
          <w:fldChar w:fldCharType="begin"/>
        </w:r>
        <w:r w:rsidR="005A57F0">
          <w:rPr>
            <w:noProof/>
            <w:webHidden/>
          </w:rPr>
          <w:instrText xml:space="preserve"> PAGEREF _Toc172288736 \h </w:instrText>
        </w:r>
        <w:r w:rsidR="005A57F0">
          <w:rPr>
            <w:noProof/>
            <w:webHidden/>
          </w:rPr>
        </w:r>
        <w:r w:rsidR="005A57F0">
          <w:rPr>
            <w:noProof/>
            <w:webHidden/>
          </w:rPr>
          <w:fldChar w:fldCharType="separate"/>
        </w:r>
        <w:r w:rsidR="00B129D9">
          <w:rPr>
            <w:noProof/>
            <w:webHidden/>
          </w:rPr>
          <w:t>70</w:t>
        </w:r>
        <w:r w:rsidR="005A57F0">
          <w:rPr>
            <w:noProof/>
            <w:webHidden/>
          </w:rPr>
          <w:fldChar w:fldCharType="end"/>
        </w:r>
      </w:hyperlink>
    </w:p>
    <w:p w14:paraId="784C08E7" w14:textId="413250AE"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37" w:history="1">
        <w:r w:rsidR="005A57F0" w:rsidRPr="00FE698B">
          <w:rPr>
            <w:rStyle w:val="Hyperlink"/>
            <w:noProof/>
          </w:rPr>
          <w:t>3.3.4</w:t>
        </w:r>
        <w:r w:rsidR="005A57F0">
          <w:rPr>
            <w:rFonts w:eastAsiaTheme="minorEastAsia" w:cstheme="minorBidi"/>
            <w:noProof/>
            <w:kern w:val="2"/>
            <w:lang w:bidi="ar-SA"/>
            <w14:ligatures w14:val="standardContextual"/>
          </w:rPr>
          <w:tab/>
        </w:r>
        <w:r w:rsidR="005A57F0" w:rsidRPr="00FE698B">
          <w:rPr>
            <w:rStyle w:val="Hyperlink"/>
            <w:noProof/>
          </w:rPr>
          <w:t>Proximity to infrastructure and service and economic centers</w:t>
        </w:r>
        <w:r w:rsidR="005A57F0">
          <w:rPr>
            <w:noProof/>
            <w:webHidden/>
          </w:rPr>
          <w:tab/>
        </w:r>
        <w:r w:rsidR="005A57F0">
          <w:rPr>
            <w:noProof/>
            <w:webHidden/>
          </w:rPr>
          <w:fldChar w:fldCharType="begin"/>
        </w:r>
        <w:r w:rsidR="005A57F0">
          <w:rPr>
            <w:noProof/>
            <w:webHidden/>
          </w:rPr>
          <w:instrText xml:space="preserve"> PAGEREF _Toc172288737 \h </w:instrText>
        </w:r>
        <w:r w:rsidR="005A57F0">
          <w:rPr>
            <w:noProof/>
            <w:webHidden/>
          </w:rPr>
        </w:r>
        <w:r w:rsidR="005A57F0">
          <w:rPr>
            <w:noProof/>
            <w:webHidden/>
          </w:rPr>
          <w:fldChar w:fldCharType="separate"/>
        </w:r>
        <w:r w:rsidR="00B129D9">
          <w:rPr>
            <w:noProof/>
            <w:webHidden/>
          </w:rPr>
          <w:t>71</w:t>
        </w:r>
        <w:r w:rsidR="005A57F0">
          <w:rPr>
            <w:noProof/>
            <w:webHidden/>
          </w:rPr>
          <w:fldChar w:fldCharType="end"/>
        </w:r>
      </w:hyperlink>
    </w:p>
    <w:p w14:paraId="17FE8D04" w14:textId="44259694"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38" w:history="1">
        <w:r w:rsidR="005A57F0" w:rsidRPr="00FE698B">
          <w:rPr>
            <w:rStyle w:val="Hyperlink"/>
            <w:noProof/>
          </w:rPr>
          <w:t>3.3.5</w:t>
        </w:r>
        <w:r w:rsidR="005A57F0">
          <w:rPr>
            <w:rFonts w:eastAsiaTheme="minorEastAsia" w:cstheme="minorBidi"/>
            <w:noProof/>
            <w:kern w:val="2"/>
            <w:lang w:bidi="ar-SA"/>
            <w14:ligatures w14:val="standardContextual"/>
          </w:rPr>
          <w:tab/>
        </w:r>
        <w:r w:rsidR="005A57F0" w:rsidRPr="00FE698B">
          <w:rPr>
            <w:rStyle w:val="Hyperlink"/>
            <w:noProof/>
          </w:rPr>
          <w:t>Land tenure arrangements and allocation regimes</w:t>
        </w:r>
        <w:r w:rsidR="005A57F0">
          <w:rPr>
            <w:noProof/>
            <w:webHidden/>
          </w:rPr>
          <w:tab/>
        </w:r>
        <w:r w:rsidR="005A57F0">
          <w:rPr>
            <w:noProof/>
            <w:webHidden/>
          </w:rPr>
          <w:fldChar w:fldCharType="begin"/>
        </w:r>
        <w:r w:rsidR="005A57F0">
          <w:rPr>
            <w:noProof/>
            <w:webHidden/>
          </w:rPr>
          <w:instrText xml:space="preserve"> PAGEREF _Toc172288738 \h </w:instrText>
        </w:r>
        <w:r w:rsidR="005A57F0">
          <w:rPr>
            <w:noProof/>
            <w:webHidden/>
          </w:rPr>
        </w:r>
        <w:r w:rsidR="005A57F0">
          <w:rPr>
            <w:noProof/>
            <w:webHidden/>
          </w:rPr>
          <w:fldChar w:fldCharType="separate"/>
        </w:r>
        <w:r w:rsidR="00B129D9">
          <w:rPr>
            <w:noProof/>
            <w:webHidden/>
          </w:rPr>
          <w:t>72</w:t>
        </w:r>
        <w:r w:rsidR="005A57F0">
          <w:rPr>
            <w:noProof/>
            <w:webHidden/>
          </w:rPr>
          <w:fldChar w:fldCharType="end"/>
        </w:r>
      </w:hyperlink>
    </w:p>
    <w:p w14:paraId="1B74991D" w14:textId="52F21675"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39" w:history="1">
        <w:r w:rsidR="005A57F0" w:rsidRPr="00FE698B">
          <w:rPr>
            <w:rStyle w:val="Hyperlink"/>
            <w:noProof/>
          </w:rPr>
          <w:t>3.3.6</w:t>
        </w:r>
        <w:r w:rsidR="005A57F0">
          <w:rPr>
            <w:rFonts w:eastAsiaTheme="minorEastAsia" w:cstheme="minorBidi"/>
            <w:noProof/>
            <w:kern w:val="2"/>
            <w:lang w:bidi="ar-SA"/>
            <w14:ligatures w14:val="standardContextual"/>
          </w:rPr>
          <w:tab/>
        </w:r>
        <w:r w:rsidR="005A57F0" w:rsidRPr="00FE698B">
          <w:rPr>
            <w:rStyle w:val="Hyperlink"/>
            <w:noProof/>
          </w:rPr>
          <w:t>Nature of neighborhoods</w:t>
        </w:r>
        <w:r w:rsidR="005A57F0">
          <w:rPr>
            <w:noProof/>
            <w:webHidden/>
          </w:rPr>
          <w:tab/>
        </w:r>
        <w:r w:rsidR="005A57F0">
          <w:rPr>
            <w:noProof/>
            <w:webHidden/>
          </w:rPr>
          <w:fldChar w:fldCharType="begin"/>
        </w:r>
        <w:r w:rsidR="005A57F0">
          <w:rPr>
            <w:noProof/>
            <w:webHidden/>
          </w:rPr>
          <w:instrText xml:space="preserve"> PAGEREF _Toc172288739 \h </w:instrText>
        </w:r>
        <w:r w:rsidR="005A57F0">
          <w:rPr>
            <w:noProof/>
            <w:webHidden/>
          </w:rPr>
        </w:r>
        <w:r w:rsidR="005A57F0">
          <w:rPr>
            <w:noProof/>
            <w:webHidden/>
          </w:rPr>
          <w:fldChar w:fldCharType="separate"/>
        </w:r>
        <w:r w:rsidR="00B129D9">
          <w:rPr>
            <w:noProof/>
            <w:webHidden/>
          </w:rPr>
          <w:t>73</w:t>
        </w:r>
        <w:r w:rsidR="005A57F0">
          <w:rPr>
            <w:noProof/>
            <w:webHidden/>
          </w:rPr>
          <w:fldChar w:fldCharType="end"/>
        </w:r>
      </w:hyperlink>
    </w:p>
    <w:p w14:paraId="6322AC06" w14:textId="3CE1178E"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40" w:history="1">
        <w:r w:rsidR="005A57F0" w:rsidRPr="00FE698B">
          <w:rPr>
            <w:rStyle w:val="Hyperlink"/>
            <w:noProof/>
          </w:rPr>
          <w:t>3.3.7</w:t>
        </w:r>
        <w:r w:rsidR="005A57F0">
          <w:rPr>
            <w:rFonts w:eastAsiaTheme="minorEastAsia" w:cstheme="minorBidi"/>
            <w:noProof/>
            <w:kern w:val="2"/>
            <w:lang w:bidi="ar-SA"/>
            <w14:ligatures w14:val="standardContextual"/>
          </w:rPr>
          <w:tab/>
        </w:r>
        <w:r w:rsidR="005A57F0" w:rsidRPr="00FE698B">
          <w:rPr>
            <w:rStyle w:val="Hyperlink"/>
            <w:noProof/>
          </w:rPr>
          <w:t>Speculation and expectations</w:t>
        </w:r>
        <w:r w:rsidR="005A57F0">
          <w:rPr>
            <w:noProof/>
            <w:webHidden/>
          </w:rPr>
          <w:tab/>
        </w:r>
        <w:r w:rsidR="005A57F0">
          <w:rPr>
            <w:noProof/>
            <w:webHidden/>
          </w:rPr>
          <w:fldChar w:fldCharType="begin"/>
        </w:r>
        <w:r w:rsidR="005A57F0">
          <w:rPr>
            <w:noProof/>
            <w:webHidden/>
          </w:rPr>
          <w:instrText xml:space="preserve"> PAGEREF _Toc172288740 \h </w:instrText>
        </w:r>
        <w:r w:rsidR="005A57F0">
          <w:rPr>
            <w:noProof/>
            <w:webHidden/>
          </w:rPr>
        </w:r>
        <w:r w:rsidR="005A57F0">
          <w:rPr>
            <w:noProof/>
            <w:webHidden/>
          </w:rPr>
          <w:fldChar w:fldCharType="separate"/>
        </w:r>
        <w:r w:rsidR="00B129D9">
          <w:rPr>
            <w:noProof/>
            <w:webHidden/>
          </w:rPr>
          <w:t>74</w:t>
        </w:r>
        <w:r w:rsidR="005A57F0">
          <w:rPr>
            <w:noProof/>
            <w:webHidden/>
          </w:rPr>
          <w:fldChar w:fldCharType="end"/>
        </w:r>
      </w:hyperlink>
    </w:p>
    <w:p w14:paraId="442E4EC0" w14:textId="28E04D23"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41" w:history="1">
        <w:r w:rsidR="005A57F0" w:rsidRPr="00FE698B">
          <w:rPr>
            <w:rStyle w:val="Hyperlink"/>
            <w:bCs/>
            <w:noProof/>
          </w:rPr>
          <w:t>3.3.8</w:t>
        </w:r>
        <w:r w:rsidR="005A57F0">
          <w:rPr>
            <w:rFonts w:eastAsiaTheme="minorEastAsia" w:cstheme="minorBidi"/>
            <w:noProof/>
            <w:kern w:val="2"/>
            <w:lang w:bidi="ar-SA"/>
            <w14:ligatures w14:val="standardContextual"/>
          </w:rPr>
          <w:tab/>
        </w:r>
        <w:r w:rsidR="005A57F0" w:rsidRPr="00FE698B">
          <w:rPr>
            <w:rStyle w:val="Hyperlink"/>
            <w:noProof/>
          </w:rPr>
          <w:t>Actors involved in urban development</w:t>
        </w:r>
        <w:r w:rsidR="005A57F0">
          <w:rPr>
            <w:noProof/>
            <w:webHidden/>
          </w:rPr>
          <w:tab/>
        </w:r>
        <w:r w:rsidR="005A57F0">
          <w:rPr>
            <w:noProof/>
            <w:webHidden/>
          </w:rPr>
          <w:fldChar w:fldCharType="begin"/>
        </w:r>
        <w:r w:rsidR="005A57F0">
          <w:rPr>
            <w:noProof/>
            <w:webHidden/>
          </w:rPr>
          <w:instrText xml:space="preserve"> PAGEREF _Toc172288741 \h </w:instrText>
        </w:r>
        <w:r w:rsidR="005A57F0">
          <w:rPr>
            <w:noProof/>
            <w:webHidden/>
          </w:rPr>
        </w:r>
        <w:r w:rsidR="005A57F0">
          <w:rPr>
            <w:noProof/>
            <w:webHidden/>
          </w:rPr>
          <w:fldChar w:fldCharType="separate"/>
        </w:r>
        <w:r w:rsidR="00B129D9">
          <w:rPr>
            <w:noProof/>
            <w:webHidden/>
          </w:rPr>
          <w:t>75</w:t>
        </w:r>
        <w:r w:rsidR="005A57F0">
          <w:rPr>
            <w:noProof/>
            <w:webHidden/>
          </w:rPr>
          <w:fldChar w:fldCharType="end"/>
        </w:r>
      </w:hyperlink>
    </w:p>
    <w:p w14:paraId="3F8FFD28" w14:textId="4132292D" w:rsidR="005A57F0" w:rsidRDefault="00000000">
      <w:pPr>
        <w:pStyle w:val="TOC2"/>
        <w:rPr>
          <w:rFonts w:eastAsiaTheme="minorEastAsia" w:cstheme="minorBidi"/>
          <w:noProof/>
          <w:kern w:val="2"/>
          <w:lang w:bidi="ar-SA"/>
          <w14:ligatures w14:val="standardContextual"/>
        </w:rPr>
      </w:pPr>
      <w:hyperlink w:anchor="_Toc172288742" w:history="1">
        <w:r w:rsidR="005A57F0" w:rsidRPr="00FE698B">
          <w:rPr>
            <w:rStyle w:val="Hyperlink"/>
            <w:i/>
            <w:noProof/>
          </w:rPr>
          <w:t>3.4</w:t>
        </w:r>
        <w:r w:rsidR="005A57F0">
          <w:rPr>
            <w:rFonts w:eastAsiaTheme="minorEastAsia" w:cstheme="minorBidi"/>
            <w:noProof/>
            <w:kern w:val="2"/>
            <w:lang w:bidi="ar-SA"/>
            <w14:ligatures w14:val="standardContextual"/>
          </w:rPr>
          <w:tab/>
        </w:r>
        <w:r w:rsidR="005A57F0" w:rsidRPr="00FE698B">
          <w:rPr>
            <w:rStyle w:val="Hyperlink"/>
            <w:noProof/>
          </w:rPr>
          <w:t>Policy Implication and Recommendation</w:t>
        </w:r>
        <w:r w:rsidR="005A57F0">
          <w:rPr>
            <w:noProof/>
            <w:webHidden/>
          </w:rPr>
          <w:tab/>
        </w:r>
        <w:r w:rsidR="005A57F0">
          <w:rPr>
            <w:noProof/>
            <w:webHidden/>
          </w:rPr>
          <w:fldChar w:fldCharType="begin"/>
        </w:r>
        <w:r w:rsidR="005A57F0">
          <w:rPr>
            <w:noProof/>
            <w:webHidden/>
          </w:rPr>
          <w:instrText xml:space="preserve"> PAGEREF _Toc172288742 \h </w:instrText>
        </w:r>
        <w:r w:rsidR="005A57F0">
          <w:rPr>
            <w:noProof/>
            <w:webHidden/>
          </w:rPr>
        </w:r>
        <w:r w:rsidR="005A57F0">
          <w:rPr>
            <w:noProof/>
            <w:webHidden/>
          </w:rPr>
          <w:fldChar w:fldCharType="separate"/>
        </w:r>
        <w:r w:rsidR="00B129D9">
          <w:rPr>
            <w:noProof/>
            <w:webHidden/>
          </w:rPr>
          <w:t>78</w:t>
        </w:r>
        <w:r w:rsidR="005A57F0">
          <w:rPr>
            <w:noProof/>
            <w:webHidden/>
          </w:rPr>
          <w:fldChar w:fldCharType="end"/>
        </w:r>
      </w:hyperlink>
    </w:p>
    <w:p w14:paraId="11EFC678" w14:textId="295DECA1" w:rsidR="005A57F0" w:rsidRDefault="00000000">
      <w:pPr>
        <w:pStyle w:val="TOC2"/>
        <w:rPr>
          <w:rFonts w:eastAsiaTheme="minorEastAsia" w:cstheme="minorBidi"/>
          <w:noProof/>
          <w:kern w:val="2"/>
          <w:lang w:bidi="ar-SA"/>
          <w14:ligatures w14:val="standardContextual"/>
        </w:rPr>
      </w:pPr>
      <w:hyperlink w:anchor="_Toc172288743" w:history="1">
        <w:r w:rsidR="005A57F0" w:rsidRPr="00FE698B">
          <w:rPr>
            <w:rStyle w:val="Hyperlink"/>
            <w:noProof/>
          </w:rPr>
          <w:t>3.5</w:t>
        </w:r>
        <w:r w:rsidR="005A57F0">
          <w:rPr>
            <w:rFonts w:eastAsiaTheme="minorEastAsia" w:cstheme="minorBidi"/>
            <w:noProof/>
            <w:kern w:val="2"/>
            <w:lang w:bidi="ar-SA"/>
            <w14:ligatures w14:val="standardContextual"/>
          </w:rPr>
          <w:tab/>
        </w:r>
        <w:r w:rsidR="005A57F0" w:rsidRPr="00FE698B">
          <w:rPr>
            <w:rStyle w:val="Hyperlink"/>
            <w:noProof/>
          </w:rPr>
          <w:t>Conclusion</w:t>
        </w:r>
        <w:r w:rsidR="005A57F0">
          <w:rPr>
            <w:noProof/>
            <w:webHidden/>
          </w:rPr>
          <w:tab/>
        </w:r>
        <w:r w:rsidR="005A57F0">
          <w:rPr>
            <w:noProof/>
            <w:webHidden/>
          </w:rPr>
          <w:fldChar w:fldCharType="begin"/>
        </w:r>
        <w:r w:rsidR="005A57F0">
          <w:rPr>
            <w:noProof/>
            <w:webHidden/>
          </w:rPr>
          <w:instrText xml:space="preserve"> PAGEREF _Toc172288743 \h </w:instrText>
        </w:r>
        <w:r w:rsidR="005A57F0">
          <w:rPr>
            <w:noProof/>
            <w:webHidden/>
          </w:rPr>
        </w:r>
        <w:r w:rsidR="005A57F0">
          <w:rPr>
            <w:noProof/>
            <w:webHidden/>
          </w:rPr>
          <w:fldChar w:fldCharType="separate"/>
        </w:r>
        <w:r w:rsidR="00B129D9">
          <w:rPr>
            <w:noProof/>
            <w:webHidden/>
          </w:rPr>
          <w:t>79</w:t>
        </w:r>
        <w:r w:rsidR="005A57F0">
          <w:rPr>
            <w:noProof/>
            <w:webHidden/>
          </w:rPr>
          <w:fldChar w:fldCharType="end"/>
        </w:r>
      </w:hyperlink>
    </w:p>
    <w:p w14:paraId="369DA264" w14:textId="5745ECBA" w:rsidR="005A57F0" w:rsidRDefault="00000000">
      <w:pPr>
        <w:pStyle w:val="TOC1"/>
        <w:rPr>
          <w:rFonts w:eastAsiaTheme="minorEastAsia" w:cstheme="minorBidi"/>
          <w:b w:val="0"/>
          <w:bCs w:val="0"/>
          <w:kern w:val="2"/>
          <w:lang w:bidi="ar-SA"/>
          <w14:ligatures w14:val="standardContextual"/>
        </w:rPr>
      </w:pPr>
      <w:hyperlink w:anchor="_Toc172288744" w:history="1">
        <w:r w:rsidR="005A57F0" w:rsidRPr="00FE698B">
          <w:rPr>
            <w:rStyle w:val="Hyperlink"/>
          </w:rPr>
          <w:t>References</w:t>
        </w:r>
        <w:r w:rsidR="005A57F0">
          <w:rPr>
            <w:webHidden/>
          </w:rPr>
          <w:tab/>
        </w:r>
        <w:r w:rsidR="005A57F0">
          <w:rPr>
            <w:webHidden/>
          </w:rPr>
          <w:fldChar w:fldCharType="begin"/>
        </w:r>
        <w:r w:rsidR="005A57F0">
          <w:rPr>
            <w:webHidden/>
          </w:rPr>
          <w:instrText xml:space="preserve"> PAGEREF _Toc172288744 \h </w:instrText>
        </w:r>
        <w:r w:rsidR="005A57F0">
          <w:rPr>
            <w:webHidden/>
          </w:rPr>
        </w:r>
        <w:r w:rsidR="005A57F0">
          <w:rPr>
            <w:webHidden/>
          </w:rPr>
          <w:fldChar w:fldCharType="separate"/>
        </w:r>
        <w:r w:rsidR="00B129D9">
          <w:rPr>
            <w:webHidden/>
          </w:rPr>
          <w:t>81</w:t>
        </w:r>
        <w:r w:rsidR="005A57F0">
          <w:rPr>
            <w:webHidden/>
          </w:rPr>
          <w:fldChar w:fldCharType="end"/>
        </w:r>
      </w:hyperlink>
    </w:p>
    <w:p w14:paraId="586BA407" w14:textId="3D800ED1" w:rsidR="005A57F0" w:rsidRDefault="00000000">
      <w:pPr>
        <w:pStyle w:val="TOC1"/>
        <w:rPr>
          <w:rFonts w:eastAsiaTheme="minorEastAsia" w:cstheme="minorBidi"/>
          <w:b w:val="0"/>
          <w:bCs w:val="0"/>
          <w:kern w:val="2"/>
          <w:lang w:bidi="ar-SA"/>
          <w14:ligatures w14:val="standardContextual"/>
        </w:rPr>
      </w:pPr>
      <w:hyperlink w:anchor="_Toc172288745" w:history="1">
        <w:r w:rsidR="005A57F0" w:rsidRPr="00FE698B">
          <w:rPr>
            <w:rStyle w:val="Hyperlink"/>
          </w:rPr>
          <w:t>Chapter 4: Projecting Urban Expansion Across the West Africa's Urban System</w:t>
        </w:r>
        <w:r w:rsidR="005A57F0">
          <w:rPr>
            <w:webHidden/>
          </w:rPr>
          <w:tab/>
        </w:r>
        <w:r w:rsidR="005A57F0">
          <w:rPr>
            <w:webHidden/>
          </w:rPr>
          <w:fldChar w:fldCharType="begin"/>
        </w:r>
        <w:r w:rsidR="005A57F0">
          <w:rPr>
            <w:webHidden/>
          </w:rPr>
          <w:instrText xml:space="preserve"> PAGEREF _Toc172288745 \h </w:instrText>
        </w:r>
        <w:r w:rsidR="005A57F0">
          <w:rPr>
            <w:webHidden/>
          </w:rPr>
        </w:r>
        <w:r w:rsidR="005A57F0">
          <w:rPr>
            <w:webHidden/>
          </w:rPr>
          <w:fldChar w:fldCharType="separate"/>
        </w:r>
        <w:r w:rsidR="00B129D9">
          <w:rPr>
            <w:webHidden/>
          </w:rPr>
          <w:t>84</w:t>
        </w:r>
        <w:r w:rsidR="005A57F0">
          <w:rPr>
            <w:webHidden/>
          </w:rPr>
          <w:fldChar w:fldCharType="end"/>
        </w:r>
      </w:hyperlink>
    </w:p>
    <w:p w14:paraId="3480883F" w14:textId="4E678EA6" w:rsidR="005A57F0" w:rsidRDefault="00000000">
      <w:pPr>
        <w:pStyle w:val="TOC1"/>
        <w:rPr>
          <w:rFonts w:eastAsiaTheme="minorEastAsia" w:cstheme="minorBidi"/>
          <w:b w:val="0"/>
          <w:bCs w:val="0"/>
          <w:kern w:val="2"/>
          <w:lang w:bidi="ar-SA"/>
          <w14:ligatures w14:val="standardContextual"/>
        </w:rPr>
      </w:pPr>
      <w:hyperlink w:anchor="_Toc172288746" w:history="1">
        <w:r w:rsidR="005A57F0" w:rsidRPr="00FE698B">
          <w:rPr>
            <w:rStyle w:val="Hyperlink"/>
          </w:rPr>
          <w:t>Abstract</w:t>
        </w:r>
        <w:r w:rsidR="005A57F0">
          <w:rPr>
            <w:webHidden/>
          </w:rPr>
          <w:tab/>
        </w:r>
        <w:r w:rsidR="005A57F0">
          <w:rPr>
            <w:webHidden/>
          </w:rPr>
          <w:fldChar w:fldCharType="begin"/>
        </w:r>
        <w:r w:rsidR="005A57F0">
          <w:rPr>
            <w:webHidden/>
          </w:rPr>
          <w:instrText xml:space="preserve"> PAGEREF _Toc172288746 \h </w:instrText>
        </w:r>
        <w:r w:rsidR="005A57F0">
          <w:rPr>
            <w:webHidden/>
          </w:rPr>
        </w:r>
        <w:r w:rsidR="005A57F0">
          <w:rPr>
            <w:webHidden/>
          </w:rPr>
          <w:fldChar w:fldCharType="separate"/>
        </w:r>
        <w:r w:rsidR="00B129D9">
          <w:rPr>
            <w:webHidden/>
          </w:rPr>
          <w:t>85</w:t>
        </w:r>
        <w:r w:rsidR="005A57F0">
          <w:rPr>
            <w:webHidden/>
          </w:rPr>
          <w:fldChar w:fldCharType="end"/>
        </w:r>
      </w:hyperlink>
    </w:p>
    <w:p w14:paraId="41F79B59" w14:textId="0A2AC337" w:rsidR="005A57F0" w:rsidRDefault="00000000">
      <w:pPr>
        <w:pStyle w:val="TOC2"/>
        <w:rPr>
          <w:rFonts w:eastAsiaTheme="minorEastAsia" w:cstheme="minorBidi"/>
          <w:noProof/>
          <w:kern w:val="2"/>
          <w:lang w:bidi="ar-SA"/>
          <w14:ligatures w14:val="standardContextual"/>
        </w:rPr>
      </w:pPr>
      <w:hyperlink w:anchor="_Toc172288747" w:history="1">
        <w:r w:rsidR="005A57F0" w:rsidRPr="00FE698B">
          <w:rPr>
            <w:rStyle w:val="Hyperlink"/>
            <w:noProof/>
          </w:rPr>
          <w:t>4.1</w:t>
        </w:r>
        <w:r w:rsidR="005A57F0">
          <w:rPr>
            <w:rFonts w:eastAsiaTheme="minorEastAsia" w:cstheme="minorBidi"/>
            <w:noProof/>
            <w:kern w:val="2"/>
            <w:lang w:bidi="ar-SA"/>
            <w14:ligatures w14:val="standardContextual"/>
          </w:rPr>
          <w:tab/>
        </w:r>
        <w:r w:rsidR="005A57F0" w:rsidRPr="00FE698B">
          <w:rPr>
            <w:rStyle w:val="Hyperlink"/>
            <w:noProof/>
          </w:rPr>
          <w:t>Introduction</w:t>
        </w:r>
        <w:r w:rsidR="005A57F0">
          <w:rPr>
            <w:noProof/>
            <w:webHidden/>
          </w:rPr>
          <w:tab/>
        </w:r>
        <w:r w:rsidR="005A57F0">
          <w:rPr>
            <w:noProof/>
            <w:webHidden/>
          </w:rPr>
          <w:fldChar w:fldCharType="begin"/>
        </w:r>
        <w:r w:rsidR="005A57F0">
          <w:rPr>
            <w:noProof/>
            <w:webHidden/>
          </w:rPr>
          <w:instrText xml:space="preserve"> PAGEREF _Toc172288747 \h </w:instrText>
        </w:r>
        <w:r w:rsidR="005A57F0">
          <w:rPr>
            <w:noProof/>
            <w:webHidden/>
          </w:rPr>
        </w:r>
        <w:r w:rsidR="005A57F0">
          <w:rPr>
            <w:noProof/>
            <w:webHidden/>
          </w:rPr>
          <w:fldChar w:fldCharType="separate"/>
        </w:r>
        <w:r w:rsidR="00B129D9">
          <w:rPr>
            <w:noProof/>
            <w:webHidden/>
          </w:rPr>
          <w:t>86</w:t>
        </w:r>
        <w:r w:rsidR="005A57F0">
          <w:rPr>
            <w:noProof/>
            <w:webHidden/>
          </w:rPr>
          <w:fldChar w:fldCharType="end"/>
        </w:r>
      </w:hyperlink>
    </w:p>
    <w:p w14:paraId="530F8397" w14:textId="191DF5C3" w:rsidR="005A57F0" w:rsidRDefault="00000000">
      <w:pPr>
        <w:pStyle w:val="TOC2"/>
        <w:rPr>
          <w:rFonts w:eastAsiaTheme="minorEastAsia" w:cstheme="minorBidi"/>
          <w:noProof/>
          <w:kern w:val="2"/>
          <w:lang w:bidi="ar-SA"/>
          <w14:ligatures w14:val="standardContextual"/>
        </w:rPr>
      </w:pPr>
      <w:hyperlink w:anchor="_Toc172288748" w:history="1">
        <w:r w:rsidR="005A57F0" w:rsidRPr="00FE698B">
          <w:rPr>
            <w:rStyle w:val="Hyperlink"/>
            <w:noProof/>
          </w:rPr>
          <w:t>4.2</w:t>
        </w:r>
        <w:r w:rsidR="005A57F0">
          <w:rPr>
            <w:rFonts w:eastAsiaTheme="minorEastAsia" w:cstheme="minorBidi"/>
            <w:noProof/>
            <w:kern w:val="2"/>
            <w:lang w:bidi="ar-SA"/>
            <w14:ligatures w14:val="standardContextual"/>
          </w:rPr>
          <w:tab/>
        </w:r>
        <w:r w:rsidR="005A57F0" w:rsidRPr="00FE698B">
          <w:rPr>
            <w:rStyle w:val="Hyperlink"/>
            <w:noProof/>
          </w:rPr>
          <w:t>Materials and Methods</w:t>
        </w:r>
        <w:r w:rsidR="005A57F0">
          <w:rPr>
            <w:noProof/>
            <w:webHidden/>
          </w:rPr>
          <w:tab/>
        </w:r>
        <w:r w:rsidR="005A57F0">
          <w:rPr>
            <w:noProof/>
            <w:webHidden/>
          </w:rPr>
          <w:fldChar w:fldCharType="begin"/>
        </w:r>
        <w:r w:rsidR="005A57F0">
          <w:rPr>
            <w:noProof/>
            <w:webHidden/>
          </w:rPr>
          <w:instrText xml:space="preserve"> PAGEREF _Toc172288748 \h </w:instrText>
        </w:r>
        <w:r w:rsidR="005A57F0">
          <w:rPr>
            <w:noProof/>
            <w:webHidden/>
          </w:rPr>
        </w:r>
        <w:r w:rsidR="005A57F0">
          <w:rPr>
            <w:noProof/>
            <w:webHidden/>
          </w:rPr>
          <w:fldChar w:fldCharType="separate"/>
        </w:r>
        <w:r w:rsidR="00B129D9">
          <w:rPr>
            <w:noProof/>
            <w:webHidden/>
          </w:rPr>
          <w:t>89</w:t>
        </w:r>
        <w:r w:rsidR="005A57F0">
          <w:rPr>
            <w:noProof/>
            <w:webHidden/>
          </w:rPr>
          <w:fldChar w:fldCharType="end"/>
        </w:r>
      </w:hyperlink>
    </w:p>
    <w:p w14:paraId="15382507" w14:textId="57A4A15A"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49" w:history="1">
        <w:r w:rsidR="005A57F0" w:rsidRPr="00FE698B">
          <w:rPr>
            <w:rStyle w:val="Hyperlink"/>
            <w:noProof/>
          </w:rPr>
          <w:t>4.2.1</w:t>
        </w:r>
        <w:r w:rsidR="005A57F0">
          <w:rPr>
            <w:rFonts w:eastAsiaTheme="minorEastAsia" w:cstheme="minorBidi"/>
            <w:noProof/>
            <w:kern w:val="2"/>
            <w:lang w:bidi="ar-SA"/>
            <w14:ligatures w14:val="standardContextual"/>
          </w:rPr>
          <w:tab/>
        </w:r>
        <w:r w:rsidR="005A57F0" w:rsidRPr="00FE698B">
          <w:rPr>
            <w:rStyle w:val="Hyperlink"/>
            <w:noProof/>
          </w:rPr>
          <w:t>Study Area</w:t>
        </w:r>
        <w:r w:rsidR="005A57F0">
          <w:rPr>
            <w:noProof/>
            <w:webHidden/>
          </w:rPr>
          <w:tab/>
        </w:r>
        <w:r w:rsidR="005A57F0">
          <w:rPr>
            <w:noProof/>
            <w:webHidden/>
          </w:rPr>
          <w:fldChar w:fldCharType="begin"/>
        </w:r>
        <w:r w:rsidR="005A57F0">
          <w:rPr>
            <w:noProof/>
            <w:webHidden/>
          </w:rPr>
          <w:instrText xml:space="preserve"> PAGEREF _Toc172288749 \h </w:instrText>
        </w:r>
        <w:r w:rsidR="005A57F0">
          <w:rPr>
            <w:noProof/>
            <w:webHidden/>
          </w:rPr>
        </w:r>
        <w:r w:rsidR="005A57F0">
          <w:rPr>
            <w:noProof/>
            <w:webHidden/>
          </w:rPr>
          <w:fldChar w:fldCharType="separate"/>
        </w:r>
        <w:r w:rsidR="00B129D9">
          <w:rPr>
            <w:noProof/>
            <w:webHidden/>
          </w:rPr>
          <w:t>89</w:t>
        </w:r>
        <w:r w:rsidR="005A57F0">
          <w:rPr>
            <w:noProof/>
            <w:webHidden/>
          </w:rPr>
          <w:fldChar w:fldCharType="end"/>
        </w:r>
      </w:hyperlink>
    </w:p>
    <w:p w14:paraId="25F149F9" w14:textId="558D8C57"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50" w:history="1">
        <w:r w:rsidR="005A57F0" w:rsidRPr="00FE698B">
          <w:rPr>
            <w:rStyle w:val="Hyperlink"/>
            <w:noProof/>
          </w:rPr>
          <w:t>4.2.2</w:t>
        </w:r>
        <w:r w:rsidR="005A57F0">
          <w:rPr>
            <w:rFonts w:eastAsiaTheme="minorEastAsia" w:cstheme="minorBidi"/>
            <w:noProof/>
            <w:kern w:val="2"/>
            <w:lang w:bidi="ar-SA"/>
            <w14:ligatures w14:val="standardContextual"/>
          </w:rPr>
          <w:tab/>
        </w:r>
        <w:r w:rsidR="005A57F0" w:rsidRPr="00FE698B">
          <w:rPr>
            <w:rStyle w:val="Hyperlink"/>
            <w:noProof/>
          </w:rPr>
          <w:t>FUTURES model</w:t>
        </w:r>
        <w:r w:rsidR="005A57F0">
          <w:rPr>
            <w:noProof/>
            <w:webHidden/>
          </w:rPr>
          <w:tab/>
        </w:r>
        <w:r w:rsidR="005A57F0">
          <w:rPr>
            <w:noProof/>
            <w:webHidden/>
          </w:rPr>
          <w:fldChar w:fldCharType="begin"/>
        </w:r>
        <w:r w:rsidR="005A57F0">
          <w:rPr>
            <w:noProof/>
            <w:webHidden/>
          </w:rPr>
          <w:instrText xml:space="preserve"> PAGEREF _Toc172288750 \h </w:instrText>
        </w:r>
        <w:r w:rsidR="005A57F0">
          <w:rPr>
            <w:noProof/>
            <w:webHidden/>
          </w:rPr>
        </w:r>
        <w:r w:rsidR="005A57F0">
          <w:rPr>
            <w:noProof/>
            <w:webHidden/>
          </w:rPr>
          <w:fldChar w:fldCharType="separate"/>
        </w:r>
        <w:r w:rsidR="00B129D9">
          <w:rPr>
            <w:noProof/>
            <w:webHidden/>
          </w:rPr>
          <w:t>90</w:t>
        </w:r>
        <w:r w:rsidR="005A57F0">
          <w:rPr>
            <w:noProof/>
            <w:webHidden/>
          </w:rPr>
          <w:fldChar w:fldCharType="end"/>
        </w:r>
      </w:hyperlink>
    </w:p>
    <w:p w14:paraId="34AF936C" w14:textId="6AF8929E"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51" w:history="1">
        <w:r w:rsidR="005A57F0" w:rsidRPr="00FE698B">
          <w:rPr>
            <w:rStyle w:val="Hyperlink"/>
            <w:noProof/>
          </w:rPr>
          <w:t>4.2.3</w:t>
        </w:r>
        <w:r w:rsidR="005A57F0">
          <w:rPr>
            <w:rFonts w:eastAsiaTheme="minorEastAsia" w:cstheme="minorBidi"/>
            <w:noProof/>
            <w:kern w:val="2"/>
            <w:lang w:bidi="ar-SA"/>
            <w14:ligatures w14:val="standardContextual"/>
          </w:rPr>
          <w:tab/>
        </w:r>
        <w:r w:rsidR="005A57F0" w:rsidRPr="00FE698B">
          <w:rPr>
            <w:rStyle w:val="Hyperlink"/>
            <w:noProof/>
          </w:rPr>
          <w:t>Model input variables</w:t>
        </w:r>
        <w:r w:rsidR="005A57F0">
          <w:rPr>
            <w:noProof/>
            <w:webHidden/>
          </w:rPr>
          <w:tab/>
        </w:r>
        <w:r w:rsidR="005A57F0">
          <w:rPr>
            <w:noProof/>
            <w:webHidden/>
          </w:rPr>
          <w:fldChar w:fldCharType="begin"/>
        </w:r>
        <w:r w:rsidR="005A57F0">
          <w:rPr>
            <w:noProof/>
            <w:webHidden/>
          </w:rPr>
          <w:instrText xml:space="preserve"> PAGEREF _Toc172288751 \h </w:instrText>
        </w:r>
        <w:r w:rsidR="005A57F0">
          <w:rPr>
            <w:noProof/>
            <w:webHidden/>
          </w:rPr>
        </w:r>
        <w:r w:rsidR="005A57F0">
          <w:rPr>
            <w:noProof/>
            <w:webHidden/>
          </w:rPr>
          <w:fldChar w:fldCharType="separate"/>
        </w:r>
        <w:r w:rsidR="00B129D9">
          <w:rPr>
            <w:noProof/>
            <w:webHidden/>
          </w:rPr>
          <w:t>91</w:t>
        </w:r>
        <w:r w:rsidR="005A57F0">
          <w:rPr>
            <w:noProof/>
            <w:webHidden/>
          </w:rPr>
          <w:fldChar w:fldCharType="end"/>
        </w:r>
      </w:hyperlink>
    </w:p>
    <w:p w14:paraId="4EB77864" w14:textId="588C5B85"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52" w:history="1">
        <w:r w:rsidR="005A57F0" w:rsidRPr="00FE698B">
          <w:rPr>
            <w:rStyle w:val="Hyperlink"/>
            <w:noProof/>
          </w:rPr>
          <w:t>4.2.4</w:t>
        </w:r>
        <w:r w:rsidR="005A57F0">
          <w:rPr>
            <w:rFonts w:eastAsiaTheme="minorEastAsia" w:cstheme="minorBidi"/>
            <w:noProof/>
            <w:kern w:val="2"/>
            <w:lang w:bidi="ar-SA"/>
            <w14:ligatures w14:val="standardContextual"/>
          </w:rPr>
          <w:tab/>
        </w:r>
        <w:r w:rsidR="005A57F0" w:rsidRPr="00FE698B">
          <w:rPr>
            <w:rStyle w:val="Hyperlink"/>
            <w:noProof/>
          </w:rPr>
          <w:t>Model parameterization and calibration</w:t>
        </w:r>
        <w:r w:rsidR="005A57F0">
          <w:rPr>
            <w:noProof/>
            <w:webHidden/>
          </w:rPr>
          <w:tab/>
        </w:r>
        <w:r w:rsidR="005A57F0">
          <w:rPr>
            <w:noProof/>
            <w:webHidden/>
          </w:rPr>
          <w:fldChar w:fldCharType="begin"/>
        </w:r>
        <w:r w:rsidR="005A57F0">
          <w:rPr>
            <w:noProof/>
            <w:webHidden/>
          </w:rPr>
          <w:instrText xml:space="preserve"> PAGEREF _Toc172288752 \h </w:instrText>
        </w:r>
        <w:r w:rsidR="005A57F0">
          <w:rPr>
            <w:noProof/>
            <w:webHidden/>
          </w:rPr>
        </w:r>
        <w:r w:rsidR="005A57F0">
          <w:rPr>
            <w:noProof/>
            <w:webHidden/>
          </w:rPr>
          <w:fldChar w:fldCharType="separate"/>
        </w:r>
        <w:r w:rsidR="00B129D9">
          <w:rPr>
            <w:noProof/>
            <w:webHidden/>
          </w:rPr>
          <w:t>93</w:t>
        </w:r>
        <w:r w:rsidR="005A57F0">
          <w:rPr>
            <w:noProof/>
            <w:webHidden/>
          </w:rPr>
          <w:fldChar w:fldCharType="end"/>
        </w:r>
      </w:hyperlink>
    </w:p>
    <w:p w14:paraId="6F926C37" w14:textId="5D53139C"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53" w:history="1">
        <w:r w:rsidR="005A57F0" w:rsidRPr="00FE698B">
          <w:rPr>
            <w:rStyle w:val="Hyperlink"/>
            <w:noProof/>
          </w:rPr>
          <w:t>4.2.5</w:t>
        </w:r>
        <w:r w:rsidR="005A57F0">
          <w:rPr>
            <w:rFonts w:eastAsiaTheme="minorEastAsia" w:cstheme="minorBidi"/>
            <w:noProof/>
            <w:kern w:val="2"/>
            <w:lang w:bidi="ar-SA"/>
            <w14:ligatures w14:val="standardContextual"/>
          </w:rPr>
          <w:tab/>
        </w:r>
        <w:r w:rsidR="005A57F0" w:rsidRPr="00FE698B">
          <w:rPr>
            <w:rStyle w:val="Hyperlink"/>
            <w:noProof/>
          </w:rPr>
          <w:t>Model simulation and validation</w:t>
        </w:r>
        <w:r w:rsidR="005A57F0">
          <w:rPr>
            <w:noProof/>
            <w:webHidden/>
          </w:rPr>
          <w:tab/>
        </w:r>
        <w:r w:rsidR="005A57F0">
          <w:rPr>
            <w:noProof/>
            <w:webHidden/>
          </w:rPr>
          <w:fldChar w:fldCharType="begin"/>
        </w:r>
        <w:r w:rsidR="005A57F0">
          <w:rPr>
            <w:noProof/>
            <w:webHidden/>
          </w:rPr>
          <w:instrText xml:space="preserve"> PAGEREF _Toc172288753 \h </w:instrText>
        </w:r>
        <w:r w:rsidR="005A57F0">
          <w:rPr>
            <w:noProof/>
            <w:webHidden/>
          </w:rPr>
        </w:r>
        <w:r w:rsidR="005A57F0">
          <w:rPr>
            <w:noProof/>
            <w:webHidden/>
          </w:rPr>
          <w:fldChar w:fldCharType="separate"/>
        </w:r>
        <w:r w:rsidR="00B129D9">
          <w:rPr>
            <w:noProof/>
            <w:webHidden/>
          </w:rPr>
          <w:t>94</w:t>
        </w:r>
        <w:r w:rsidR="005A57F0">
          <w:rPr>
            <w:noProof/>
            <w:webHidden/>
          </w:rPr>
          <w:fldChar w:fldCharType="end"/>
        </w:r>
      </w:hyperlink>
    </w:p>
    <w:p w14:paraId="5F4E7CA7" w14:textId="1FFB5234" w:rsidR="005A57F0" w:rsidRDefault="00000000">
      <w:pPr>
        <w:pStyle w:val="TOC2"/>
        <w:rPr>
          <w:rFonts w:eastAsiaTheme="minorEastAsia" w:cstheme="minorBidi"/>
          <w:noProof/>
          <w:kern w:val="2"/>
          <w:lang w:bidi="ar-SA"/>
          <w14:ligatures w14:val="standardContextual"/>
        </w:rPr>
      </w:pPr>
      <w:hyperlink w:anchor="_Toc172288754" w:history="1">
        <w:r w:rsidR="005A57F0" w:rsidRPr="00FE698B">
          <w:rPr>
            <w:rStyle w:val="Hyperlink"/>
            <w:noProof/>
          </w:rPr>
          <w:t>4.3</w:t>
        </w:r>
        <w:r w:rsidR="005A57F0">
          <w:rPr>
            <w:rFonts w:eastAsiaTheme="minorEastAsia" w:cstheme="minorBidi"/>
            <w:noProof/>
            <w:kern w:val="2"/>
            <w:lang w:bidi="ar-SA"/>
            <w14:ligatures w14:val="standardContextual"/>
          </w:rPr>
          <w:tab/>
        </w:r>
        <w:r w:rsidR="005A57F0" w:rsidRPr="00FE698B">
          <w:rPr>
            <w:rStyle w:val="Hyperlink"/>
            <w:noProof/>
          </w:rPr>
          <w:t>Results</w:t>
        </w:r>
        <w:r w:rsidR="005A57F0">
          <w:rPr>
            <w:noProof/>
            <w:webHidden/>
          </w:rPr>
          <w:tab/>
        </w:r>
        <w:r w:rsidR="005A57F0">
          <w:rPr>
            <w:noProof/>
            <w:webHidden/>
          </w:rPr>
          <w:fldChar w:fldCharType="begin"/>
        </w:r>
        <w:r w:rsidR="005A57F0">
          <w:rPr>
            <w:noProof/>
            <w:webHidden/>
          </w:rPr>
          <w:instrText xml:space="preserve"> PAGEREF _Toc172288754 \h </w:instrText>
        </w:r>
        <w:r w:rsidR="005A57F0">
          <w:rPr>
            <w:noProof/>
            <w:webHidden/>
          </w:rPr>
        </w:r>
        <w:r w:rsidR="005A57F0">
          <w:rPr>
            <w:noProof/>
            <w:webHidden/>
          </w:rPr>
          <w:fldChar w:fldCharType="separate"/>
        </w:r>
        <w:r w:rsidR="00B129D9">
          <w:rPr>
            <w:noProof/>
            <w:webHidden/>
          </w:rPr>
          <w:t>95</w:t>
        </w:r>
        <w:r w:rsidR="005A57F0">
          <w:rPr>
            <w:noProof/>
            <w:webHidden/>
          </w:rPr>
          <w:fldChar w:fldCharType="end"/>
        </w:r>
      </w:hyperlink>
    </w:p>
    <w:p w14:paraId="61110A7A" w14:textId="5590881E"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55" w:history="1">
        <w:r w:rsidR="005A57F0" w:rsidRPr="00FE698B">
          <w:rPr>
            <w:rStyle w:val="Hyperlink"/>
            <w:noProof/>
          </w:rPr>
          <w:t>4.3.1</w:t>
        </w:r>
        <w:r w:rsidR="005A57F0">
          <w:rPr>
            <w:rFonts w:eastAsiaTheme="minorEastAsia" w:cstheme="minorBidi"/>
            <w:noProof/>
            <w:kern w:val="2"/>
            <w:lang w:bidi="ar-SA"/>
            <w14:ligatures w14:val="standardContextual"/>
          </w:rPr>
          <w:tab/>
        </w:r>
        <w:r w:rsidR="005A57F0" w:rsidRPr="00FE698B">
          <w:rPr>
            <w:rStyle w:val="Hyperlink"/>
            <w:noProof/>
          </w:rPr>
          <w:t>Variable importance</w:t>
        </w:r>
        <w:r w:rsidR="005A57F0">
          <w:rPr>
            <w:noProof/>
            <w:webHidden/>
          </w:rPr>
          <w:tab/>
        </w:r>
        <w:r w:rsidR="005A57F0">
          <w:rPr>
            <w:noProof/>
            <w:webHidden/>
          </w:rPr>
          <w:fldChar w:fldCharType="begin"/>
        </w:r>
        <w:r w:rsidR="005A57F0">
          <w:rPr>
            <w:noProof/>
            <w:webHidden/>
          </w:rPr>
          <w:instrText xml:space="preserve"> PAGEREF _Toc172288755 \h </w:instrText>
        </w:r>
        <w:r w:rsidR="005A57F0">
          <w:rPr>
            <w:noProof/>
            <w:webHidden/>
          </w:rPr>
        </w:r>
        <w:r w:rsidR="005A57F0">
          <w:rPr>
            <w:noProof/>
            <w:webHidden/>
          </w:rPr>
          <w:fldChar w:fldCharType="separate"/>
        </w:r>
        <w:r w:rsidR="00B129D9">
          <w:rPr>
            <w:noProof/>
            <w:webHidden/>
          </w:rPr>
          <w:t>95</w:t>
        </w:r>
        <w:r w:rsidR="005A57F0">
          <w:rPr>
            <w:noProof/>
            <w:webHidden/>
          </w:rPr>
          <w:fldChar w:fldCharType="end"/>
        </w:r>
      </w:hyperlink>
    </w:p>
    <w:p w14:paraId="65CBD52B" w14:textId="5E7743AF"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56" w:history="1">
        <w:r w:rsidR="005A57F0" w:rsidRPr="00FE698B">
          <w:rPr>
            <w:rStyle w:val="Hyperlink"/>
            <w:noProof/>
          </w:rPr>
          <w:t>4.3.2</w:t>
        </w:r>
        <w:r w:rsidR="005A57F0">
          <w:rPr>
            <w:rFonts w:eastAsiaTheme="minorEastAsia" w:cstheme="minorBidi"/>
            <w:noProof/>
            <w:kern w:val="2"/>
            <w:lang w:bidi="ar-SA"/>
            <w14:ligatures w14:val="standardContextual"/>
          </w:rPr>
          <w:tab/>
        </w:r>
        <w:r w:rsidR="005A57F0" w:rsidRPr="00FE698B">
          <w:rPr>
            <w:rStyle w:val="Hyperlink"/>
            <w:noProof/>
          </w:rPr>
          <w:t>Accuracy comparison across city types</w:t>
        </w:r>
        <w:r w:rsidR="005A57F0">
          <w:rPr>
            <w:noProof/>
            <w:webHidden/>
          </w:rPr>
          <w:tab/>
        </w:r>
        <w:r w:rsidR="005A57F0">
          <w:rPr>
            <w:noProof/>
            <w:webHidden/>
          </w:rPr>
          <w:fldChar w:fldCharType="begin"/>
        </w:r>
        <w:r w:rsidR="005A57F0">
          <w:rPr>
            <w:noProof/>
            <w:webHidden/>
          </w:rPr>
          <w:instrText xml:space="preserve"> PAGEREF _Toc172288756 \h </w:instrText>
        </w:r>
        <w:r w:rsidR="005A57F0">
          <w:rPr>
            <w:noProof/>
            <w:webHidden/>
          </w:rPr>
        </w:r>
        <w:r w:rsidR="005A57F0">
          <w:rPr>
            <w:noProof/>
            <w:webHidden/>
          </w:rPr>
          <w:fldChar w:fldCharType="separate"/>
        </w:r>
        <w:r w:rsidR="00B129D9">
          <w:rPr>
            <w:noProof/>
            <w:webHidden/>
          </w:rPr>
          <w:t>98</w:t>
        </w:r>
        <w:r w:rsidR="005A57F0">
          <w:rPr>
            <w:noProof/>
            <w:webHidden/>
          </w:rPr>
          <w:fldChar w:fldCharType="end"/>
        </w:r>
      </w:hyperlink>
    </w:p>
    <w:p w14:paraId="57BDAD35" w14:textId="7CD3384D"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57" w:history="1">
        <w:r w:rsidR="005A57F0" w:rsidRPr="00FE698B">
          <w:rPr>
            <w:rStyle w:val="Hyperlink"/>
            <w:noProof/>
          </w:rPr>
          <w:t>4.3.3</w:t>
        </w:r>
        <w:r w:rsidR="005A57F0">
          <w:rPr>
            <w:rFonts w:eastAsiaTheme="minorEastAsia" w:cstheme="minorBidi"/>
            <w:noProof/>
            <w:kern w:val="2"/>
            <w:lang w:bidi="ar-SA"/>
            <w14:ligatures w14:val="standardContextual"/>
          </w:rPr>
          <w:tab/>
        </w:r>
        <w:r w:rsidR="005A57F0" w:rsidRPr="00FE698B">
          <w:rPr>
            <w:rStyle w:val="Hyperlink"/>
            <w:noProof/>
          </w:rPr>
          <w:t>Quantities and rates of expansion across administrative boundaries</w:t>
        </w:r>
        <w:r w:rsidR="005A57F0">
          <w:rPr>
            <w:noProof/>
            <w:webHidden/>
          </w:rPr>
          <w:tab/>
        </w:r>
        <w:r w:rsidR="005A57F0">
          <w:rPr>
            <w:noProof/>
            <w:webHidden/>
          </w:rPr>
          <w:fldChar w:fldCharType="begin"/>
        </w:r>
        <w:r w:rsidR="005A57F0">
          <w:rPr>
            <w:noProof/>
            <w:webHidden/>
          </w:rPr>
          <w:instrText xml:space="preserve"> PAGEREF _Toc172288757 \h </w:instrText>
        </w:r>
        <w:r w:rsidR="005A57F0">
          <w:rPr>
            <w:noProof/>
            <w:webHidden/>
          </w:rPr>
        </w:r>
        <w:r w:rsidR="005A57F0">
          <w:rPr>
            <w:noProof/>
            <w:webHidden/>
          </w:rPr>
          <w:fldChar w:fldCharType="separate"/>
        </w:r>
        <w:r w:rsidR="00B129D9">
          <w:rPr>
            <w:noProof/>
            <w:webHidden/>
          </w:rPr>
          <w:t>102</w:t>
        </w:r>
        <w:r w:rsidR="005A57F0">
          <w:rPr>
            <w:noProof/>
            <w:webHidden/>
          </w:rPr>
          <w:fldChar w:fldCharType="end"/>
        </w:r>
      </w:hyperlink>
    </w:p>
    <w:p w14:paraId="22AABB3F" w14:textId="52A87E82" w:rsidR="005A57F0" w:rsidRDefault="00000000">
      <w:pPr>
        <w:pStyle w:val="TOC2"/>
        <w:rPr>
          <w:rFonts w:eastAsiaTheme="minorEastAsia" w:cstheme="minorBidi"/>
          <w:noProof/>
          <w:kern w:val="2"/>
          <w:lang w:bidi="ar-SA"/>
          <w14:ligatures w14:val="standardContextual"/>
        </w:rPr>
      </w:pPr>
      <w:hyperlink w:anchor="_Toc172288758" w:history="1">
        <w:r w:rsidR="005A57F0" w:rsidRPr="00FE698B">
          <w:rPr>
            <w:rStyle w:val="Hyperlink"/>
            <w:noProof/>
          </w:rPr>
          <w:t>4.4</w:t>
        </w:r>
        <w:r w:rsidR="005A57F0">
          <w:rPr>
            <w:rFonts w:eastAsiaTheme="minorEastAsia" w:cstheme="minorBidi"/>
            <w:noProof/>
            <w:kern w:val="2"/>
            <w:lang w:bidi="ar-SA"/>
            <w14:ligatures w14:val="standardContextual"/>
          </w:rPr>
          <w:tab/>
        </w:r>
        <w:r w:rsidR="005A57F0" w:rsidRPr="00FE698B">
          <w:rPr>
            <w:rStyle w:val="Hyperlink"/>
            <w:noProof/>
          </w:rPr>
          <w:t>Discussion</w:t>
        </w:r>
        <w:r w:rsidR="005A57F0">
          <w:rPr>
            <w:noProof/>
            <w:webHidden/>
          </w:rPr>
          <w:tab/>
        </w:r>
        <w:r w:rsidR="005A57F0">
          <w:rPr>
            <w:noProof/>
            <w:webHidden/>
          </w:rPr>
          <w:fldChar w:fldCharType="begin"/>
        </w:r>
        <w:r w:rsidR="005A57F0">
          <w:rPr>
            <w:noProof/>
            <w:webHidden/>
          </w:rPr>
          <w:instrText xml:space="preserve"> PAGEREF _Toc172288758 \h </w:instrText>
        </w:r>
        <w:r w:rsidR="005A57F0">
          <w:rPr>
            <w:noProof/>
            <w:webHidden/>
          </w:rPr>
        </w:r>
        <w:r w:rsidR="005A57F0">
          <w:rPr>
            <w:noProof/>
            <w:webHidden/>
          </w:rPr>
          <w:fldChar w:fldCharType="separate"/>
        </w:r>
        <w:r w:rsidR="00B129D9">
          <w:rPr>
            <w:noProof/>
            <w:webHidden/>
          </w:rPr>
          <w:t>105</w:t>
        </w:r>
        <w:r w:rsidR="005A57F0">
          <w:rPr>
            <w:noProof/>
            <w:webHidden/>
          </w:rPr>
          <w:fldChar w:fldCharType="end"/>
        </w:r>
      </w:hyperlink>
    </w:p>
    <w:p w14:paraId="0ADE366F" w14:textId="1232B087"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59" w:history="1">
        <w:r w:rsidR="005A57F0" w:rsidRPr="00FE698B">
          <w:rPr>
            <w:rStyle w:val="Hyperlink"/>
            <w:noProof/>
          </w:rPr>
          <w:t>4.4.1</w:t>
        </w:r>
        <w:r w:rsidR="005A57F0">
          <w:rPr>
            <w:rFonts w:eastAsiaTheme="minorEastAsia" w:cstheme="minorBidi"/>
            <w:noProof/>
            <w:kern w:val="2"/>
            <w:lang w:bidi="ar-SA"/>
            <w14:ligatures w14:val="standardContextual"/>
          </w:rPr>
          <w:tab/>
        </w:r>
        <w:r w:rsidR="005A57F0" w:rsidRPr="00FE698B">
          <w:rPr>
            <w:rStyle w:val="Hyperlink"/>
            <w:noProof/>
          </w:rPr>
          <w:t>Importance of input variables</w:t>
        </w:r>
        <w:r w:rsidR="005A57F0">
          <w:rPr>
            <w:noProof/>
            <w:webHidden/>
          </w:rPr>
          <w:tab/>
        </w:r>
        <w:r w:rsidR="005A57F0">
          <w:rPr>
            <w:noProof/>
            <w:webHidden/>
          </w:rPr>
          <w:fldChar w:fldCharType="begin"/>
        </w:r>
        <w:r w:rsidR="005A57F0">
          <w:rPr>
            <w:noProof/>
            <w:webHidden/>
          </w:rPr>
          <w:instrText xml:space="preserve"> PAGEREF _Toc172288759 \h </w:instrText>
        </w:r>
        <w:r w:rsidR="005A57F0">
          <w:rPr>
            <w:noProof/>
            <w:webHidden/>
          </w:rPr>
        </w:r>
        <w:r w:rsidR="005A57F0">
          <w:rPr>
            <w:noProof/>
            <w:webHidden/>
          </w:rPr>
          <w:fldChar w:fldCharType="separate"/>
        </w:r>
        <w:r w:rsidR="00B129D9">
          <w:rPr>
            <w:noProof/>
            <w:webHidden/>
          </w:rPr>
          <w:t>105</w:t>
        </w:r>
        <w:r w:rsidR="005A57F0">
          <w:rPr>
            <w:noProof/>
            <w:webHidden/>
          </w:rPr>
          <w:fldChar w:fldCharType="end"/>
        </w:r>
      </w:hyperlink>
    </w:p>
    <w:p w14:paraId="09DAEBF0" w14:textId="61D0A756"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60" w:history="1">
        <w:r w:rsidR="005A57F0" w:rsidRPr="00FE698B">
          <w:rPr>
            <w:rStyle w:val="Hyperlink"/>
            <w:noProof/>
          </w:rPr>
          <w:t>4.4.2</w:t>
        </w:r>
        <w:r w:rsidR="005A57F0">
          <w:rPr>
            <w:rFonts w:eastAsiaTheme="minorEastAsia" w:cstheme="minorBidi"/>
            <w:noProof/>
            <w:kern w:val="2"/>
            <w:lang w:bidi="ar-SA"/>
            <w14:ligatures w14:val="standardContextual"/>
          </w:rPr>
          <w:tab/>
        </w:r>
        <w:r w:rsidR="005A57F0" w:rsidRPr="00FE698B">
          <w:rPr>
            <w:rStyle w:val="Hyperlink"/>
            <w:noProof/>
          </w:rPr>
          <w:t>Accuracy of simulation</w:t>
        </w:r>
        <w:r w:rsidR="005A57F0">
          <w:rPr>
            <w:noProof/>
            <w:webHidden/>
          </w:rPr>
          <w:tab/>
        </w:r>
        <w:r w:rsidR="005A57F0">
          <w:rPr>
            <w:noProof/>
            <w:webHidden/>
          </w:rPr>
          <w:fldChar w:fldCharType="begin"/>
        </w:r>
        <w:r w:rsidR="005A57F0">
          <w:rPr>
            <w:noProof/>
            <w:webHidden/>
          </w:rPr>
          <w:instrText xml:space="preserve"> PAGEREF _Toc172288760 \h </w:instrText>
        </w:r>
        <w:r w:rsidR="005A57F0">
          <w:rPr>
            <w:noProof/>
            <w:webHidden/>
          </w:rPr>
        </w:r>
        <w:r w:rsidR="005A57F0">
          <w:rPr>
            <w:noProof/>
            <w:webHidden/>
          </w:rPr>
          <w:fldChar w:fldCharType="separate"/>
        </w:r>
        <w:r w:rsidR="00B129D9">
          <w:rPr>
            <w:noProof/>
            <w:webHidden/>
          </w:rPr>
          <w:t>106</w:t>
        </w:r>
        <w:r w:rsidR="005A57F0">
          <w:rPr>
            <w:noProof/>
            <w:webHidden/>
          </w:rPr>
          <w:fldChar w:fldCharType="end"/>
        </w:r>
      </w:hyperlink>
    </w:p>
    <w:p w14:paraId="2E99FEBA" w14:textId="39A0BC41"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61" w:history="1">
        <w:r w:rsidR="005A57F0" w:rsidRPr="00FE698B">
          <w:rPr>
            <w:rStyle w:val="Hyperlink"/>
            <w:noProof/>
          </w:rPr>
          <w:t>4.4.3</w:t>
        </w:r>
        <w:r w:rsidR="005A57F0">
          <w:rPr>
            <w:rFonts w:eastAsiaTheme="minorEastAsia" w:cstheme="minorBidi"/>
            <w:noProof/>
            <w:kern w:val="2"/>
            <w:lang w:bidi="ar-SA"/>
            <w14:ligatures w14:val="standardContextual"/>
          </w:rPr>
          <w:tab/>
        </w:r>
        <w:r w:rsidR="005A57F0" w:rsidRPr="00FE698B">
          <w:rPr>
            <w:rStyle w:val="Hyperlink"/>
            <w:noProof/>
          </w:rPr>
          <w:t>Future expansion rates</w:t>
        </w:r>
        <w:r w:rsidR="005A57F0">
          <w:rPr>
            <w:noProof/>
            <w:webHidden/>
          </w:rPr>
          <w:tab/>
        </w:r>
        <w:r w:rsidR="005A57F0">
          <w:rPr>
            <w:noProof/>
            <w:webHidden/>
          </w:rPr>
          <w:fldChar w:fldCharType="begin"/>
        </w:r>
        <w:r w:rsidR="005A57F0">
          <w:rPr>
            <w:noProof/>
            <w:webHidden/>
          </w:rPr>
          <w:instrText xml:space="preserve"> PAGEREF _Toc172288761 \h </w:instrText>
        </w:r>
        <w:r w:rsidR="005A57F0">
          <w:rPr>
            <w:noProof/>
            <w:webHidden/>
          </w:rPr>
        </w:r>
        <w:r w:rsidR="005A57F0">
          <w:rPr>
            <w:noProof/>
            <w:webHidden/>
          </w:rPr>
          <w:fldChar w:fldCharType="separate"/>
        </w:r>
        <w:r w:rsidR="00B129D9">
          <w:rPr>
            <w:noProof/>
            <w:webHidden/>
          </w:rPr>
          <w:t>107</w:t>
        </w:r>
        <w:r w:rsidR="005A57F0">
          <w:rPr>
            <w:noProof/>
            <w:webHidden/>
          </w:rPr>
          <w:fldChar w:fldCharType="end"/>
        </w:r>
      </w:hyperlink>
    </w:p>
    <w:p w14:paraId="64CDE34F" w14:textId="7A0792F5"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62" w:history="1">
        <w:r w:rsidR="005A57F0" w:rsidRPr="00FE698B">
          <w:rPr>
            <w:rStyle w:val="Hyperlink"/>
            <w:noProof/>
          </w:rPr>
          <w:t>4.4.4</w:t>
        </w:r>
        <w:r w:rsidR="005A57F0">
          <w:rPr>
            <w:rFonts w:eastAsiaTheme="minorEastAsia" w:cstheme="minorBidi"/>
            <w:noProof/>
            <w:kern w:val="2"/>
            <w:lang w:bidi="ar-SA"/>
            <w14:ligatures w14:val="standardContextual"/>
          </w:rPr>
          <w:tab/>
        </w:r>
        <w:r w:rsidR="005A57F0" w:rsidRPr="00FE698B">
          <w:rPr>
            <w:rStyle w:val="Hyperlink"/>
            <w:noProof/>
          </w:rPr>
          <w:t>Policy implications of expansion rates</w:t>
        </w:r>
        <w:r w:rsidR="005A57F0">
          <w:rPr>
            <w:noProof/>
            <w:webHidden/>
          </w:rPr>
          <w:tab/>
        </w:r>
        <w:r w:rsidR="005A57F0">
          <w:rPr>
            <w:noProof/>
            <w:webHidden/>
          </w:rPr>
          <w:fldChar w:fldCharType="begin"/>
        </w:r>
        <w:r w:rsidR="005A57F0">
          <w:rPr>
            <w:noProof/>
            <w:webHidden/>
          </w:rPr>
          <w:instrText xml:space="preserve"> PAGEREF _Toc172288762 \h </w:instrText>
        </w:r>
        <w:r w:rsidR="005A57F0">
          <w:rPr>
            <w:noProof/>
            <w:webHidden/>
          </w:rPr>
        </w:r>
        <w:r w:rsidR="005A57F0">
          <w:rPr>
            <w:noProof/>
            <w:webHidden/>
          </w:rPr>
          <w:fldChar w:fldCharType="separate"/>
        </w:r>
        <w:r w:rsidR="00B129D9">
          <w:rPr>
            <w:noProof/>
            <w:webHidden/>
          </w:rPr>
          <w:t>108</w:t>
        </w:r>
        <w:r w:rsidR="005A57F0">
          <w:rPr>
            <w:noProof/>
            <w:webHidden/>
          </w:rPr>
          <w:fldChar w:fldCharType="end"/>
        </w:r>
      </w:hyperlink>
    </w:p>
    <w:p w14:paraId="49964150" w14:textId="30A2903E" w:rsidR="005A57F0" w:rsidRDefault="00000000">
      <w:pPr>
        <w:pStyle w:val="TOC3"/>
        <w:tabs>
          <w:tab w:val="left" w:pos="1680"/>
          <w:tab w:val="right" w:leader="dot" w:pos="9350"/>
        </w:tabs>
        <w:rPr>
          <w:rFonts w:eastAsiaTheme="minorEastAsia" w:cstheme="minorBidi"/>
          <w:noProof/>
          <w:kern w:val="2"/>
          <w:lang w:bidi="ar-SA"/>
          <w14:ligatures w14:val="standardContextual"/>
        </w:rPr>
      </w:pPr>
      <w:hyperlink w:anchor="_Toc172288763" w:history="1">
        <w:r w:rsidR="005A57F0" w:rsidRPr="00FE698B">
          <w:rPr>
            <w:rStyle w:val="Hyperlink"/>
            <w:noProof/>
          </w:rPr>
          <w:t>4.4.5</w:t>
        </w:r>
        <w:r w:rsidR="005A57F0">
          <w:rPr>
            <w:rFonts w:eastAsiaTheme="minorEastAsia" w:cstheme="minorBidi"/>
            <w:noProof/>
            <w:kern w:val="2"/>
            <w:lang w:bidi="ar-SA"/>
            <w14:ligatures w14:val="standardContextual"/>
          </w:rPr>
          <w:tab/>
        </w:r>
        <w:r w:rsidR="005A57F0" w:rsidRPr="00FE698B">
          <w:rPr>
            <w:rStyle w:val="Hyperlink"/>
            <w:noProof/>
          </w:rPr>
          <w:t>Limitations of study and recommendations</w:t>
        </w:r>
        <w:r w:rsidR="005A57F0">
          <w:rPr>
            <w:noProof/>
            <w:webHidden/>
          </w:rPr>
          <w:tab/>
        </w:r>
        <w:r w:rsidR="005A57F0">
          <w:rPr>
            <w:noProof/>
            <w:webHidden/>
          </w:rPr>
          <w:fldChar w:fldCharType="begin"/>
        </w:r>
        <w:r w:rsidR="005A57F0">
          <w:rPr>
            <w:noProof/>
            <w:webHidden/>
          </w:rPr>
          <w:instrText xml:space="preserve"> PAGEREF _Toc172288763 \h </w:instrText>
        </w:r>
        <w:r w:rsidR="005A57F0">
          <w:rPr>
            <w:noProof/>
            <w:webHidden/>
          </w:rPr>
        </w:r>
        <w:r w:rsidR="005A57F0">
          <w:rPr>
            <w:noProof/>
            <w:webHidden/>
          </w:rPr>
          <w:fldChar w:fldCharType="separate"/>
        </w:r>
        <w:r w:rsidR="00B129D9">
          <w:rPr>
            <w:noProof/>
            <w:webHidden/>
          </w:rPr>
          <w:t>109</w:t>
        </w:r>
        <w:r w:rsidR="005A57F0">
          <w:rPr>
            <w:noProof/>
            <w:webHidden/>
          </w:rPr>
          <w:fldChar w:fldCharType="end"/>
        </w:r>
      </w:hyperlink>
    </w:p>
    <w:p w14:paraId="24547E52" w14:textId="5E2C1412" w:rsidR="005A57F0" w:rsidRDefault="00000000">
      <w:pPr>
        <w:pStyle w:val="TOC2"/>
        <w:rPr>
          <w:rFonts w:eastAsiaTheme="minorEastAsia" w:cstheme="minorBidi"/>
          <w:noProof/>
          <w:kern w:val="2"/>
          <w:lang w:bidi="ar-SA"/>
          <w14:ligatures w14:val="standardContextual"/>
        </w:rPr>
      </w:pPr>
      <w:hyperlink w:anchor="_Toc172288764" w:history="1">
        <w:r w:rsidR="005A57F0" w:rsidRPr="00FE698B">
          <w:rPr>
            <w:rStyle w:val="Hyperlink"/>
            <w:noProof/>
          </w:rPr>
          <w:t>4.5</w:t>
        </w:r>
        <w:r w:rsidR="005A57F0">
          <w:rPr>
            <w:rFonts w:eastAsiaTheme="minorEastAsia" w:cstheme="minorBidi"/>
            <w:noProof/>
            <w:kern w:val="2"/>
            <w:lang w:bidi="ar-SA"/>
            <w14:ligatures w14:val="standardContextual"/>
          </w:rPr>
          <w:tab/>
        </w:r>
        <w:r w:rsidR="005A57F0" w:rsidRPr="00FE698B">
          <w:rPr>
            <w:rStyle w:val="Hyperlink"/>
            <w:noProof/>
          </w:rPr>
          <w:t>Conclusion</w:t>
        </w:r>
        <w:r w:rsidR="005A57F0">
          <w:rPr>
            <w:noProof/>
            <w:webHidden/>
          </w:rPr>
          <w:tab/>
        </w:r>
        <w:r w:rsidR="005A57F0">
          <w:rPr>
            <w:noProof/>
            <w:webHidden/>
          </w:rPr>
          <w:fldChar w:fldCharType="begin"/>
        </w:r>
        <w:r w:rsidR="005A57F0">
          <w:rPr>
            <w:noProof/>
            <w:webHidden/>
          </w:rPr>
          <w:instrText xml:space="preserve"> PAGEREF _Toc172288764 \h </w:instrText>
        </w:r>
        <w:r w:rsidR="005A57F0">
          <w:rPr>
            <w:noProof/>
            <w:webHidden/>
          </w:rPr>
        </w:r>
        <w:r w:rsidR="005A57F0">
          <w:rPr>
            <w:noProof/>
            <w:webHidden/>
          </w:rPr>
          <w:fldChar w:fldCharType="separate"/>
        </w:r>
        <w:r w:rsidR="00B129D9">
          <w:rPr>
            <w:noProof/>
            <w:webHidden/>
          </w:rPr>
          <w:t>110</w:t>
        </w:r>
        <w:r w:rsidR="005A57F0">
          <w:rPr>
            <w:noProof/>
            <w:webHidden/>
          </w:rPr>
          <w:fldChar w:fldCharType="end"/>
        </w:r>
      </w:hyperlink>
    </w:p>
    <w:p w14:paraId="587EC49D" w14:textId="26A3C281" w:rsidR="005A57F0" w:rsidRDefault="00000000">
      <w:pPr>
        <w:pStyle w:val="TOC1"/>
        <w:rPr>
          <w:rFonts w:eastAsiaTheme="minorEastAsia" w:cstheme="minorBidi"/>
          <w:b w:val="0"/>
          <w:bCs w:val="0"/>
          <w:kern w:val="2"/>
          <w:lang w:bidi="ar-SA"/>
          <w14:ligatures w14:val="standardContextual"/>
        </w:rPr>
      </w:pPr>
      <w:hyperlink w:anchor="_Toc172288765" w:history="1">
        <w:r w:rsidR="005A57F0" w:rsidRPr="00FE698B">
          <w:rPr>
            <w:rStyle w:val="Hyperlink"/>
          </w:rPr>
          <w:t>References</w:t>
        </w:r>
        <w:r w:rsidR="005A57F0">
          <w:rPr>
            <w:webHidden/>
          </w:rPr>
          <w:tab/>
        </w:r>
        <w:r w:rsidR="005A57F0">
          <w:rPr>
            <w:webHidden/>
          </w:rPr>
          <w:fldChar w:fldCharType="begin"/>
        </w:r>
        <w:r w:rsidR="005A57F0">
          <w:rPr>
            <w:webHidden/>
          </w:rPr>
          <w:instrText xml:space="preserve"> PAGEREF _Toc172288765 \h </w:instrText>
        </w:r>
        <w:r w:rsidR="005A57F0">
          <w:rPr>
            <w:webHidden/>
          </w:rPr>
        </w:r>
        <w:r w:rsidR="005A57F0">
          <w:rPr>
            <w:webHidden/>
          </w:rPr>
          <w:fldChar w:fldCharType="separate"/>
        </w:r>
        <w:r w:rsidR="00B129D9">
          <w:rPr>
            <w:webHidden/>
          </w:rPr>
          <w:t>112</w:t>
        </w:r>
        <w:r w:rsidR="005A57F0">
          <w:rPr>
            <w:webHidden/>
          </w:rPr>
          <w:fldChar w:fldCharType="end"/>
        </w:r>
      </w:hyperlink>
    </w:p>
    <w:p w14:paraId="1249970D" w14:textId="378272AD" w:rsidR="005A57F0" w:rsidRDefault="00000000">
      <w:pPr>
        <w:pStyle w:val="TOC1"/>
        <w:rPr>
          <w:rFonts w:eastAsiaTheme="minorEastAsia" w:cstheme="minorBidi"/>
          <w:b w:val="0"/>
          <w:bCs w:val="0"/>
          <w:kern w:val="2"/>
          <w:lang w:bidi="ar-SA"/>
          <w14:ligatures w14:val="standardContextual"/>
        </w:rPr>
      </w:pPr>
      <w:hyperlink w:anchor="_Toc172288766" w:history="1">
        <w:r w:rsidR="005A57F0" w:rsidRPr="00FE698B">
          <w:rPr>
            <w:rStyle w:val="Hyperlink"/>
          </w:rPr>
          <w:t>Chapter 5: Synthesis, Conclusion, and Future Work</w:t>
        </w:r>
        <w:r w:rsidR="005A57F0">
          <w:rPr>
            <w:webHidden/>
          </w:rPr>
          <w:tab/>
        </w:r>
        <w:r w:rsidR="005A57F0">
          <w:rPr>
            <w:webHidden/>
          </w:rPr>
          <w:fldChar w:fldCharType="begin"/>
        </w:r>
        <w:r w:rsidR="005A57F0">
          <w:rPr>
            <w:webHidden/>
          </w:rPr>
          <w:instrText xml:space="preserve"> PAGEREF _Toc172288766 \h </w:instrText>
        </w:r>
        <w:r w:rsidR="005A57F0">
          <w:rPr>
            <w:webHidden/>
          </w:rPr>
        </w:r>
        <w:r w:rsidR="005A57F0">
          <w:rPr>
            <w:webHidden/>
          </w:rPr>
          <w:fldChar w:fldCharType="separate"/>
        </w:r>
        <w:r w:rsidR="00B129D9">
          <w:rPr>
            <w:webHidden/>
          </w:rPr>
          <w:t>118</w:t>
        </w:r>
        <w:r w:rsidR="005A57F0">
          <w:rPr>
            <w:webHidden/>
          </w:rPr>
          <w:fldChar w:fldCharType="end"/>
        </w:r>
      </w:hyperlink>
    </w:p>
    <w:p w14:paraId="2C34834C" w14:textId="294DF799" w:rsidR="005A57F0" w:rsidRDefault="00000000">
      <w:pPr>
        <w:pStyle w:val="TOC2"/>
        <w:rPr>
          <w:rFonts w:eastAsiaTheme="minorEastAsia" w:cstheme="minorBidi"/>
          <w:noProof/>
          <w:kern w:val="2"/>
          <w:lang w:bidi="ar-SA"/>
          <w14:ligatures w14:val="standardContextual"/>
        </w:rPr>
      </w:pPr>
      <w:hyperlink w:anchor="_Toc172288767" w:history="1">
        <w:r w:rsidR="005A57F0" w:rsidRPr="00FE698B">
          <w:rPr>
            <w:rStyle w:val="Hyperlink"/>
            <w:rFonts w:eastAsia="Aptos"/>
            <w:noProof/>
          </w:rPr>
          <w:t>5.1</w:t>
        </w:r>
        <w:r w:rsidR="005A57F0">
          <w:rPr>
            <w:rFonts w:eastAsiaTheme="minorEastAsia" w:cstheme="minorBidi"/>
            <w:noProof/>
            <w:kern w:val="2"/>
            <w:lang w:bidi="ar-SA"/>
            <w14:ligatures w14:val="standardContextual"/>
          </w:rPr>
          <w:tab/>
        </w:r>
        <w:r w:rsidR="005A57F0" w:rsidRPr="00FE698B">
          <w:rPr>
            <w:rStyle w:val="Hyperlink"/>
            <w:rFonts w:eastAsia="Aptos"/>
            <w:noProof/>
          </w:rPr>
          <w:t>Smaller Cities Have Large Impacts on West Africa's Expanding Urban System</w:t>
        </w:r>
        <w:r w:rsidR="005A57F0">
          <w:rPr>
            <w:noProof/>
            <w:webHidden/>
          </w:rPr>
          <w:tab/>
        </w:r>
        <w:r w:rsidR="005A57F0">
          <w:rPr>
            <w:noProof/>
            <w:webHidden/>
          </w:rPr>
          <w:fldChar w:fldCharType="begin"/>
        </w:r>
        <w:r w:rsidR="005A57F0">
          <w:rPr>
            <w:noProof/>
            <w:webHidden/>
          </w:rPr>
          <w:instrText xml:space="preserve"> PAGEREF _Toc172288767 \h </w:instrText>
        </w:r>
        <w:r w:rsidR="005A57F0">
          <w:rPr>
            <w:noProof/>
            <w:webHidden/>
          </w:rPr>
        </w:r>
        <w:r w:rsidR="005A57F0">
          <w:rPr>
            <w:noProof/>
            <w:webHidden/>
          </w:rPr>
          <w:fldChar w:fldCharType="separate"/>
        </w:r>
        <w:r w:rsidR="00B129D9">
          <w:rPr>
            <w:noProof/>
            <w:webHidden/>
          </w:rPr>
          <w:t>119</w:t>
        </w:r>
        <w:r w:rsidR="005A57F0">
          <w:rPr>
            <w:noProof/>
            <w:webHidden/>
          </w:rPr>
          <w:fldChar w:fldCharType="end"/>
        </w:r>
      </w:hyperlink>
    </w:p>
    <w:p w14:paraId="759DCF93" w14:textId="08E86C92" w:rsidR="005A57F0" w:rsidRDefault="00000000">
      <w:pPr>
        <w:pStyle w:val="TOC2"/>
        <w:rPr>
          <w:rFonts w:eastAsiaTheme="minorEastAsia" w:cstheme="minorBidi"/>
          <w:noProof/>
          <w:kern w:val="2"/>
          <w:lang w:bidi="ar-SA"/>
          <w14:ligatures w14:val="standardContextual"/>
        </w:rPr>
      </w:pPr>
      <w:hyperlink w:anchor="_Toc172288768" w:history="1">
        <w:r w:rsidR="005A57F0" w:rsidRPr="00FE698B">
          <w:rPr>
            <w:rStyle w:val="Hyperlink"/>
            <w:rFonts w:eastAsia="Aptos"/>
            <w:noProof/>
          </w:rPr>
          <w:t>5.2</w:t>
        </w:r>
        <w:r w:rsidR="005A57F0">
          <w:rPr>
            <w:rFonts w:eastAsiaTheme="minorEastAsia" w:cstheme="minorBidi"/>
            <w:noProof/>
            <w:kern w:val="2"/>
            <w:lang w:bidi="ar-SA"/>
            <w14:ligatures w14:val="standardContextual"/>
          </w:rPr>
          <w:tab/>
        </w:r>
        <w:r w:rsidR="005A57F0" w:rsidRPr="00FE698B">
          <w:rPr>
            <w:rStyle w:val="Hyperlink"/>
            <w:rFonts w:eastAsia="Aptos"/>
            <w:noProof/>
          </w:rPr>
          <w:t>Understanding the Causes of Urban Expansion Across Primary and Secondary Cities in Ghana</w:t>
        </w:r>
        <w:r w:rsidR="005A57F0">
          <w:rPr>
            <w:noProof/>
            <w:webHidden/>
          </w:rPr>
          <w:tab/>
        </w:r>
        <w:r w:rsidR="005A57F0">
          <w:rPr>
            <w:noProof/>
            <w:webHidden/>
          </w:rPr>
          <w:fldChar w:fldCharType="begin"/>
        </w:r>
        <w:r w:rsidR="005A57F0">
          <w:rPr>
            <w:noProof/>
            <w:webHidden/>
          </w:rPr>
          <w:instrText xml:space="preserve"> PAGEREF _Toc172288768 \h </w:instrText>
        </w:r>
        <w:r w:rsidR="005A57F0">
          <w:rPr>
            <w:noProof/>
            <w:webHidden/>
          </w:rPr>
        </w:r>
        <w:r w:rsidR="005A57F0">
          <w:rPr>
            <w:noProof/>
            <w:webHidden/>
          </w:rPr>
          <w:fldChar w:fldCharType="separate"/>
        </w:r>
        <w:r w:rsidR="00B129D9">
          <w:rPr>
            <w:noProof/>
            <w:webHidden/>
          </w:rPr>
          <w:t>120</w:t>
        </w:r>
        <w:r w:rsidR="005A57F0">
          <w:rPr>
            <w:noProof/>
            <w:webHidden/>
          </w:rPr>
          <w:fldChar w:fldCharType="end"/>
        </w:r>
      </w:hyperlink>
    </w:p>
    <w:p w14:paraId="423139DB" w14:textId="443FD9D9" w:rsidR="005A57F0" w:rsidRDefault="00000000">
      <w:pPr>
        <w:pStyle w:val="TOC2"/>
        <w:rPr>
          <w:rFonts w:eastAsiaTheme="minorEastAsia" w:cstheme="minorBidi"/>
          <w:noProof/>
          <w:kern w:val="2"/>
          <w:lang w:bidi="ar-SA"/>
          <w14:ligatures w14:val="standardContextual"/>
        </w:rPr>
      </w:pPr>
      <w:hyperlink w:anchor="_Toc172288769" w:history="1">
        <w:r w:rsidR="005A57F0" w:rsidRPr="00FE698B">
          <w:rPr>
            <w:rStyle w:val="Hyperlink"/>
            <w:rFonts w:eastAsia="Aptos"/>
            <w:noProof/>
          </w:rPr>
          <w:t>5.3</w:t>
        </w:r>
        <w:r w:rsidR="005A57F0">
          <w:rPr>
            <w:rFonts w:eastAsiaTheme="minorEastAsia" w:cstheme="minorBidi"/>
            <w:noProof/>
            <w:kern w:val="2"/>
            <w:lang w:bidi="ar-SA"/>
            <w14:ligatures w14:val="standardContextual"/>
          </w:rPr>
          <w:tab/>
        </w:r>
        <w:r w:rsidR="005A57F0" w:rsidRPr="00FE698B">
          <w:rPr>
            <w:rStyle w:val="Hyperlink"/>
            <w:rFonts w:eastAsia="Aptos"/>
            <w:noProof/>
          </w:rPr>
          <w:t>Projecting Urban Expansion Across the West Africa’s Urban System</w:t>
        </w:r>
        <w:r w:rsidR="005A57F0">
          <w:rPr>
            <w:noProof/>
            <w:webHidden/>
          </w:rPr>
          <w:tab/>
        </w:r>
        <w:r w:rsidR="005A57F0">
          <w:rPr>
            <w:noProof/>
            <w:webHidden/>
          </w:rPr>
          <w:fldChar w:fldCharType="begin"/>
        </w:r>
        <w:r w:rsidR="005A57F0">
          <w:rPr>
            <w:noProof/>
            <w:webHidden/>
          </w:rPr>
          <w:instrText xml:space="preserve"> PAGEREF _Toc172288769 \h </w:instrText>
        </w:r>
        <w:r w:rsidR="005A57F0">
          <w:rPr>
            <w:noProof/>
            <w:webHidden/>
          </w:rPr>
        </w:r>
        <w:r w:rsidR="005A57F0">
          <w:rPr>
            <w:noProof/>
            <w:webHidden/>
          </w:rPr>
          <w:fldChar w:fldCharType="separate"/>
        </w:r>
        <w:r w:rsidR="00B129D9">
          <w:rPr>
            <w:noProof/>
            <w:webHidden/>
          </w:rPr>
          <w:t>122</w:t>
        </w:r>
        <w:r w:rsidR="005A57F0">
          <w:rPr>
            <w:noProof/>
            <w:webHidden/>
          </w:rPr>
          <w:fldChar w:fldCharType="end"/>
        </w:r>
      </w:hyperlink>
    </w:p>
    <w:p w14:paraId="75855F58" w14:textId="563FA6EA" w:rsidR="005A57F0" w:rsidRDefault="00000000">
      <w:pPr>
        <w:pStyle w:val="TOC2"/>
        <w:rPr>
          <w:rFonts w:eastAsiaTheme="minorEastAsia" w:cstheme="minorBidi"/>
          <w:noProof/>
          <w:kern w:val="2"/>
          <w:lang w:bidi="ar-SA"/>
          <w14:ligatures w14:val="standardContextual"/>
        </w:rPr>
      </w:pPr>
      <w:hyperlink w:anchor="_Toc172288770" w:history="1">
        <w:r w:rsidR="005A57F0" w:rsidRPr="00FE698B">
          <w:rPr>
            <w:rStyle w:val="Hyperlink"/>
            <w:rFonts w:eastAsia="Aptos"/>
            <w:noProof/>
          </w:rPr>
          <w:t>5.4</w:t>
        </w:r>
        <w:r w:rsidR="005A57F0">
          <w:rPr>
            <w:rFonts w:eastAsiaTheme="minorEastAsia" w:cstheme="minorBidi"/>
            <w:noProof/>
            <w:kern w:val="2"/>
            <w:lang w:bidi="ar-SA"/>
            <w14:ligatures w14:val="standardContextual"/>
          </w:rPr>
          <w:tab/>
        </w:r>
        <w:r w:rsidR="005A57F0" w:rsidRPr="00FE698B">
          <w:rPr>
            <w:rStyle w:val="Hyperlink"/>
            <w:rFonts w:eastAsia="Aptos"/>
            <w:noProof/>
          </w:rPr>
          <w:t>Limitations and Possible Directions for Future Work</w:t>
        </w:r>
        <w:r w:rsidR="005A57F0">
          <w:rPr>
            <w:noProof/>
            <w:webHidden/>
          </w:rPr>
          <w:tab/>
        </w:r>
        <w:r w:rsidR="005A57F0">
          <w:rPr>
            <w:noProof/>
            <w:webHidden/>
          </w:rPr>
          <w:fldChar w:fldCharType="begin"/>
        </w:r>
        <w:r w:rsidR="005A57F0">
          <w:rPr>
            <w:noProof/>
            <w:webHidden/>
          </w:rPr>
          <w:instrText xml:space="preserve"> PAGEREF _Toc172288770 \h </w:instrText>
        </w:r>
        <w:r w:rsidR="005A57F0">
          <w:rPr>
            <w:noProof/>
            <w:webHidden/>
          </w:rPr>
        </w:r>
        <w:r w:rsidR="005A57F0">
          <w:rPr>
            <w:noProof/>
            <w:webHidden/>
          </w:rPr>
          <w:fldChar w:fldCharType="separate"/>
        </w:r>
        <w:r w:rsidR="00B129D9">
          <w:rPr>
            <w:noProof/>
            <w:webHidden/>
          </w:rPr>
          <w:t>124</w:t>
        </w:r>
        <w:r w:rsidR="005A57F0">
          <w:rPr>
            <w:noProof/>
            <w:webHidden/>
          </w:rPr>
          <w:fldChar w:fldCharType="end"/>
        </w:r>
      </w:hyperlink>
    </w:p>
    <w:p w14:paraId="18A7BC8A" w14:textId="2A56D1CC" w:rsidR="005A57F0" w:rsidRDefault="00000000">
      <w:pPr>
        <w:pStyle w:val="TOC1"/>
        <w:rPr>
          <w:rFonts w:eastAsiaTheme="minorEastAsia" w:cstheme="minorBidi"/>
          <w:b w:val="0"/>
          <w:bCs w:val="0"/>
          <w:kern w:val="2"/>
          <w:lang w:bidi="ar-SA"/>
          <w14:ligatures w14:val="standardContextual"/>
        </w:rPr>
      </w:pPr>
      <w:hyperlink w:anchor="_Toc172288771" w:history="1">
        <w:r w:rsidR="005A57F0" w:rsidRPr="00FE698B">
          <w:rPr>
            <w:rStyle w:val="Hyperlink"/>
          </w:rPr>
          <w:t>References</w:t>
        </w:r>
        <w:r w:rsidR="005A57F0">
          <w:rPr>
            <w:webHidden/>
          </w:rPr>
          <w:tab/>
        </w:r>
        <w:r w:rsidR="005A57F0">
          <w:rPr>
            <w:webHidden/>
          </w:rPr>
          <w:fldChar w:fldCharType="begin"/>
        </w:r>
        <w:r w:rsidR="005A57F0">
          <w:rPr>
            <w:webHidden/>
          </w:rPr>
          <w:instrText xml:space="preserve"> PAGEREF _Toc172288771 \h </w:instrText>
        </w:r>
        <w:r w:rsidR="005A57F0">
          <w:rPr>
            <w:webHidden/>
          </w:rPr>
        </w:r>
        <w:r w:rsidR="005A57F0">
          <w:rPr>
            <w:webHidden/>
          </w:rPr>
          <w:fldChar w:fldCharType="separate"/>
        </w:r>
        <w:r w:rsidR="00B129D9">
          <w:rPr>
            <w:webHidden/>
          </w:rPr>
          <w:t>127</w:t>
        </w:r>
        <w:r w:rsidR="005A57F0">
          <w:rPr>
            <w:webHidden/>
          </w:rPr>
          <w:fldChar w:fldCharType="end"/>
        </w:r>
      </w:hyperlink>
    </w:p>
    <w:p w14:paraId="75F8C07D" w14:textId="2C5F6CDB" w:rsidR="005A57F0" w:rsidRDefault="00000000">
      <w:pPr>
        <w:pStyle w:val="TOC1"/>
        <w:rPr>
          <w:rFonts w:eastAsiaTheme="minorEastAsia" w:cstheme="minorBidi"/>
          <w:b w:val="0"/>
          <w:bCs w:val="0"/>
          <w:kern w:val="2"/>
          <w:lang w:bidi="ar-SA"/>
          <w14:ligatures w14:val="standardContextual"/>
        </w:rPr>
      </w:pPr>
      <w:hyperlink w:anchor="_Toc172288772" w:history="1">
        <w:r w:rsidR="005A57F0" w:rsidRPr="00FE698B">
          <w:rPr>
            <w:rStyle w:val="Hyperlink"/>
          </w:rPr>
          <w:t>Supplemental Material</w:t>
        </w:r>
        <w:r w:rsidR="005A57F0">
          <w:rPr>
            <w:webHidden/>
          </w:rPr>
          <w:tab/>
        </w:r>
        <w:r w:rsidR="005A57F0">
          <w:rPr>
            <w:webHidden/>
          </w:rPr>
          <w:fldChar w:fldCharType="begin"/>
        </w:r>
        <w:r w:rsidR="005A57F0">
          <w:rPr>
            <w:webHidden/>
          </w:rPr>
          <w:instrText xml:space="preserve"> PAGEREF _Toc172288772 \h </w:instrText>
        </w:r>
        <w:r w:rsidR="005A57F0">
          <w:rPr>
            <w:webHidden/>
          </w:rPr>
        </w:r>
        <w:r w:rsidR="005A57F0">
          <w:rPr>
            <w:webHidden/>
          </w:rPr>
          <w:fldChar w:fldCharType="separate"/>
        </w:r>
        <w:r w:rsidR="00B129D9">
          <w:rPr>
            <w:webHidden/>
          </w:rPr>
          <w:t>131</w:t>
        </w:r>
        <w:r w:rsidR="005A57F0">
          <w:rPr>
            <w:webHidden/>
          </w:rPr>
          <w:fldChar w:fldCharType="end"/>
        </w:r>
      </w:hyperlink>
    </w:p>
    <w:p w14:paraId="62FD6AC0" w14:textId="1B72F722" w:rsidR="005A57F0" w:rsidRDefault="00000000">
      <w:pPr>
        <w:pStyle w:val="TOC2"/>
        <w:rPr>
          <w:rFonts w:eastAsiaTheme="minorEastAsia" w:cstheme="minorBidi"/>
          <w:noProof/>
          <w:kern w:val="2"/>
          <w:lang w:bidi="ar-SA"/>
          <w14:ligatures w14:val="standardContextual"/>
        </w:rPr>
      </w:pPr>
      <w:hyperlink w:anchor="_Toc172288773" w:history="1">
        <w:r w:rsidR="005A57F0" w:rsidRPr="00FE698B">
          <w:rPr>
            <w:rStyle w:val="Hyperlink"/>
            <w:noProof/>
          </w:rPr>
          <w:t>Chapter Two</w:t>
        </w:r>
        <w:r w:rsidR="005A57F0">
          <w:rPr>
            <w:noProof/>
            <w:webHidden/>
          </w:rPr>
          <w:tab/>
        </w:r>
        <w:r w:rsidR="005A57F0">
          <w:rPr>
            <w:noProof/>
            <w:webHidden/>
          </w:rPr>
          <w:fldChar w:fldCharType="begin"/>
        </w:r>
        <w:r w:rsidR="005A57F0">
          <w:rPr>
            <w:noProof/>
            <w:webHidden/>
          </w:rPr>
          <w:instrText xml:space="preserve"> PAGEREF _Toc172288773 \h </w:instrText>
        </w:r>
        <w:r w:rsidR="005A57F0">
          <w:rPr>
            <w:noProof/>
            <w:webHidden/>
          </w:rPr>
        </w:r>
        <w:r w:rsidR="005A57F0">
          <w:rPr>
            <w:noProof/>
            <w:webHidden/>
          </w:rPr>
          <w:fldChar w:fldCharType="separate"/>
        </w:r>
        <w:r w:rsidR="00B129D9">
          <w:rPr>
            <w:noProof/>
            <w:webHidden/>
          </w:rPr>
          <w:t>131</w:t>
        </w:r>
        <w:r w:rsidR="005A57F0">
          <w:rPr>
            <w:noProof/>
            <w:webHidden/>
          </w:rPr>
          <w:fldChar w:fldCharType="end"/>
        </w:r>
      </w:hyperlink>
    </w:p>
    <w:p w14:paraId="2EF544F5" w14:textId="4B86C323" w:rsidR="005A57F0" w:rsidRDefault="00000000">
      <w:pPr>
        <w:pStyle w:val="TOC2"/>
        <w:rPr>
          <w:rFonts w:eastAsiaTheme="minorEastAsia" w:cstheme="minorBidi"/>
          <w:noProof/>
          <w:kern w:val="2"/>
          <w:lang w:bidi="ar-SA"/>
          <w14:ligatures w14:val="standardContextual"/>
        </w:rPr>
      </w:pPr>
      <w:hyperlink w:anchor="_Toc172288774" w:history="1">
        <w:r w:rsidR="005A57F0" w:rsidRPr="00FE698B">
          <w:rPr>
            <w:rStyle w:val="Hyperlink"/>
            <w:noProof/>
          </w:rPr>
          <w:t>Chapter Four</w:t>
        </w:r>
        <w:r w:rsidR="005A57F0">
          <w:rPr>
            <w:noProof/>
            <w:webHidden/>
          </w:rPr>
          <w:tab/>
        </w:r>
        <w:r w:rsidR="005A57F0">
          <w:rPr>
            <w:noProof/>
            <w:webHidden/>
          </w:rPr>
          <w:fldChar w:fldCharType="begin"/>
        </w:r>
        <w:r w:rsidR="005A57F0">
          <w:rPr>
            <w:noProof/>
            <w:webHidden/>
          </w:rPr>
          <w:instrText xml:space="preserve"> PAGEREF _Toc172288774 \h </w:instrText>
        </w:r>
        <w:r w:rsidR="005A57F0">
          <w:rPr>
            <w:noProof/>
            <w:webHidden/>
          </w:rPr>
        </w:r>
        <w:r w:rsidR="005A57F0">
          <w:rPr>
            <w:noProof/>
            <w:webHidden/>
          </w:rPr>
          <w:fldChar w:fldCharType="separate"/>
        </w:r>
        <w:r w:rsidR="00B129D9">
          <w:rPr>
            <w:noProof/>
            <w:webHidden/>
          </w:rPr>
          <w:t>136</w:t>
        </w:r>
        <w:r w:rsidR="005A57F0">
          <w:rPr>
            <w:noProof/>
            <w:webHidden/>
          </w:rPr>
          <w:fldChar w:fldCharType="end"/>
        </w:r>
      </w:hyperlink>
    </w:p>
    <w:p w14:paraId="0B354604" w14:textId="1263327D" w:rsidR="00DA1971" w:rsidRDefault="00F7122D" w:rsidP="00DA1971">
      <w:r>
        <w:fldChar w:fldCharType="end"/>
      </w:r>
      <w:r w:rsidR="00C92079">
        <w:t xml:space="preserve"> </w:t>
      </w:r>
    </w:p>
    <w:p w14:paraId="15CBC054" w14:textId="77777777" w:rsidR="00775701" w:rsidRDefault="00DA1971" w:rsidP="001266DC">
      <w:pPr>
        <w:pStyle w:val="Heading1"/>
        <w:spacing w:line="240" w:lineRule="auto"/>
      </w:pPr>
      <w:r>
        <w:br w:type="page"/>
      </w:r>
      <w:bookmarkStart w:id="2" w:name="_Toc310579465"/>
      <w:bookmarkStart w:id="3" w:name="_Toc172288692"/>
      <w:r>
        <w:lastRenderedPageBreak/>
        <w:t>List of Tables</w:t>
      </w:r>
      <w:bookmarkEnd w:id="2"/>
      <w:bookmarkEnd w:id="3"/>
    </w:p>
    <w:p w14:paraId="0256F258" w14:textId="77777777" w:rsidR="003C781F" w:rsidRDefault="003C781F" w:rsidP="003C781F">
      <w:pPr>
        <w:pStyle w:val="TableofFigures"/>
        <w:tabs>
          <w:tab w:val="right" w:leader="dot" w:pos="9350"/>
        </w:tabs>
        <w:spacing w:line="240" w:lineRule="auto"/>
      </w:pPr>
    </w:p>
    <w:p w14:paraId="461C44B4" w14:textId="2C103554" w:rsidR="00E41B1D" w:rsidRDefault="00F7122D">
      <w:pPr>
        <w:pStyle w:val="TableofFigures"/>
        <w:tabs>
          <w:tab w:val="right" w:leader="dot" w:pos="9350"/>
        </w:tabs>
        <w:rPr>
          <w:rFonts w:eastAsiaTheme="minorEastAsia" w:cstheme="minorBidi"/>
          <w:noProof/>
          <w:kern w:val="2"/>
          <w:lang w:bidi="ar-SA"/>
          <w14:ligatures w14:val="standardContextual"/>
        </w:rPr>
      </w:pPr>
      <w:r>
        <w:fldChar w:fldCharType="begin"/>
      </w:r>
      <w:r w:rsidR="00CC7E26">
        <w:instrText xml:space="preserve"> TOC \h \z \c "Table" </w:instrText>
      </w:r>
      <w:r>
        <w:fldChar w:fldCharType="separate"/>
      </w:r>
      <w:hyperlink w:anchor="_Toc172233717" w:history="1">
        <w:r w:rsidR="00E41B1D" w:rsidRPr="00DB0DDD">
          <w:rPr>
            <w:rStyle w:val="Hyperlink"/>
            <w:rFonts w:ascii="Times New Roman" w:hAnsi="Times New Roman"/>
            <w:b/>
            <w:noProof/>
          </w:rPr>
          <w:t>Table 1</w:t>
        </w:r>
        <w:r w:rsidR="00E41B1D" w:rsidRPr="00DB0DDD">
          <w:rPr>
            <w:rStyle w:val="Hyperlink"/>
            <w:rFonts w:ascii="Times New Roman" w:hAnsi="Times New Roman"/>
            <w:bCs/>
            <w:noProof/>
          </w:rPr>
          <w:t>: Confusion matrix of undeveloped and developed areas classifications. The overall accuracy of the data is in bold, and the misclassified error is in bold italics.</w:t>
        </w:r>
        <w:r w:rsidR="00E41B1D">
          <w:rPr>
            <w:noProof/>
            <w:webHidden/>
          </w:rPr>
          <w:tab/>
        </w:r>
        <w:r w:rsidR="00E41B1D">
          <w:rPr>
            <w:noProof/>
            <w:webHidden/>
          </w:rPr>
          <w:fldChar w:fldCharType="begin"/>
        </w:r>
        <w:r w:rsidR="00E41B1D">
          <w:rPr>
            <w:noProof/>
            <w:webHidden/>
          </w:rPr>
          <w:instrText xml:space="preserve"> PAGEREF _Toc172233717 \h </w:instrText>
        </w:r>
        <w:r w:rsidR="00E41B1D">
          <w:rPr>
            <w:noProof/>
            <w:webHidden/>
          </w:rPr>
        </w:r>
        <w:r w:rsidR="00E41B1D">
          <w:rPr>
            <w:noProof/>
            <w:webHidden/>
          </w:rPr>
          <w:fldChar w:fldCharType="separate"/>
        </w:r>
        <w:r w:rsidR="00B129D9">
          <w:rPr>
            <w:noProof/>
            <w:webHidden/>
          </w:rPr>
          <w:t>31</w:t>
        </w:r>
        <w:r w:rsidR="00E41B1D">
          <w:rPr>
            <w:noProof/>
            <w:webHidden/>
          </w:rPr>
          <w:fldChar w:fldCharType="end"/>
        </w:r>
      </w:hyperlink>
    </w:p>
    <w:p w14:paraId="458492EB" w14:textId="5234FFDD"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18" w:history="1">
        <w:r w:rsidR="00E41B1D" w:rsidRPr="00DB0DDD">
          <w:rPr>
            <w:rStyle w:val="Hyperlink"/>
            <w:rFonts w:ascii="Times New Roman" w:hAnsi="Times New Roman"/>
            <w:b/>
            <w:bCs/>
            <w:noProof/>
          </w:rPr>
          <w:t>Table 2</w:t>
        </w:r>
        <w:r w:rsidR="00E41B1D" w:rsidRPr="00DB0DDD">
          <w:rPr>
            <w:rStyle w:val="Hyperlink"/>
            <w:rFonts w:ascii="Times New Roman" w:hAnsi="Times New Roman"/>
            <w:noProof/>
          </w:rPr>
          <w:t>:  Descriptive statistics of mean annual expansion rate from 2001 – 2020.</w:t>
        </w:r>
        <w:r w:rsidR="00E41B1D">
          <w:rPr>
            <w:noProof/>
            <w:webHidden/>
          </w:rPr>
          <w:tab/>
        </w:r>
        <w:r w:rsidR="00E41B1D">
          <w:rPr>
            <w:noProof/>
            <w:webHidden/>
          </w:rPr>
          <w:fldChar w:fldCharType="begin"/>
        </w:r>
        <w:r w:rsidR="00E41B1D">
          <w:rPr>
            <w:noProof/>
            <w:webHidden/>
          </w:rPr>
          <w:instrText xml:space="preserve"> PAGEREF _Toc172233718 \h </w:instrText>
        </w:r>
        <w:r w:rsidR="00E41B1D">
          <w:rPr>
            <w:noProof/>
            <w:webHidden/>
          </w:rPr>
        </w:r>
        <w:r w:rsidR="00E41B1D">
          <w:rPr>
            <w:noProof/>
            <w:webHidden/>
          </w:rPr>
          <w:fldChar w:fldCharType="separate"/>
        </w:r>
        <w:r w:rsidR="00B129D9">
          <w:rPr>
            <w:noProof/>
            <w:webHidden/>
          </w:rPr>
          <w:t>33</w:t>
        </w:r>
        <w:r w:rsidR="00E41B1D">
          <w:rPr>
            <w:noProof/>
            <w:webHidden/>
          </w:rPr>
          <w:fldChar w:fldCharType="end"/>
        </w:r>
      </w:hyperlink>
    </w:p>
    <w:p w14:paraId="0A051FEF" w14:textId="3A8DCB22"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19" w:history="1">
        <w:r w:rsidR="00E41B1D" w:rsidRPr="00DB0DDD">
          <w:rPr>
            <w:rStyle w:val="Hyperlink"/>
            <w:rFonts w:ascii="Times New Roman" w:hAnsi="Times New Roman"/>
            <w:b/>
            <w:bCs/>
            <w:noProof/>
          </w:rPr>
          <w:t>Table 3</w:t>
        </w:r>
        <w:r w:rsidR="00E41B1D" w:rsidRPr="00DB0DDD">
          <w:rPr>
            <w:rStyle w:val="Hyperlink"/>
            <w:rFonts w:ascii="Times New Roman" w:hAnsi="Times New Roman"/>
            <w:noProof/>
          </w:rPr>
          <w:t>: Summary of relations between expansion rate and initial developed area.</w:t>
        </w:r>
        <w:r w:rsidR="00E41B1D">
          <w:rPr>
            <w:noProof/>
            <w:webHidden/>
          </w:rPr>
          <w:tab/>
        </w:r>
        <w:r w:rsidR="00E41B1D">
          <w:rPr>
            <w:noProof/>
            <w:webHidden/>
          </w:rPr>
          <w:fldChar w:fldCharType="begin"/>
        </w:r>
        <w:r w:rsidR="00E41B1D">
          <w:rPr>
            <w:noProof/>
            <w:webHidden/>
          </w:rPr>
          <w:instrText xml:space="preserve"> PAGEREF _Toc172233719 \h </w:instrText>
        </w:r>
        <w:r w:rsidR="00E41B1D">
          <w:rPr>
            <w:noProof/>
            <w:webHidden/>
          </w:rPr>
        </w:r>
        <w:r w:rsidR="00E41B1D">
          <w:rPr>
            <w:noProof/>
            <w:webHidden/>
          </w:rPr>
          <w:fldChar w:fldCharType="separate"/>
        </w:r>
        <w:r w:rsidR="00B129D9">
          <w:rPr>
            <w:noProof/>
            <w:webHidden/>
          </w:rPr>
          <w:t>36</w:t>
        </w:r>
        <w:r w:rsidR="00E41B1D">
          <w:rPr>
            <w:noProof/>
            <w:webHidden/>
          </w:rPr>
          <w:fldChar w:fldCharType="end"/>
        </w:r>
      </w:hyperlink>
    </w:p>
    <w:p w14:paraId="01A6D025" w14:textId="37D8150D"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20" w:history="1">
        <w:r w:rsidR="00E41B1D" w:rsidRPr="00DB0DDD">
          <w:rPr>
            <w:rStyle w:val="Hyperlink"/>
            <w:rFonts w:ascii="Times New Roman" w:hAnsi="Times New Roman"/>
            <w:b/>
            <w:noProof/>
          </w:rPr>
          <w:t>Table 4</w:t>
        </w:r>
        <w:r w:rsidR="00E41B1D" w:rsidRPr="00DB0DDD">
          <w:rPr>
            <w:rStyle w:val="Hyperlink"/>
            <w:rFonts w:ascii="Times New Roman" w:hAnsi="Times New Roman"/>
            <w:bCs/>
            <w:noProof/>
          </w:rPr>
          <w:t>: Summary of relations between expansion rates and predictors. The alpha-level of significant predictors was set at 0.05.</w:t>
        </w:r>
        <w:r w:rsidR="00E41B1D">
          <w:rPr>
            <w:noProof/>
            <w:webHidden/>
          </w:rPr>
          <w:tab/>
        </w:r>
        <w:r w:rsidR="00E41B1D">
          <w:rPr>
            <w:noProof/>
            <w:webHidden/>
          </w:rPr>
          <w:fldChar w:fldCharType="begin"/>
        </w:r>
        <w:r w:rsidR="00E41B1D">
          <w:rPr>
            <w:noProof/>
            <w:webHidden/>
          </w:rPr>
          <w:instrText xml:space="preserve"> PAGEREF _Toc172233720 \h </w:instrText>
        </w:r>
        <w:r w:rsidR="00E41B1D">
          <w:rPr>
            <w:noProof/>
            <w:webHidden/>
          </w:rPr>
        </w:r>
        <w:r w:rsidR="00E41B1D">
          <w:rPr>
            <w:noProof/>
            <w:webHidden/>
          </w:rPr>
          <w:fldChar w:fldCharType="separate"/>
        </w:r>
        <w:r w:rsidR="00B129D9">
          <w:rPr>
            <w:noProof/>
            <w:webHidden/>
          </w:rPr>
          <w:t>38</w:t>
        </w:r>
        <w:r w:rsidR="00E41B1D">
          <w:rPr>
            <w:noProof/>
            <w:webHidden/>
          </w:rPr>
          <w:fldChar w:fldCharType="end"/>
        </w:r>
      </w:hyperlink>
    </w:p>
    <w:p w14:paraId="778BD762" w14:textId="2BDA4BA9"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21" w:history="1">
        <w:r w:rsidR="00E41B1D" w:rsidRPr="00DB0DDD">
          <w:rPr>
            <w:rStyle w:val="Hyperlink"/>
            <w:rFonts w:ascii="Times New Roman" w:eastAsia="Aptos" w:hAnsi="Times New Roman"/>
            <w:b/>
            <w:bCs/>
            <w:noProof/>
          </w:rPr>
          <w:t>Table 5</w:t>
        </w:r>
        <w:r w:rsidR="00E41B1D" w:rsidRPr="00DB0DDD">
          <w:rPr>
            <w:rStyle w:val="Hyperlink"/>
            <w:rFonts w:ascii="Times New Roman" w:eastAsia="Aptos" w:hAnsi="Times New Roman"/>
            <w:noProof/>
          </w:rPr>
          <w:t>: Summary of research participants across cities in Ghana.</w:t>
        </w:r>
        <w:r w:rsidR="00E41B1D">
          <w:rPr>
            <w:noProof/>
            <w:webHidden/>
          </w:rPr>
          <w:tab/>
        </w:r>
        <w:r w:rsidR="00E41B1D">
          <w:rPr>
            <w:noProof/>
            <w:webHidden/>
          </w:rPr>
          <w:fldChar w:fldCharType="begin"/>
        </w:r>
        <w:r w:rsidR="00E41B1D">
          <w:rPr>
            <w:noProof/>
            <w:webHidden/>
          </w:rPr>
          <w:instrText xml:space="preserve"> PAGEREF _Toc172233721 \h </w:instrText>
        </w:r>
        <w:r w:rsidR="00E41B1D">
          <w:rPr>
            <w:noProof/>
            <w:webHidden/>
          </w:rPr>
        </w:r>
        <w:r w:rsidR="00E41B1D">
          <w:rPr>
            <w:noProof/>
            <w:webHidden/>
          </w:rPr>
          <w:fldChar w:fldCharType="separate"/>
        </w:r>
        <w:r w:rsidR="00B129D9">
          <w:rPr>
            <w:noProof/>
            <w:webHidden/>
          </w:rPr>
          <w:t>65</w:t>
        </w:r>
        <w:r w:rsidR="00E41B1D">
          <w:rPr>
            <w:noProof/>
            <w:webHidden/>
          </w:rPr>
          <w:fldChar w:fldCharType="end"/>
        </w:r>
      </w:hyperlink>
    </w:p>
    <w:p w14:paraId="4AD2B06E" w14:textId="2C9D2B8B"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22" w:history="1">
        <w:r w:rsidR="00E41B1D" w:rsidRPr="00DB0DDD">
          <w:rPr>
            <w:rStyle w:val="Hyperlink"/>
            <w:rFonts w:ascii="Times New Roman" w:eastAsia="Aptos" w:hAnsi="Times New Roman"/>
            <w:b/>
            <w:bCs/>
            <w:noProof/>
          </w:rPr>
          <w:t>Table 6</w:t>
        </w:r>
        <w:r w:rsidR="00E41B1D" w:rsidRPr="00DB0DDD">
          <w:rPr>
            <w:rStyle w:val="Hyperlink"/>
            <w:rFonts w:ascii="Times New Roman" w:eastAsia="Aptos" w:hAnsi="Times New Roman"/>
            <w:noProof/>
          </w:rPr>
          <w:t>: Developed area and mean annual expansion rates of cities from 2001-2020.</w:t>
        </w:r>
        <w:r w:rsidR="00E41B1D">
          <w:rPr>
            <w:noProof/>
            <w:webHidden/>
          </w:rPr>
          <w:tab/>
        </w:r>
        <w:r w:rsidR="00E41B1D">
          <w:rPr>
            <w:noProof/>
            <w:webHidden/>
          </w:rPr>
          <w:fldChar w:fldCharType="begin"/>
        </w:r>
        <w:r w:rsidR="00E41B1D">
          <w:rPr>
            <w:noProof/>
            <w:webHidden/>
          </w:rPr>
          <w:instrText xml:space="preserve"> PAGEREF _Toc172233722 \h </w:instrText>
        </w:r>
        <w:r w:rsidR="00E41B1D">
          <w:rPr>
            <w:noProof/>
            <w:webHidden/>
          </w:rPr>
        </w:r>
        <w:r w:rsidR="00E41B1D">
          <w:rPr>
            <w:noProof/>
            <w:webHidden/>
          </w:rPr>
          <w:fldChar w:fldCharType="separate"/>
        </w:r>
        <w:r w:rsidR="00B129D9">
          <w:rPr>
            <w:noProof/>
            <w:webHidden/>
          </w:rPr>
          <w:t>66</w:t>
        </w:r>
        <w:r w:rsidR="00E41B1D">
          <w:rPr>
            <w:noProof/>
            <w:webHidden/>
          </w:rPr>
          <w:fldChar w:fldCharType="end"/>
        </w:r>
      </w:hyperlink>
    </w:p>
    <w:p w14:paraId="0FC74BA6" w14:textId="1933463B"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23" w:history="1">
        <w:r w:rsidR="00E41B1D" w:rsidRPr="00DB0DDD">
          <w:rPr>
            <w:rStyle w:val="Hyperlink"/>
            <w:rFonts w:ascii="Times New Roman" w:eastAsia="Aptos" w:hAnsi="Times New Roman"/>
            <w:b/>
            <w:bCs/>
            <w:noProof/>
          </w:rPr>
          <w:t>Table 7</w:t>
        </w:r>
        <w:r w:rsidR="00E41B1D" w:rsidRPr="00DB0DDD">
          <w:rPr>
            <w:rStyle w:val="Hyperlink"/>
            <w:rFonts w:ascii="Times New Roman" w:eastAsia="Aptos" w:hAnsi="Times New Roman"/>
            <w:noProof/>
          </w:rPr>
          <w:t>: Summary of participants’ preferences for infill or sprawl in primary compared to secondary cities.</w:t>
        </w:r>
        <w:r w:rsidR="00E41B1D">
          <w:rPr>
            <w:noProof/>
            <w:webHidden/>
          </w:rPr>
          <w:tab/>
        </w:r>
        <w:r w:rsidR="00E41B1D">
          <w:rPr>
            <w:noProof/>
            <w:webHidden/>
          </w:rPr>
          <w:fldChar w:fldCharType="begin"/>
        </w:r>
        <w:r w:rsidR="00E41B1D">
          <w:rPr>
            <w:noProof/>
            <w:webHidden/>
          </w:rPr>
          <w:instrText xml:space="preserve"> PAGEREF _Toc172233723 \h </w:instrText>
        </w:r>
        <w:r w:rsidR="00E41B1D">
          <w:rPr>
            <w:noProof/>
            <w:webHidden/>
          </w:rPr>
        </w:r>
        <w:r w:rsidR="00E41B1D">
          <w:rPr>
            <w:noProof/>
            <w:webHidden/>
          </w:rPr>
          <w:fldChar w:fldCharType="separate"/>
        </w:r>
        <w:r w:rsidR="00B129D9">
          <w:rPr>
            <w:noProof/>
            <w:webHidden/>
          </w:rPr>
          <w:t>70</w:t>
        </w:r>
        <w:r w:rsidR="00E41B1D">
          <w:rPr>
            <w:noProof/>
            <w:webHidden/>
          </w:rPr>
          <w:fldChar w:fldCharType="end"/>
        </w:r>
      </w:hyperlink>
    </w:p>
    <w:p w14:paraId="6BADD10E" w14:textId="037D082A"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24" w:history="1">
        <w:r w:rsidR="00E41B1D" w:rsidRPr="00DB0DDD">
          <w:rPr>
            <w:rStyle w:val="Hyperlink"/>
            <w:rFonts w:ascii="Times New Roman" w:eastAsia="Aptos" w:hAnsi="Times New Roman"/>
            <w:b/>
            <w:bCs/>
            <w:noProof/>
          </w:rPr>
          <w:t>Table 8</w:t>
        </w:r>
        <w:r w:rsidR="00E41B1D" w:rsidRPr="00DB0DDD">
          <w:rPr>
            <w:rStyle w:val="Hyperlink"/>
            <w:rFonts w:ascii="Times New Roman" w:eastAsia="Aptos" w:hAnsi="Times New Roman"/>
            <w:noProof/>
          </w:rPr>
          <w:t>:  Land and rent costs across cities. These lease estimates from participants are for single plot of land and single room self-contained.</w:t>
        </w:r>
        <w:r w:rsidR="00E41B1D">
          <w:rPr>
            <w:noProof/>
            <w:webHidden/>
          </w:rPr>
          <w:tab/>
        </w:r>
        <w:r w:rsidR="00E41B1D">
          <w:rPr>
            <w:noProof/>
            <w:webHidden/>
          </w:rPr>
          <w:fldChar w:fldCharType="begin"/>
        </w:r>
        <w:r w:rsidR="00E41B1D">
          <w:rPr>
            <w:noProof/>
            <w:webHidden/>
          </w:rPr>
          <w:instrText xml:space="preserve"> PAGEREF _Toc172233724 \h </w:instrText>
        </w:r>
        <w:r w:rsidR="00E41B1D">
          <w:rPr>
            <w:noProof/>
            <w:webHidden/>
          </w:rPr>
        </w:r>
        <w:r w:rsidR="00E41B1D">
          <w:rPr>
            <w:noProof/>
            <w:webHidden/>
          </w:rPr>
          <w:fldChar w:fldCharType="separate"/>
        </w:r>
        <w:r w:rsidR="00B129D9">
          <w:rPr>
            <w:noProof/>
            <w:webHidden/>
          </w:rPr>
          <w:t>71</w:t>
        </w:r>
        <w:r w:rsidR="00E41B1D">
          <w:rPr>
            <w:noProof/>
            <w:webHidden/>
          </w:rPr>
          <w:fldChar w:fldCharType="end"/>
        </w:r>
      </w:hyperlink>
    </w:p>
    <w:p w14:paraId="0639F74E" w14:textId="46359336"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25" w:history="1">
        <w:r w:rsidR="00E41B1D" w:rsidRPr="00DB0DDD">
          <w:rPr>
            <w:rStyle w:val="Hyperlink"/>
            <w:b/>
            <w:bCs/>
            <w:noProof/>
          </w:rPr>
          <w:t>Table 9:</w:t>
        </w:r>
        <w:r w:rsidR="00E41B1D" w:rsidRPr="00DB0DDD">
          <w:rPr>
            <w:rStyle w:val="Hyperlink"/>
            <w:noProof/>
          </w:rPr>
          <w:t xml:space="preserve"> Input variables used to project future urban change.</w:t>
        </w:r>
        <w:r w:rsidR="00E41B1D">
          <w:rPr>
            <w:noProof/>
            <w:webHidden/>
          </w:rPr>
          <w:tab/>
        </w:r>
        <w:r w:rsidR="00E41B1D">
          <w:rPr>
            <w:noProof/>
            <w:webHidden/>
          </w:rPr>
          <w:fldChar w:fldCharType="begin"/>
        </w:r>
        <w:r w:rsidR="00E41B1D">
          <w:rPr>
            <w:noProof/>
            <w:webHidden/>
          </w:rPr>
          <w:instrText xml:space="preserve"> PAGEREF _Toc172233725 \h </w:instrText>
        </w:r>
        <w:r w:rsidR="00E41B1D">
          <w:rPr>
            <w:noProof/>
            <w:webHidden/>
          </w:rPr>
        </w:r>
        <w:r w:rsidR="00E41B1D">
          <w:rPr>
            <w:noProof/>
            <w:webHidden/>
          </w:rPr>
          <w:fldChar w:fldCharType="separate"/>
        </w:r>
        <w:r w:rsidR="00B129D9">
          <w:rPr>
            <w:noProof/>
            <w:webHidden/>
          </w:rPr>
          <w:t>92</w:t>
        </w:r>
        <w:r w:rsidR="00E41B1D">
          <w:rPr>
            <w:noProof/>
            <w:webHidden/>
          </w:rPr>
          <w:fldChar w:fldCharType="end"/>
        </w:r>
      </w:hyperlink>
    </w:p>
    <w:p w14:paraId="78D1307E" w14:textId="6822D1A8"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26" w:history="1">
        <w:r w:rsidR="00E41B1D" w:rsidRPr="00DB0DDD">
          <w:rPr>
            <w:rStyle w:val="Hyperlink"/>
            <w:rFonts w:ascii="Times New Roman" w:hAnsi="Times New Roman"/>
            <w:b/>
            <w:bCs/>
            <w:noProof/>
          </w:rPr>
          <w:t>Table 10</w:t>
        </w:r>
        <w:r w:rsidR="00E41B1D" w:rsidRPr="00DB0DDD">
          <w:rPr>
            <w:rStyle w:val="Hyperlink"/>
            <w:rFonts w:ascii="Times New Roman" w:hAnsi="Times New Roman"/>
            <w:noProof/>
          </w:rPr>
          <w:t>: Pattern and quantity metrics of reference and simulated maps in each country.</w:t>
        </w:r>
        <w:r w:rsidR="00E41B1D">
          <w:rPr>
            <w:noProof/>
            <w:webHidden/>
          </w:rPr>
          <w:tab/>
        </w:r>
        <w:r w:rsidR="00E41B1D">
          <w:rPr>
            <w:noProof/>
            <w:webHidden/>
          </w:rPr>
          <w:fldChar w:fldCharType="begin"/>
        </w:r>
        <w:r w:rsidR="00E41B1D">
          <w:rPr>
            <w:noProof/>
            <w:webHidden/>
          </w:rPr>
          <w:instrText xml:space="preserve"> PAGEREF _Toc172233726 \h </w:instrText>
        </w:r>
        <w:r w:rsidR="00E41B1D">
          <w:rPr>
            <w:noProof/>
            <w:webHidden/>
          </w:rPr>
        </w:r>
        <w:r w:rsidR="00E41B1D">
          <w:rPr>
            <w:noProof/>
            <w:webHidden/>
          </w:rPr>
          <w:fldChar w:fldCharType="separate"/>
        </w:r>
        <w:r w:rsidR="00B129D9">
          <w:rPr>
            <w:noProof/>
            <w:webHidden/>
          </w:rPr>
          <w:t>100</w:t>
        </w:r>
        <w:r w:rsidR="00E41B1D">
          <w:rPr>
            <w:noProof/>
            <w:webHidden/>
          </w:rPr>
          <w:fldChar w:fldCharType="end"/>
        </w:r>
      </w:hyperlink>
    </w:p>
    <w:p w14:paraId="0C3E44B8" w14:textId="06BB9EB3" w:rsidR="00E41B1D" w:rsidRDefault="00000000">
      <w:pPr>
        <w:pStyle w:val="TableofFigures"/>
        <w:tabs>
          <w:tab w:val="right" w:leader="dot" w:pos="9350"/>
        </w:tabs>
        <w:rPr>
          <w:rFonts w:eastAsiaTheme="minorEastAsia" w:cstheme="minorBidi"/>
          <w:noProof/>
          <w:kern w:val="2"/>
          <w:lang w:bidi="ar-SA"/>
          <w14:ligatures w14:val="standardContextual"/>
        </w:rPr>
      </w:pPr>
      <w:hyperlink w:anchor="_Toc172233727" w:history="1">
        <w:r w:rsidR="00E41B1D" w:rsidRPr="00DB0DDD">
          <w:rPr>
            <w:rStyle w:val="Hyperlink"/>
            <w:b/>
            <w:bCs/>
            <w:noProof/>
          </w:rPr>
          <w:t>Table 11</w:t>
        </w:r>
        <w:r w:rsidR="00E41B1D" w:rsidRPr="00DB0DDD">
          <w:rPr>
            <w:rStyle w:val="Hyperlink"/>
            <w:noProof/>
          </w:rPr>
          <w:t>: Developed area and annual expansion rates across three-time intervals.</w:t>
        </w:r>
        <w:r w:rsidR="00E41B1D">
          <w:rPr>
            <w:noProof/>
            <w:webHidden/>
          </w:rPr>
          <w:tab/>
        </w:r>
        <w:r w:rsidR="00E41B1D">
          <w:rPr>
            <w:noProof/>
            <w:webHidden/>
          </w:rPr>
          <w:fldChar w:fldCharType="begin"/>
        </w:r>
        <w:r w:rsidR="00E41B1D">
          <w:rPr>
            <w:noProof/>
            <w:webHidden/>
          </w:rPr>
          <w:instrText xml:space="preserve"> PAGEREF _Toc172233727 \h </w:instrText>
        </w:r>
        <w:r w:rsidR="00E41B1D">
          <w:rPr>
            <w:noProof/>
            <w:webHidden/>
          </w:rPr>
        </w:r>
        <w:r w:rsidR="00E41B1D">
          <w:rPr>
            <w:noProof/>
            <w:webHidden/>
          </w:rPr>
          <w:fldChar w:fldCharType="separate"/>
        </w:r>
        <w:r w:rsidR="00B129D9">
          <w:rPr>
            <w:noProof/>
            <w:webHidden/>
          </w:rPr>
          <w:t>103</w:t>
        </w:r>
        <w:r w:rsidR="00E41B1D">
          <w:rPr>
            <w:noProof/>
            <w:webHidden/>
          </w:rPr>
          <w:fldChar w:fldCharType="end"/>
        </w:r>
      </w:hyperlink>
    </w:p>
    <w:p w14:paraId="00C59C9C" w14:textId="4BDEEC88" w:rsidR="00DE1EF7" w:rsidRDefault="00F7122D" w:rsidP="001266DC">
      <w:pPr>
        <w:spacing w:before="240" w:line="240" w:lineRule="auto"/>
      </w:pPr>
      <w:r>
        <w:fldChar w:fldCharType="end"/>
      </w:r>
    </w:p>
    <w:p w14:paraId="3815B49C" w14:textId="77777777" w:rsidR="00DA1971" w:rsidRDefault="00DA1971" w:rsidP="005A7637">
      <w:pPr>
        <w:pStyle w:val="Heading1"/>
        <w:spacing w:line="240" w:lineRule="auto"/>
      </w:pPr>
      <w:r>
        <w:br w:type="page"/>
      </w:r>
      <w:bookmarkStart w:id="4" w:name="_Toc310579466"/>
      <w:bookmarkStart w:id="5" w:name="_Toc17228869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5C96C215" w14:textId="77777777" w:rsidR="00887699" w:rsidRDefault="00887699" w:rsidP="00887699">
      <w:pPr>
        <w:pStyle w:val="TableofFigures"/>
        <w:tabs>
          <w:tab w:val="right" w:leader="dot" w:pos="9350"/>
        </w:tabs>
        <w:spacing w:line="240" w:lineRule="auto"/>
      </w:pPr>
    </w:p>
    <w:p w14:paraId="5D806D6E" w14:textId="06DBD0F3" w:rsidR="003F4EBA" w:rsidRDefault="00F7122D"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r w:rsidRPr="00261563">
        <w:fldChar w:fldCharType="begin"/>
      </w:r>
      <w:r w:rsidR="00CC7E26" w:rsidRPr="00261563">
        <w:instrText xml:space="preserve"> TOC \h \z \c "Figure" </w:instrText>
      </w:r>
      <w:r w:rsidRPr="00261563">
        <w:fldChar w:fldCharType="separate"/>
      </w:r>
      <w:hyperlink w:anchor="_Toc172233498" w:history="1">
        <w:r w:rsidR="003F4EBA" w:rsidRPr="00983C68">
          <w:rPr>
            <w:rStyle w:val="Hyperlink"/>
            <w:rFonts w:ascii="Times New Roman" w:hAnsi="Times New Roman"/>
            <w:b/>
            <w:bCs/>
            <w:noProof/>
          </w:rPr>
          <w:t>Figure 1</w:t>
        </w:r>
        <w:r w:rsidR="003F4EBA" w:rsidRPr="00983C68">
          <w:rPr>
            <w:rStyle w:val="Hyperlink"/>
            <w:rFonts w:ascii="Times New Roman" w:hAnsi="Times New Roman"/>
            <w:noProof/>
          </w:rPr>
          <w:t>: Flow chart showing the data processing and analysis methods used in this study. The blue boxes indicate raw data, the red boxes indicate algorithms used to process the data, the dashed blue boxes show processed data, and the black boxes show the data summary and analysis stages.</w:t>
        </w:r>
        <w:r w:rsidR="003F4EBA">
          <w:rPr>
            <w:noProof/>
            <w:webHidden/>
          </w:rPr>
          <w:tab/>
        </w:r>
        <w:r w:rsidR="003F4EBA">
          <w:rPr>
            <w:noProof/>
            <w:webHidden/>
          </w:rPr>
          <w:fldChar w:fldCharType="begin"/>
        </w:r>
        <w:r w:rsidR="003F4EBA">
          <w:rPr>
            <w:noProof/>
            <w:webHidden/>
          </w:rPr>
          <w:instrText xml:space="preserve"> PAGEREF _Toc172233498 \h </w:instrText>
        </w:r>
        <w:r w:rsidR="003F4EBA">
          <w:rPr>
            <w:noProof/>
            <w:webHidden/>
          </w:rPr>
        </w:r>
        <w:r w:rsidR="003F4EBA">
          <w:rPr>
            <w:noProof/>
            <w:webHidden/>
          </w:rPr>
          <w:fldChar w:fldCharType="separate"/>
        </w:r>
        <w:r w:rsidR="00B129D9">
          <w:rPr>
            <w:noProof/>
            <w:webHidden/>
          </w:rPr>
          <w:t>24</w:t>
        </w:r>
        <w:r w:rsidR="003F4EBA">
          <w:rPr>
            <w:noProof/>
            <w:webHidden/>
          </w:rPr>
          <w:fldChar w:fldCharType="end"/>
        </w:r>
      </w:hyperlink>
    </w:p>
    <w:p w14:paraId="22F2EFA0" w14:textId="23A33DB3"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499" w:history="1">
        <w:r w:rsidR="003F4EBA" w:rsidRPr="00983C68">
          <w:rPr>
            <w:rStyle w:val="Hyperlink"/>
            <w:rFonts w:ascii="Times New Roman" w:hAnsi="Times New Roman"/>
            <w:b/>
            <w:bCs/>
            <w:noProof/>
          </w:rPr>
          <w:t>Figure 2</w:t>
        </w:r>
        <w:r w:rsidR="003F4EBA" w:rsidRPr="00983C68">
          <w:rPr>
            <w:rStyle w:val="Hyperlink"/>
            <w:rFonts w:ascii="Times New Roman" w:hAnsi="Times New Roman"/>
            <w:noProof/>
          </w:rPr>
          <w:t>: Distribution of 1603 cities in four West African countries and their populations in 2015. For the 1305 small cities (yellow), 984 are in Nigeria, 179 in Ghana, 97 in Benin, and 45 in Togo. For the 282 medium cities (blue), 235 are in Nigeria, 28 are in Ghana, 12 are in Benin, and 7 are in Togo. For the 16 large cities (red), 12 are in Nigeria, 2 are in Ghana, and 1 each are in Benin and Togo.</w:t>
        </w:r>
        <w:r w:rsidR="003F4EBA">
          <w:rPr>
            <w:noProof/>
            <w:webHidden/>
          </w:rPr>
          <w:tab/>
        </w:r>
        <w:r w:rsidR="003F4EBA">
          <w:rPr>
            <w:noProof/>
            <w:webHidden/>
          </w:rPr>
          <w:fldChar w:fldCharType="begin"/>
        </w:r>
        <w:r w:rsidR="003F4EBA">
          <w:rPr>
            <w:noProof/>
            <w:webHidden/>
          </w:rPr>
          <w:instrText xml:space="preserve"> PAGEREF _Toc172233499 \h </w:instrText>
        </w:r>
        <w:r w:rsidR="003F4EBA">
          <w:rPr>
            <w:noProof/>
            <w:webHidden/>
          </w:rPr>
        </w:r>
        <w:r w:rsidR="003F4EBA">
          <w:rPr>
            <w:noProof/>
            <w:webHidden/>
          </w:rPr>
          <w:fldChar w:fldCharType="separate"/>
        </w:r>
        <w:r w:rsidR="00B129D9">
          <w:rPr>
            <w:noProof/>
            <w:webHidden/>
          </w:rPr>
          <w:t>26</w:t>
        </w:r>
        <w:r w:rsidR="003F4EBA">
          <w:rPr>
            <w:noProof/>
            <w:webHidden/>
          </w:rPr>
          <w:fldChar w:fldCharType="end"/>
        </w:r>
      </w:hyperlink>
    </w:p>
    <w:p w14:paraId="5CDF9EB8" w14:textId="596E2FB5"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0" w:history="1">
        <w:r w:rsidR="003F4EBA" w:rsidRPr="00983C68">
          <w:rPr>
            <w:rStyle w:val="Hyperlink"/>
            <w:rFonts w:ascii="Times New Roman" w:hAnsi="Times New Roman"/>
            <w:b/>
            <w:noProof/>
          </w:rPr>
          <w:t>Figure 3</w:t>
        </w:r>
        <w:r w:rsidR="003F4EBA" w:rsidRPr="00983C68">
          <w:rPr>
            <w:rStyle w:val="Hyperlink"/>
            <w:rFonts w:ascii="Times New Roman" w:hAnsi="Times New Roman"/>
            <w:bCs/>
            <w:noProof/>
          </w:rPr>
          <w:t>: Developed areas and expansion rates for city types in each country. Large cities are in red, medium cities are in blue, and small cities are in yellow. The area graphs on the left represent the total developed area for each city type in each country, and the line graphs on the right are the corresponding annual expansion rates.</w:t>
        </w:r>
        <w:r w:rsidR="003F4EBA">
          <w:rPr>
            <w:noProof/>
            <w:webHidden/>
          </w:rPr>
          <w:tab/>
        </w:r>
        <w:r w:rsidR="003F4EBA">
          <w:rPr>
            <w:noProof/>
            <w:webHidden/>
          </w:rPr>
          <w:fldChar w:fldCharType="begin"/>
        </w:r>
        <w:r w:rsidR="003F4EBA">
          <w:rPr>
            <w:noProof/>
            <w:webHidden/>
          </w:rPr>
          <w:instrText xml:space="preserve"> PAGEREF _Toc172233500 \h </w:instrText>
        </w:r>
        <w:r w:rsidR="003F4EBA">
          <w:rPr>
            <w:noProof/>
            <w:webHidden/>
          </w:rPr>
        </w:r>
        <w:r w:rsidR="003F4EBA">
          <w:rPr>
            <w:noProof/>
            <w:webHidden/>
          </w:rPr>
          <w:fldChar w:fldCharType="separate"/>
        </w:r>
        <w:r w:rsidR="00B129D9">
          <w:rPr>
            <w:noProof/>
            <w:webHidden/>
          </w:rPr>
          <w:t>32</w:t>
        </w:r>
        <w:r w:rsidR="003F4EBA">
          <w:rPr>
            <w:noProof/>
            <w:webHidden/>
          </w:rPr>
          <w:fldChar w:fldCharType="end"/>
        </w:r>
      </w:hyperlink>
    </w:p>
    <w:p w14:paraId="09D8F1A2" w14:textId="07D24089"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1" w:history="1">
        <w:r w:rsidR="003F4EBA" w:rsidRPr="00983C68">
          <w:rPr>
            <w:rStyle w:val="Hyperlink"/>
            <w:rFonts w:ascii="Times New Roman" w:hAnsi="Times New Roman"/>
            <w:b/>
            <w:noProof/>
          </w:rPr>
          <w:t>Figure 4</w:t>
        </w:r>
        <w:r w:rsidR="003F4EBA" w:rsidRPr="00983C68">
          <w:rPr>
            <w:rStyle w:val="Hyperlink"/>
            <w:rFonts w:ascii="Times New Roman" w:hAnsi="Times New Roman"/>
            <w:bCs/>
            <w:noProof/>
          </w:rPr>
          <w:t>: Annual urban expansion rates from 2001 – 2020 across administrative unit level-2 boundaries.</w:t>
        </w:r>
        <w:r w:rsidR="003F4EBA">
          <w:rPr>
            <w:noProof/>
            <w:webHidden/>
          </w:rPr>
          <w:tab/>
        </w:r>
        <w:r w:rsidR="003F4EBA">
          <w:rPr>
            <w:noProof/>
            <w:webHidden/>
          </w:rPr>
          <w:fldChar w:fldCharType="begin"/>
        </w:r>
        <w:r w:rsidR="003F4EBA">
          <w:rPr>
            <w:noProof/>
            <w:webHidden/>
          </w:rPr>
          <w:instrText xml:space="preserve"> PAGEREF _Toc172233501 \h </w:instrText>
        </w:r>
        <w:r w:rsidR="003F4EBA">
          <w:rPr>
            <w:noProof/>
            <w:webHidden/>
          </w:rPr>
        </w:r>
        <w:r w:rsidR="003F4EBA">
          <w:rPr>
            <w:noProof/>
            <w:webHidden/>
          </w:rPr>
          <w:fldChar w:fldCharType="separate"/>
        </w:r>
        <w:r w:rsidR="00B129D9">
          <w:rPr>
            <w:noProof/>
            <w:webHidden/>
          </w:rPr>
          <w:t>34</w:t>
        </w:r>
        <w:r w:rsidR="003F4EBA">
          <w:rPr>
            <w:noProof/>
            <w:webHidden/>
          </w:rPr>
          <w:fldChar w:fldCharType="end"/>
        </w:r>
      </w:hyperlink>
    </w:p>
    <w:p w14:paraId="62BA7FD5" w14:textId="00450853"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2" w:history="1">
        <w:r w:rsidR="003F4EBA" w:rsidRPr="00983C68">
          <w:rPr>
            <w:rStyle w:val="Hyperlink"/>
            <w:rFonts w:ascii="Times New Roman" w:hAnsi="Times New Roman"/>
            <w:b/>
            <w:bCs/>
            <w:noProof/>
          </w:rPr>
          <w:t>Figure 5</w:t>
        </w:r>
        <w:r w:rsidR="003F4EBA" w:rsidRPr="00983C68">
          <w:rPr>
            <w:rStyle w:val="Hyperlink"/>
            <w:rFonts w:ascii="Times New Roman" w:hAnsi="Times New Roman"/>
            <w:noProof/>
          </w:rPr>
          <w:t>: Sprawl and infill patterns of small, medium, and large cities.</w:t>
        </w:r>
        <w:r w:rsidR="003F4EBA">
          <w:rPr>
            <w:noProof/>
            <w:webHidden/>
          </w:rPr>
          <w:tab/>
        </w:r>
        <w:r w:rsidR="003F4EBA">
          <w:rPr>
            <w:noProof/>
            <w:webHidden/>
          </w:rPr>
          <w:fldChar w:fldCharType="begin"/>
        </w:r>
        <w:r w:rsidR="003F4EBA">
          <w:rPr>
            <w:noProof/>
            <w:webHidden/>
          </w:rPr>
          <w:instrText xml:space="preserve"> PAGEREF _Toc172233502 \h </w:instrText>
        </w:r>
        <w:r w:rsidR="003F4EBA">
          <w:rPr>
            <w:noProof/>
            <w:webHidden/>
          </w:rPr>
        </w:r>
        <w:r w:rsidR="003F4EBA">
          <w:rPr>
            <w:noProof/>
            <w:webHidden/>
          </w:rPr>
          <w:fldChar w:fldCharType="separate"/>
        </w:r>
        <w:r w:rsidR="00B129D9">
          <w:rPr>
            <w:noProof/>
            <w:webHidden/>
          </w:rPr>
          <w:t>35</w:t>
        </w:r>
        <w:r w:rsidR="003F4EBA">
          <w:rPr>
            <w:noProof/>
            <w:webHidden/>
          </w:rPr>
          <w:fldChar w:fldCharType="end"/>
        </w:r>
      </w:hyperlink>
    </w:p>
    <w:p w14:paraId="27C7001F" w14:textId="52F8B825"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3" w:history="1">
        <w:r w:rsidR="003F4EBA" w:rsidRPr="00983C68">
          <w:rPr>
            <w:rStyle w:val="Hyperlink"/>
            <w:rFonts w:ascii="Times New Roman" w:hAnsi="Times New Roman"/>
            <w:b/>
            <w:bCs/>
            <w:noProof/>
          </w:rPr>
          <w:t>Figure 6</w:t>
        </w:r>
        <w:r w:rsidR="003F4EBA" w:rsidRPr="00983C68">
          <w:rPr>
            <w:rStyle w:val="Hyperlink"/>
            <w:rFonts w:ascii="Times New Roman" w:hAnsi="Times New Roman"/>
            <w:noProof/>
          </w:rPr>
          <w:t>: Sprawl-infill ratio for large, medium, and small city types in each country.</w:t>
        </w:r>
        <w:r w:rsidR="003F4EBA">
          <w:rPr>
            <w:noProof/>
            <w:webHidden/>
          </w:rPr>
          <w:tab/>
        </w:r>
        <w:r w:rsidR="003F4EBA">
          <w:rPr>
            <w:noProof/>
            <w:webHidden/>
          </w:rPr>
          <w:fldChar w:fldCharType="begin"/>
        </w:r>
        <w:r w:rsidR="003F4EBA">
          <w:rPr>
            <w:noProof/>
            <w:webHidden/>
          </w:rPr>
          <w:instrText xml:space="preserve"> PAGEREF _Toc172233503 \h </w:instrText>
        </w:r>
        <w:r w:rsidR="003F4EBA">
          <w:rPr>
            <w:noProof/>
            <w:webHidden/>
          </w:rPr>
        </w:r>
        <w:r w:rsidR="003F4EBA">
          <w:rPr>
            <w:noProof/>
            <w:webHidden/>
          </w:rPr>
          <w:fldChar w:fldCharType="separate"/>
        </w:r>
        <w:r w:rsidR="00B129D9">
          <w:rPr>
            <w:noProof/>
            <w:webHidden/>
          </w:rPr>
          <w:t>36</w:t>
        </w:r>
        <w:r w:rsidR="003F4EBA">
          <w:rPr>
            <w:noProof/>
            <w:webHidden/>
          </w:rPr>
          <w:fldChar w:fldCharType="end"/>
        </w:r>
      </w:hyperlink>
    </w:p>
    <w:p w14:paraId="185C74C3" w14:textId="39D639F7"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4" w:history="1">
        <w:r w:rsidR="003F4EBA" w:rsidRPr="00983C68">
          <w:rPr>
            <w:rStyle w:val="Hyperlink"/>
            <w:rFonts w:ascii="Times New Roman" w:hAnsi="Times New Roman"/>
            <w:b/>
            <w:bCs/>
            <w:noProof/>
          </w:rPr>
          <w:t>Figure 7</w:t>
        </w:r>
        <w:r w:rsidR="003F4EBA" w:rsidRPr="00983C68">
          <w:rPr>
            <w:rStyle w:val="Hyperlink"/>
            <w:rFonts w:ascii="Times New Roman" w:hAnsi="Times New Roman"/>
            <w:noProof/>
          </w:rPr>
          <w:t>: Relationship between annual expansion rate (2001-2020) and initial developed area (2001) for each country. The blue and gray portions are the linear regression lines and 95% confidence bounds.</w:t>
        </w:r>
        <w:r w:rsidR="003F4EBA">
          <w:rPr>
            <w:noProof/>
            <w:webHidden/>
          </w:rPr>
          <w:tab/>
        </w:r>
        <w:r w:rsidR="003F4EBA">
          <w:rPr>
            <w:noProof/>
            <w:webHidden/>
          </w:rPr>
          <w:fldChar w:fldCharType="begin"/>
        </w:r>
        <w:r w:rsidR="003F4EBA">
          <w:rPr>
            <w:noProof/>
            <w:webHidden/>
          </w:rPr>
          <w:instrText xml:space="preserve"> PAGEREF _Toc172233504 \h </w:instrText>
        </w:r>
        <w:r w:rsidR="003F4EBA">
          <w:rPr>
            <w:noProof/>
            <w:webHidden/>
          </w:rPr>
        </w:r>
        <w:r w:rsidR="003F4EBA">
          <w:rPr>
            <w:noProof/>
            <w:webHidden/>
          </w:rPr>
          <w:fldChar w:fldCharType="separate"/>
        </w:r>
        <w:r w:rsidR="00B129D9">
          <w:rPr>
            <w:noProof/>
            <w:webHidden/>
          </w:rPr>
          <w:t>37</w:t>
        </w:r>
        <w:r w:rsidR="003F4EBA">
          <w:rPr>
            <w:noProof/>
            <w:webHidden/>
          </w:rPr>
          <w:fldChar w:fldCharType="end"/>
        </w:r>
      </w:hyperlink>
    </w:p>
    <w:p w14:paraId="2DF82BF7" w14:textId="7B21FF09"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5" w:history="1">
        <w:r w:rsidR="003F4EBA" w:rsidRPr="00983C68">
          <w:rPr>
            <w:rStyle w:val="Hyperlink"/>
            <w:rFonts w:ascii="Times New Roman" w:hAnsi="Times New Roman"/>
            <w:b/>
            <w:bCs/>
            <w:noProof/>
          </w:rPr>
          <w:t>Figure 8</w:t>
        </w:r>
        <w:r w:rsidR="003F4EBA" w:rsidRPr="00983C68">
          <w:rPr>
            <w:rStyle w:val="Hyperlink"/>
            <w:rFonts w:ascii="Times New Roman" w:hAnsi="Times New Roman"/>
            <w:noProof/>
          </w:rPr>
          <w:t>: Relationships between mean annual expansion rate (2001-2020), initial developed area (2001) and gravity index (2001) for each country. The initial developed area is in the top row, and the gravity index is in the bottom row.</w:t>
        </w:r>
        <w:r w:rsidR="003F4EBA">
          <w:rPr>
            <w:noProof/>
            <w:webHidden/>
          </w:rPr>
          <w:tab/>
        </w:r>
        <w:r w:rsidR="003F4EBA">
          <w:rPr>
            <w:noProof/>
            <w:webHidden/>
          </w:rPr>
          <w:fldChar w:fldCharType="begin"/>
        </w:r>
        <w:r w:rsidR="003F4EBA">
          <w:rPr>
            <w:noProof/>
            <w:webHidden/>
          </w:rPr>
          <w:instrText xml:space="preserve"> PAGEREF _Toc172233505 \h </w:instrText>
        </w:r>
        <w:r w:rsidR="003F4EBA">
          <w:rPr>
            <w:noProof/>
            <w:webHidden/>
          </w:rPr>
        </w:r>
        <w:r w:rsidR="003F4EBA">
          <w:rPr>
            <w:noProof/>
            <w:webHidden/>
          </w:rPr>
          <w:fldChar w:fldCharType="separate"/>
        </w:r>
        <w:r w:rsidR="00B129D9">
          <w:rPr>
            <w:noProof/>
            <w:webHidden/>
          </w:rPr>
          <w:t>38</w:t>
        </w:r>
        <w:r w:rsidR="003F4EBA">
          <w:rPr>
            <w:noProof/>
            <w:webHidden/>
          </w:rPr>
          <w:fldChar w:fldCharType="end"/>
        </w:r>
      </w:hyperlink>
    </w:p>
    <w:p w14:paraId="24BB7561" w14:textId="180C84E1"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6" w:history="1">
        <w:r w:rsidR="003F4EBA" w:rsidRPr="00983C68">
          <w:rPr>
            <w:rStyle w:val="Hyperlink"/>
            <w:b/>
            <w:bCs/>
            <w:noProof/>
          </w:rPr>
          <w:t>Figure 9:</w:t>
        </w:r>
        <w:r w:rsidR="003F4EBA" w:rsidRPr="00983C68">
          <w:rPr>
            <w:rStyle w:val="Hyperlink"/>
            <w:noProof/>
          </w:rPr>
          <w:t xml:space="preserve"> Locations of study cities in Ghana. The secondary cities are in blue dots, and primary cities are in red dots.</w:t>
        </w:r>
        <w:r w:rsidR="003F4EBA">
          <w:rPr>
            <w:noProof/>
            <w:webHidden/>
          </w:rPr>
          <w:tab/>
        </w:r>
        <w:r w:rsidR="003F4EBA">
          <w:rPr>
            <w:noProof/>
            <w:webHidden/>
          </w:rPr>
          <w:fldChar w:fldCharType="begin"/>
        </w:r>
        <w:r w:rsidR="003F4EBA">
          <w:rPr>
            <w:noProof/>
            <w:webHidden/>
          </w:rPr>
          <w:instrText xml:space="preserve"> PAGEREF _Toc172233506 \h </w:instrText>
        </w:r>
        <w:r w:rsidR="003F4EBA">
          <w:rPr>
            <w:noProof/>
            <w:webHidden/>
          </w:rPr>
        </w:r>
        <w:r w:rsidR="003F4EBA">
          <w:rPr>
            <w:noProof/>
            <w:webHidden/>
          </w:rPr>
          <w:fldChar w:fldCharType="separate"/>
        </w:r>
        <w:r w:rsidR="00B129D9">
          <w:rPr>
            <w:noProof/>
            <w:webHidden/>
          </w:rPr>
          <w:t>63</w:t>
        </w:r>
        <w:r w:rsidR="003F4EBA">
          <w:rPr>
            <w:noProof/>
            <w:webHidden/>
          </w:rPr>
          <w:fldChar w:fldCharType="end"/>
        </w:r>
      </w:hyperlink>
    </w:p>
    <w:p w14:paraId="4692CB20" w14:textId="7CCA93BD"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7" w:history="1">
        <w:r w:rsidR="003F4EBA" w:rsidRPr="00983C68">
          <w:rPr>
            <w:rStyle w:val="Hyperlink"/>
            <w:rFonts w:ascii="Times New Roman" w:eastAsia="Aptos" w:hAnsi="Times New Roman"/>
            <w:b/>
            <w:iCs/>
            <w:noProof/>
          </w:rPr>
          <w:t xml:space="preserve">Figure </w:t>
        </w:r>
        <w:r w:rsidR="003F4EBA" w:rsidRPr="00983C68">
          <w:rPr>
            <w:rStyle w:val="Hyperlink"/>
            <w:rFonts w:ascii="Times New Roman" w:eastAsia="Aptos" w:hAnsi="Times New Roman"/>
            <w:b/>
            <w:noProof/>
          </w:rPr>
          <w:t>10</w:t>
        </w:r>
        <w:r w:rsidR="003F4EBA" w:rsidRPr="00983C68">
          <w:rPr>
            <w:rStyle w:val="Hyperlink"/>
            <w:rFonts w:ascii="Times New Roman" w:eastAsia="Aptos" w:hAnsi="Times New Roman"/>
            <w:bCs/>
            <w:noProof/>
          </w:rPr>
          <w:t>:</w:t>
        </w:r>
        <w:r w:rsidR="003F4EBA" w:rsidRPr="00983C68">
          <w:rPr>
            <w:rStyle w:val="Hyperlink"/>
            <w:rFonts w:ascii="Times New Roman" w:eastAsia="Aptos" w:hAnsi="Times New Roman"/>
            <w:bCs/>
            <w:iCs/>
            <w:noProof/>
          </w:rPr>
          <w:t xml:space="preserve"> Primary and secondary cities annual sprawl-infill ratios from 2001 </w:t>
        </w:r>
        <w:r w:rsidR="003F4EBA" w:rsidRPr="00983C68">
          <w:rPr>
            <w:rStyle w:val="Hyperlink"/>
            <w:rFonts w:ascii="Times New Roman" w:eastAsia="Aptos" w:hAnsi="Times New Roman"/>
            <w:bCs/>
            <w:noProof/>
          </w:rPr>
          <w:t>–</w:t>
        </w:r>
        <w:r w:rsidR="003F4EBA" w:rsidRPr="00983C68">
          <w:rPr>
            <w:rStyle w:val="Hyperlink"/>
            <w:rFonts w:ascii="Times New Roman" w:eastAsia="Aptos" w:hAnsi="Times New Roman"/>
            <w:bCs/>
            <w:iCs/>
            <w:noProof/>
          </w:rPr>
          <w:t xml:space="preserve"> 2020</w:t>
        </w:r>
        <w:r w:rsidR="003F4EBA" w:rsidRPr="00983C68">
          <w:rPr>
            <w:rStyle w:val="Hyperlink"/>
            <w:rFonts w:ascii="Times New Roman" w:eastAsia="Aptos" w:hAnsi="Times New Roman"/>
            <w:bCs/>
            <w:noProof/>
          </w:rPr>
          <w:t>. Primary</w:t>
        </w:r>
        <w:r w:rsidR="003F4EBA" w:rsidRPr="00983C68">
          <w:rPr>
            <w:rStyle w:val="Hyperlink"/>
            <w:rFonts w:ascii="Times New Roman" w:eastAsia="Aptos" w:hAnsi="Times New Roman"/>
            <w:bCs/>
            <w:iCs/>
            <w:noProof/>
          </w:rPr>
          <w:t xml:space="preserve"> cities are in red, and secondary cities are in blue.</w:t>
        </w:r>
        <w:r w:rsidR="003F4EBA">
          <w:rPr>
            <w:noProof/>
            <w:webHidden/>
          </w:rPr>
          <w:tab/>
        </w:r>
        <w:r w:rsidR="003F4EBA">
          <w:rPr>
            <w:noProof/>
            <w:webHidden/>
          </w:rPr>
          <w:fldChar w:fldCharType="begin"/>
        </w:r>
        <w:r w:rsidR="003F4EBA">
          <w:rPr>
            <w:noProof/>
            <w:webHidden/>
          </w:rPr>
          <w:instrText xml:space="preserve"> PAGEREF _Toc172233507 \h </w:instrText>
        </w:r>
        <w:r w:rsidR="003F4EBA">
          <w:rPr>
            <w:noProof/>
            <w:webHidden/>
          </w:rPr>
        </w:r>
        <w:r w:rsidR="003F4EBA">
          <w:rPr>
            <w:noProof/>
            <w:webHidden/>
          </w:rPr>
          <w:fldChar w:fldCharType="separate"/>
        </w:r>
        <w:r w:rsidR="00B129D9">
          <w:rPr>
            <w:noProof/>
            <w:webHidden/>
          </w:rPr>
          <w:t>67</w:t>
        </w:r>
        <w:r w:rsidR="003F4EBA">
          <w:rPr>
            <w:noProof/>
            <w:webHidden/>
          </w:rPr>
          <w:fldChar w:fldCharType="end"/>
        </w:r>
      </w:hyperlink>
    </w:p>
    <w:p w14:paraId="08877002" w14:textId="53BFF022"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8" w:history="1">
        <w:r w:rsidR="003F4EBA" w:rsidRPr="00983C68">
          <w:rPr>
            <w:rStyle w:val="Hyperlink"/>
            <w:rFonts w:ascii="Times New Roman" w:eastAsia="Aptos" w:hAnsi="Times New Roman"/>
            <w:b/>
            <w:bCs/>
            <w:noProof/>
          </w:rPr>
          <w:t>Figure 11</w:t>
        </w:r>
        <w:r w:rsidR="003F4EBA" w:rsidRPr="00983C68">
          <w:rPr>
            <w:rStyle w:val="Hyperlink"/>
            <w:rFonts w:ascii="Times New Roman" w:eastAsia="Aptos" w:hAnsi="Times New Roman"/>
            <w:noProof/>
          </w:rPr>
          <w:t>: Primary and secondary cities expansion patterns in 2010 and 2020.</w:t>
        </w:r>
        <w:r w:rsidR="003F4EBA">
          <w:rPr>
            <w:noProof/>
            <w:webHidden/>
          </w:rPr>
          <w:tab/>
        </w:r>
        <w:r w:rsidR="003F4EBA">
          <w:rPr>
            <w:noProof/>
            <w:webHidden/>
          </w:rPr>
          <w:fldChar w:fldCharType="begin"/>
        </w:r>
        <w:r w:rsidR="003F4EBA">
          <w:rPr>
            <w:noProof/>
            <w:webHidden/>
          </w:rPr>
          <w:instrText xml:space="preserve"> PAGEREF _Toc172233508 \h </w:instrText>
        </w:r>
        <w:r w:rsidR="003F4EBA">
          <w:rPr>
            <w:noProof/>
            <w:webHidden/>
          </w:rPr>
        </w:r>
        <w:r w:rsidR="003F4EBA">
          <w:rPr>
            <w:noProof/>
            <w:webHidden/>
          </w:rPr>
          <w:fldChar w:fldCharType="separate"/>
        </w:r>
        <w:r w:rsidR="00B129D9">
          <w:rPr>
            <w:noProof/>
            <w:webHidden/>
          </w:rPr>
          <w:t>68</w:t>
        </w:r>
        <w:r w:rsidR="003F4EBA">
          <w:rPr>
            <w:noProof/>
            <w:webHidden/>
          </w:rPr>
          <w:fldChar w:fldCharType="end"/>
        </w:r>
      </w:hyperlink>
    </w:p>
    <w:p w14:paraId="4EE0A6FC" w14:textId="24650C91"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09" w:history="1">
        <w:r w:rsidR="003F4EBA" w:rsidRPr="00983C68">
          <w:rPr>
            <w:rStyle w:val="Hyperlink"/>
            <w:rFonts w:ascii="Times New Roman" w:eastAsia="Aptos" w:hAnsi="Times New Roman"/>
            <w:b/>
            <w:bCs/>
            <w:noProof/>
          </w:rPr>
          <w:t>Figure 12</w:t>
        </w:r>
        <w:r w:rsidR="003F4EBA" w:rsidRPr="00983C68">
          <w:rPr>
            <w:rStyle w:val="Hyperlink"/>
            <w:rFonts w:ascii="Times New Roman" w:eastAsia="Aptos" w:hAnsi="Times New Roman"/>
            <w:noProof/>
          </w:rPr>
          <w:t xml:space="preserve">: Development patterns observed in Ghana. </w:t>
        </w:r>
        <w:r w:rsidR="003F4EBA" w:rsidRPr="00983C68">
          <w:rPr>
            <w:rStyle w:val="Hyperlink"/>
            <w:rFonts w:ascii="Times New Roman" w:eastAsia="Aptos" w:hAnsi="Times New Roman"/>
            <w:noProof/>
            <w:shd w:val="clear" w:color="auto" w:fill="FFFFFF"/>
          </w:rPr>
          <w:t>The images on the left show sprawl, and the right show infill expansion</w:t>
        </w:r>
        <w:r w:rsidR="003F4EBA" w:rsidRPr="00983C68">
          <w:rPr>
            <w:rStyle w:val="Hyperlink"/>
            <w:rFonts w:ascii="Times New Roman" w:eastAsia="Aptos" w:hAnsi="Times New Roman"/>
            <w:noProof/>
          </w:rPr>
          <w:t>. The top row images are from very high-resolution images in Google Earth Pro, and the bottom row images are from field observations in 2023.</w:t>
        </w:r>
        <w:r w:rsidR="003F4EBA">
          <w:rPr>
            <w:noProof/>
            <w:webHidden/>
          </w:rPr>
          <w:tab/>
        </w:r>
        <w:r w:rsidR="003F4EBA">
          <w:rPr>
            <w:noProof/>
            <w:webHidden/>
          </w:rPr>
          <w:fldChar w:fldCharType="begin"/>
        </w:r>
        <w:r w:rsidR="003F4EBA">
          <w:rPr>
            <w:noProof/>
            <w:webHidden/>
          </w:rPr>
          <w:instrText xml:space="preserve"> PAGEREF _Toc172233509 \h </w:instrText>
        </w:r>
        <w:r w:rsidR="003F4EBA">
          <w:rPr>
            <w:noProof/>
            <w:webHidden/>
          </w:rPr>
        </w:r>
        <w:r w:rsidR="003F4EBA">
          <w:rPr>
            <w:noProof/>
            <w:webHidden/>
          </w:rPr>
          <w:fldChar w:fldCharType="separate"/>
        </w:r>
        <w:r w:rsidR="00B129D9">
          <w:rPr>
            <w:noProof/>
            <w:webHidden/>
          </w:rPr>
          <w:t>69</w:t>
        </w:r>
        <w:r w:rsidR="003F4EBA">
          <w:rPr>
            <w:noProof/>
            <w:webHidden/>
          </w:rPr>
          <w:fldChar w:fldCharType="end"/>
        </w:r>
      </w:hyperlink>
    </w:p>
    <w:p w14:paraId="1B72FC79" w14:textId="37A762F9"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10" w:history="1">
        <w:r w:rsidR="003F4EBA" w:rsidRPr="00983C68">
          <w:rPr>
            <w:rStyle w:val="Hyperlink"/>
            <w:b/>
            <w:bCs/>
            <w:noProof/>
          </w:rPr>
          <w:t>Figure 13</w:t>
        </w:r>
        <w:r w:rsidR="003F4EBA" w:rsidRPr="00983C68">
          <w:rPr>
            <w:rStyle w:val="Hyperlink"/>
            <w:noProof/>
          </w:rPr>
          <w:t>: Flow chart showing the urban simulation process with FUTURES and analysis stages. The blue boxes show the input data, the dashed red boxes indicate the FUTURES sub-</w:t>
        </w:r>
        <w:r w:rsidR="003F4EBA" w:rsidRPr="00983C68">
          <w:rPr>
            <w:rStyle w:val="Hyperlink"/>
            <w:noProof/>
          </w:rPr>
          <w:lastRenderedPageBreak/>
          <w:t>models used to fit the input data, the dashed black boxes show simulated outcomes, and the black boxes show the summary and analysis stages.</w:t>
        </w:r>
        <w:r w:rsidR="003F4EBA">
          <w:rPr>
            <w:noProof/>
            <w:webHidden/>
          </w:rPr>
          <w:tab/>
        </w:r>
        <w:r w:rsidR="003F4EBA">
          <w:rPr>
            <w:noProof/>
            <w:webHidden/>
          </w:rPr>
          <w:fldChar w:fldCharType="begin"/>
        </w:r>
        <w:r w:rsidR="003F4EBA">
          <w:rPr>
            <w:noProof/>
            <w:webHidden/>
          </w:rPr>
          <w:instrText xml:space="preserve"> PAGEREF _Toc172233510 \h </w:instrText>
        </w:r>
        <w:r w:rsidR="003F4EBA">
          <w:rPr>
            <w:noProof/>
            <w:webHidden/>
          </w:rPr>
        </w:r>
        <w:r w:rsidR="003F4EBA">
          <w:rPr>
            <w:noProof/>
            <w:webHidden/>
          </w:rPr>
          <w:fldChar w:fldCharType="separate"/>
        </w:r>
        <w:r w:rsidR="00B129D9">
          <w:rPr>
            <w:noProof/>
            <w:webHidden/>
          </w:rPr>
          <w:t>89</w:t>
        </w:r>
        <w:r w:rsidR="003F4EBA">
          <w:rPr>
            <w:noProof/>
            <w:webHidden/>
          </w:rPr>
          <w:fldChar w:fldCharType="end"/>
        </w:r>
      </w:hyperlink>
    </w:p>
    <w:p w14:paraId="254C6927" w14:textId="5292A66F"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11" w:history="1">
        <w:r w:rsidR="003F4EBA" w:rsidRPr="00983C68">
          <w:rPr>
            <w:rStyle w:val="Hyperlink"/>
            <w:b/>
            <w:bCs/>
            <w:noProof/>
          </w:rPr>
          <w:t>Figure 14</w:t>
        </w:r>
        <w:r w:rsidR="003F4EBA" w:rsidRPr="00983C68">
          <w:rPr>
            <w:rStyle w:val="Hyperlink"/>
            <w:noProof/>
          </w:rPr>
          <w:t xml:space="preserve">: Distribution of small, medium, and large cities across administrative unit level 2 boundaries (FAO UN, 2014), in the study area. The level 2 boundaries represent the 16 regions in Ghana, 5 régions in Togo, 12 départments in Benin, and 37 states in Nigeria. </w:t>
        </w:r>
        <w:r w:rsidR="003F4EBA" w:rsidRPr="00983C68">
          <w:rPr>
            <w:rStyle w:val="Hyperlink"/>
            <w:rFonts w:ascii="Times New Roman" w:hAnsi="Times New Roman"/>
            <w:noProof/>
          </w:rPr>
          <w:t>The large cities are in red, the medium in blue, and the small cities in yellow.</w:t>
        </w:r>
        <w:r w:rsidR="003F4EBA">
          <w:rPr>
            <w:noProof/>
            <w:webHidden/>
          </w:rPr>
          <w:tab/>
        </w:r>
        <w:r w:rsidR="003F4EBA">
          <w:rPr>
            <w:noProof/>
            <w:webHidden/>
          </w:rPr>
          <w:fldChar w:fldCharType="begin"/>
        </w:r>
        <w:r w:rsidR="003F4EBA">
          <w:rPr>
            <w:noProof/>
            <w:webHidden/>
          </w:rPr>
          <w:instrText xml:space="preserve"> PAGEREF _Toc172233511 \h </w:instrText>
        </w:r>
        <w:r w:rsidR="003F4EBA">
          <w:rPr>
            <w:noProof/>
            <w:webHidden/>
          </w:rPr>
        </w:r>
        <w:r w:rsidR="003F4EBA">
          <w:rPr>
            <w:noProof/>
            <w:webHidden/>
          </w:rPr>
          <w:fldChar w:fldCharType="separate"/>
        </w:r>
        <w:r w:rsidR="00B129D9">
          <w:rPr>
            <w:noProof/>
            <w:webHidden/>
          </w:rPr>
          <w:t>90</w:t>
        </w:r>
        <w:r w:rsidR="003F4EBA">
          <w:rPr>
            <w:noProof/>
            <w:webHidden/>
          </w:rPr>
          <w:fldChar w:fldCharType="end"/>
        </w:r>
      </w:hyperlink>
    </w:p>
    <w:p w14:paraId="7F6AC3AC" w14:textId="4C7B558C"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12" w:history="1">
        <w:r w:rsidR="003F4EBA" w:rsidRPr="00983C68">
          <w:rPr>
            <w:rStyle w:val="Hyperlink"/>
            <w:b/>
            <w:bCs/>
            <w:noProof/>
          </w:rPr>
          <w:t>Figure 15</w:t>
        </w:r>
        <w:r w:rsidR="003F4EBA" w:rsidRPr="00983C68">
          <w:rPr>
            <w:rStyle w:val="Hyperlink"/>
            <w:noProof/>
          </w:rPr>
          <w:t>:  Variable Importance across city types in Ghana, Togo, Benin, and Nigeria. There is a clear variation in the importance of predictors across the four different countries.</w:t>
        </w:r>
        <w:r w:rsidR="003F4EBA">
          <w:rPr>
            <w:noProof/>
            <w:webHidden/>
          </w:rPr>
          <w:tab/>
        </w:r>
        <w:r w:rsidR="003F4EBA">
          <w:rPr>
            <w:noProof/>
            <w:webHidden/>
          </w:rPr>
          <w:fldChar w:fldCharType="begin"/>
        </w:r>
        <w:r w:rsidR="003F4EBA">
          <w:rPr>
            <w:noProof/>
            <w:webHidden/>
          </w:rPr>
          <w:instrText xml:space="preserve"> PAGEREF _Toc172233512 \h </w:instrText>
        </w:r>
        <w:r w:rsidR="003F4EBA">
          <w:rPr>
            <w:noProof/>
            <w:webHidden/>
          </w:rPr>
        </w:r>
        <w:r w:rsidR="003F4EBA">
          <w:rPr>
            <w:noProof/>
            <w:webHidden/>
          </w:rPr>
          <w:fldChar w:fldCharType="separate"/>
        </w:r>
        <w:r w:rsidR="00B129D9">
          <w:rPr>
            <w:noProof/>
            <w:webHidden/>
          </w:rPr>
          <w:t>97</w:t>
        </w:r>
        <w:r w:rsidR="003F4EBA">
          <w:rPr>
            <w:noProof/>
            <w:webHidden/>
          </w:rPr>
          <w:fldChar w:fldCharType="end"/>
        </w:r>
      </w:hyperlink>
    </w:p>
    <w:p w14:paraId="3DE19AC4" w14:textId="7F473F4D"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13" w:history="1">
        <w:r w:rsidR="003F4EBA" w:rsidRPr="00983C68">
          <w:rPr>
            <w:rStyle w:val="Hyperlink"/>
            <w:b/>
            <w:bCs/>
            <w:noProof/>
          </w:rPr>
          <w:t>Figure 16</w:t>
        </w:r>
        <w:r w:rsidR="003F4EBA" w:rsidRPr="00983C68">
          <w:rPr>
            <w:rStyle w:val="Hyperlink"/>
            <w:noProof/>
          </w:rPr>
          <w:t>: Distribution of development probabilities of pixels selected to develop across 20 simulations.</w:t>
        </w:r>
        <w:r w:rsidR="003F4EBA">
          <w:rPr>
            <w:noProof/>
            <w:webHidden/>
          </w:rPr>
          <w:tab/>
        </w:r>
        <w:r w:rsidR="003F4EBA">
          <w:rPr>
            <w:noProof/>
            <w:webHidden/>
          </w:rPr>
          <w:fldChar w:fldCharType="begin"/>
        </w:r>
        <w:r w:rsidR="003F4EBA">
          <w:rPr>
            <w:noProof/>
            <w:webHidden/>
          </w:rPr>
          <w:instrText xml:space="preserve"> PAGEREF _Toc172233513 \h </w:instrText>
        </w:r>
        <w:r w:rsidR="003F4EBA">
          <w:rPr>
            <w:noProof/>
            <w:webHidden/>
          </w:rPr>
        </w:r>
        <w:r w:rsidR="003F4EBA">
          <w:rPr>
            <w:noProof/>
            <w:webHidden/>
          </w:rPr>
          <w:fldChar w:fldCharType="separate"/>
        </w:r>
        <w:r w:rsidR="00B129D9">
          <w:rPr>
            <w:noProof/>
            <w:webHidden/>
          </w:rPr>
          <w:t>99</w:t>
        </w:r>
        <w:r w:rsidR="003F4EBA">
          <w:rPr>
            <w:noProof/>
            <w:webHidden/>
          </w:rPr>
          <w:fldChar w:fldCharType="end"/>
        </w:r>
      </w:hyperlink>
    </w:p>
    <w:p w14:paraId="12FB1FA8" w14:textId="22689807"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14" w:history="1">
        <w:r w:rsidR="003F4EBA" w:rsidRPr="00983C68">
          <w:rPr>
            <w:rStyle w:val="Hyperlink"/>
            <w:b/>
            <w:bCs/>
            <w:noProof/>
          </w:rPr>
          <w:t>Figure 17</w:t>
        </w:r>
        <w:r w:rsidR="003F4EBA" w:rsidRPr="00983C68">
          <w:rPr>
            <w:rStyle w:val="Hyperlink"/>
            <w:noProof/>
          </w:rPr>
          <w:t>: Three-map comparison of the initial development in 2015, reference map for 2020, and simulated map for 2020. Correct rejections are undeveloped cells across all three maps, and persistence of developed are developed cells across all three maps. Misses are reference changes simulated as developed in 2015, and hits are reference changes simulated as change, false alarms are reference persistence simulated as change.</w:t>
        </w:r>
        <w:r w:rsidR="003F4EBA">
          <w:rPr>
            <w:noProof/>
            <w:webHidden/>
          </w:rPr>
          <w:tab/>
        </w:r>
        <w:r w:rsidR="003F4EBA">
          <w:rPr>
            <w:noProof/>
            <w:webHidden/>
          </w:rPr>
          <w:fldChar w:fldCharType="begin"/>
        </w:r>
        <w:r w:rsidR="003F4EBA">
          <w:rPr>
            <w:noProof/>
            <w:webHidden/>
          </w:rPr>
          <w:instrText xml:space="preserve"> PAGEREF _Toc172233514 \h </w:instrText>
        </w:r>
        <w:r w:rsidR="003F4EBA">
          <w:rPr>
            <w:noProof/>
            <w:webHidden/>
          </w:rPr>
        </w:r>
        <w:r w:rsidR="003F4EBA">
          <w:rPr>
            <w:noProof/>
            <w:webHidden/>
          </w:rPr>
          <w:fldChar w:fldCharType="separate"/>
        </w:r>
        <w:r w:rsidR="00B129D9">
          <w:rPr>
            <w:noProof/>
            <w:webHidden/>
          </w:rPr>
          <w:t>101</w:t>
        </w:r>
        <w:r w:rsidR="003F4EBA">
          <w:rPr>
            <w:noProof/>
            <w:webHidden/>
          </w:rPr>
          <w:fldChar w:fldCharType="end"/>
        </w:r>
      </w:hyperlink>
    </w:p>
    <w:p w14:paraId="46FA2A53" w14:textId="1DD82A02"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15" w:history="1">
        <w:r w:rsidR="003F4EBA" w:rsidRPr="00983C68">
          <w:rPr>
            <w:rStyle w:val="Hyperlink"/>
            <w:b/>
            <w:bCs/>
            <w:noProof/>
          </w:rPr>
          <w:t>Figure 18</w:t>
        </w:r>
        <w:r w:rsidR="003F4EBA" w:rsidRPr="00983C68">
          <w:rPr>
            <w:rStyle w:val="Hyperlink"/>
            <w:noProof/>
          </w:rPr>
          <w:t>: Proportion of total simulated area occupied by various components in the figure of merit (FoM). In Benin, the FoM in large and medium cities was 0.05; in small cities, it was 0.04. In Ghana, FoM in large cities was 0.06; in medium and small cities, it was 0.04. In Nigeria, the FoM in large cities was 0.15; in medium cities, it was 0.16; and in small cities, it was 0.10. In Togo, the FoM in large cities was 0.12; in medium cities, it was 0.05; and in small cities, it was 0.04.</w:t>
        </w:r>
        <w:r w:rsidR="003F4EBA">
          <w:rPr>
            <w:noProof/>
            <w:webHidden/>
          </w:rPr>
          <w:tab/>
        </w:r>
        <w:r w:rsidR="003F4EBA">
          <w:rPr>
            <w:noProof/>
            <w:webHidden/>
          </w:rPr>
          <w:fldChar w:fldCharType="begin"/>
        </w:r>
        <w:r w:rsidR="003F4EBA">
          <w:rPr>
            <w:noProof/>
            <w:webHidden/>
          </w:rPr>
          <w:instrText xml:space="preserve"> PAGEREF _Toc172233515 \h </w:instrText>
        </w:r>
        <w:r w:rsidR="003F4EBA">
          <w:rPr>
            <w:noProof/>
            <w:webHidden/>
          </w:rPr>
        </w:r>
        <w:r w:rsidR="003F4EBA">
          <w:rPr>
            <w:noProof/>
            <w:webHidden/>
          </w:rPr>
          <w:fldChar w:fldCharType="separate"/>
        </w:r>
        <w:r w:rsidR="00B129D9">
          <w:rPr>
            <w:noProof/>
            <w:webHidden/>
          </w:rPr>
          <w:t>102</w:t>
        </w:r>
        <w:r w:rsidR="003F4EBA">
          <w:rPr>
            <w:noProof/>
            <w:webHidden/>
          </w:rPr>
          <w:fldChar w:fldCharType="end"/>
        </w:r>
      </w:hyperlink>
    </w:p>
    <w:p w14:paraId="06369822" w14:textId="3AEFBAE3" w:rsidR="003F4EBA" w:rsidRDefault="00000000" w:rsidP="00576C4A">
      <w:pPr>
        <w:pStyle w:val="TableofFigures"/>
        <w:tabs>
          <w:tab w:val="right" w:leader="dot" w:pos="9350"/>
        </w:tabs>
        <w:spacing w:after="240" w:line="240" w:lineRule="auto"/>
        <w:rPr>
          <w:rFonts w:eastAsiaTheme="minorEastAsia" w:cstheme="minorBidi"/>
          <w:noProof/>
          <w:kern w:val="2"/>
          <w:lang w:bidi="ar-SA"/>
          <w14:ligatures w14:val="standardContextual"/>
        </w:rPr>
      </w:pPr>
      <w:hyperlink w:anchor="_Toc172233516" w:history="1">
        <w:r w:rsidR="003F4EBA" w:rsidRPr="00983C68">
          <w:rPr>
            <w:rStyle w:val="Hyperlink"/>
            <w:b/>
            <w:bCs/>
            <w:noProof/>
          </w:rPr>
          <w:t>Figure 19</w:t>
        </w:r>
        <w:r w:rsidR="003F4EBA" w:rsidRPr="00983C68">
          <w:rPr>
            <w:rStyle w:val="Hyperlink"/>
            <w:noProof/>
          </w:rPr>
          <w:t>: Annual expansion rates across administrative unit level-2 boundaries from 2020 – 2030, 2030 – 2040, and 2040 – 2050.</w:t>
        </w:r>
        <w:r w:rsidR="003F4EBA">
          <w:rPr>
            <w:noProof/>
            <w:webHidden/>
          </w:rPr>
          <w:tab/>
        </w:r>
        <w:r w:rsidR="003F4EBA">
          <w:rPr>
            <w:noProof/>
            <w:webHidden/>
          </w:rPr>
          <w:fldChar w:fldCharType="begin"/>
        </w:r>
        <w:r w:rsidR="003F4EBA">
          <w:rPr>
            <w:noProof/>
            <w:webHidden/>
          </w:rPr>
          <w:instrText xml:space="preserve"> PAGEREF _Toc172233516 \h </w:instrText>
        </w:r>
        <w:r w:rsidR="003F4EBA">
          <w:rPr>
            <w:noProof/>
            <w:webHidden/>
          </w:rPr>
        </w:r>
        <w:r w:rsidR="003F4EBA">
          <w:rPr>
            <w:noProof/>
            <w:webHidden/>
          </w:rPr>
          <w:fldChar w:fldCharType="separate"/>
        </w:r>
        <w:r w:rsidR="00B129D9">
          <w:rPr>
            <w:noProof/>
            <w:webHidden/>
          </w:rPr>
          <w:t>104</w:t>
        </w:r>
        <w:r w:rsidR="003F4EBA">
          <w:rPr>
            <w:noProof/>
            <w:webHidden/>
          </w:rPr>
          <w:fldChar w:fldCharType="end"/>
        </w:r>
      </w:hyperlink>
    </w:p>
    <w:p w14:paraId="3D79322B" w14:textId="77770BFE" w:rsidR="00DA1971" w:rsidRPr="001145AB" w:rsidRDefault="00F7122D" w:rsidP="00576C4A">
      <w:pPr>
        <w:pStyle w:val="Heading1"/>
        <w:spacing w:before="240" w:after="240" w:line="240" w:lineRule="auto"/>
      </w:pPr>
      <w:r w:rsidRPr="00261563">
        <w:rPr>
          <w:sz w:val="24"/>
          <w:szCs w:val="24"/>
        </w:rPr>
        <w:fldChar w:fldCharType="end"/>
      </w:r>
      <w:r w:rsidR="00DA1971">
        <w:br w:type="page"/>
      </w:r>
      <w:bookmarkStart w:id="6" w:name="_Toc310579467"/>
      <w:bookmarkStart w:id="7" w:name="_Toc172288694"/>
      <w:r w:rsidR="00DA1971" w:rsidRPr="001145AB">
        <w:lastRenderedPageBreak/>
        <w:t>Abstract</w:t>
      </w:r>
      <w:bookmarkEnd w:id="6"/>
      <w:bookmarkEnd w:id="7"/>
    </w:p>
    <w:p w14:paraId="6D866F9D" w14:textId="2471B60A" w:rsidR="00DA1971" w:rsidRPr="00DF6894" w:rsidRDefault="00D0228B" w:rsidP="005D5FF1">
      <w:pPr>
        <w:rPr>
          <w:rFonts w:ascii="Times New Roman" w:hAnsi="Times New Roman"/>
          <w:bCs/>
          <w:color w:val="0D0D0D" w:themeColor="text1" w:themeTint="F2"/>
        </w:rPr>
        <w:sectPr w:rsidR="00DA1971" w:rsidRPr="00DF6894" w:rsidSect="0037676D">
          <w:footerReference w:type="default" r:id="rId11"/>
          <w:pgSz w:w="12240" w:h="15840" w:code="1"/>
          <w:pgMar w:top="1440" w:right="1440" w:bottom="1440" w:left="1440" w:header="720" w:footer="720" w:gutter="0"/>
          <w:pgNumType w:fmt="lowerRoman" w:start="4"/>
          <w:cols w:space="720"/>
          <w:docGrid w:linePitch="360"/>
        </w:sectPr>
      </w:pPr>
      <w:r>
        <w:rPr>
          <w:rFonts w:ascii="Times New Roman" w:hAnsi="Times New Roman"/>
        </w:rPr>
        <w:t xml:space="preserve">The purpose of my dissertation is to </w:t>
      </w:r>
      <w:r w:rsidR="00042AB7">
        <w:rPr>
          <w:rFonts w:ascii="Times New Roman" w:hAnsi="Times New Roman"/>
        </w:rPr>
        <w:t xml:space="preserve">improve </w:t>
      </w:r>
      <w:r>
        <w:rPr>
          <w:rFonts w:ascii="Times New Roman" w:hAnsi="Times New Roman"/>
        </w:rPr>
        <w:t>understand</w:t>
      </w:r>
      <w:r w:rsidR="00042AB7">
        <w:rPr>
          <w:rFonts w:ascii="Times New Roman" w:hAnsi="Times New Roman"/>
        </w:rPr>
        <w:t>ing of</w:t>
      </w:r>
      <w:r>
        <w:rPr>
          <w:rFonts w:ascii="Times New Roman" w:hAnsi="Times New Roman"/>
        </w:rPr>
        <w:t xml:space="preserve"> historical, current, and future infill and sprawl expansion and their causes across primary and secondary cities. The </w:t>
      </w:r>
      <w:r w:rsidRPr="00ED09EA">
        <w:rPr>
          <w:rFonts w:ascii="Times New Roman" w:hAnsi="Times New Roman"/>
        </w:rPr>
        <w:t xml:space="preserve">West Africa urban system (WAUS) </w:t>
      </w:r>
      <w:r>
        <w:rPr>
          <w:rFonts w:ascii="Times New Roman" w:hAnsi="Times New Roman"/>
        </w:rPr>
        <w:t>is a global</w:t>
      </w:r>
      <w:r w:rsidRPr="00ED09EA">
        <w:rPr>
          <w:rFonts w:ascii="Times New Roman" w:hAnsi="Times New Roman"/>
        </w:rPr>
        <w:t xml:space="preserve"> </w:t>
      </w:r>
      <w:r>
        <w:rPr>
          <w:rFonts w:ascii="Times New Roman" w:hAnsi="Times New Roman"/>
        </w:rPr>
        <w:t>hotspot</w:t>
      </w:r>
      <w:r w:rsidRPr="00ED09EA">
        <w:rPr>
          <w:rFonts w:ascii="Times New Roman" w:hAnsi="Times New Roman"/>
        </w:rPr>
        <w:t xml:space="preserve"> of rapid urbanization </w:t>
      </w:r>
      <w:r>
        <w:rPr>
          <w:rFonts w:ascii="Times New Roman" w:hAnsi="Times New Roman"/>
        </w:rPr>
        <w:t>and urban expansion</w:t>
      </w:r>
      <w:r w:rsidRPr="00ED09EA">
        <w:rPr>
          <w:rFonts w:ascii="Times New Roman" w:hAnsi="Times New Roman"/>
        </w:rPr>
        <w:t>.</w:t>
      </w:r>
      <w:r>
        <w:rPr>
          <w:rFonts w:ascii="Times New Roman" w:hAnsi="Times New Roman"/>
        </w:rPr>
        <w:t xml:space="preserve"> Although urbanization is associated with industrialization and economic growth, most African governments have limited resources, services, and infrastructure to manage the negative impacts (e.g., biodiversity, habitat, and cropland losses) associated with urban expansion, including sprawl that expands the urban footprint and infills within previous urban developments. Previous studies on urban expansion in West Africa have mostly focused on a few individual primary cities with </w:t>
      </w:r>
      <w:r w:rsidR="00E64A8E">
        <w:rPr>
          <w:rFonts w:ascii="Times New Roman" w:hAnsi="Times New Roman"/>
        </w:rPr>
        <w:t>over one million urban populations</w:t>
      </w:r>
      <w:r>
        <w:rPr>
          <w:rFonts w:ascii="Times New Roman" w:hAnsi="Times New Roman"/>
        </w:rPr>
        <w:t xml:space="preserve">. The numerous secondary cities with less than </w:t>
      </w:r>
      <w:r w:rsidR="00454BC7">
        <w:rPr>
          <w:rFonts w:ascii="Times New Roman" w:hAnsi="Times New Roman"/>
        </w:rPr>
        <w:t xml:space="preserve">one </w:t>
      </w:r>
      <w:r>
        <w:rPr>
          <w:rFonts w:ascii="Times New Roman" w:hAnsi="Times New Roman"/>
        </w:rPr>
        <w:t xml:space="preserve">million urban population are </w:t>
      </w:r>
      <w:r w:rsidR="00454BC7">
        <w:rPr>
          <w:rFonts w:ascii="Times New Roman" w:hAnsi="Times New Roman"/>
        </w:rPr>
        <w:t xml:space="preserve">also </w:t>
      </w:r>
      <w:r>
        <w:rPr>
          <w:rFonts w:ascii="Times New Roman" w:hAnsi="Times New Roman"/>
        </w:rPr>
        <w:t xml:space="preserve">important components of the urban system, providing services, markets, and education centers </w:t>
      </w:r>
      <w:r w:rsidR="00454BC7">
        <w:rPr>
          <w:rFonts w:ascii="Times New Roman" w:hAnsi="Times New Roman"/>
        </w:rPr>
        <w:t>for</w:t>
      </w:r>
      <w:r>
        <w:rPr>
          <w:rFonts w:ascii="Times New Roman" w:hAnsi="Times New Roman"/>
        </w:rPr>
        <w:t xml:space="preserve"> many rural residents in West Africa. Also, cities are increasingly interconnected, and changes and associated impacts extend beyond localized scales, requiring detailed understanding of urban expansion dynamics for the entire </w:t>
      </w:r>
      <w:r w:rsidR="00454BC7">
        <w:rPr>
          <w:rFonts w:ascii="Times New Roman" w:hAnsi="Times New Roman"/>
        </w:rPr>
        <w:t xml:space="preserve">network </w:t>
      </w:r>
      <w:r>
        <w:rPr>
          <w:rFonts w:ascii="Times New Roman" w:hAnsi="Times New Roman"/>
        </w:rPr>
        <w:t xml:space="preserve">of cities. </w:t>
      </w:r>
      <w:r w:rsidR="00A81AA9">
        <w:rPr>
          <w:rFonts w:ascii="Times New Roman" w:hAnsi="Times New Roman"/>
        </w:rPr>
        <w:t>Th</w:t>
      </w:r>
      <w:r w:rsidR="006859E0">
        <w:rPr>
          <w:rFonts w:ascii="Times New Roman" w:hAnsi="Times New Roman"/>
        </w:rPr>
        <w:t xml:space="preserve">is research </w:t>
      </w:r>
      <w:r w:rsidR="000A7C25">
        <w:rPr>
          <w:rFonts w:ascii="Times New Roman" w:hAnsi="Times New Roman"/>
        </w:rPr>
        <w:t xml:space="preserve">achieved the purpose of </w:t>
      </w:r>
      <w:r w:rsidR="00436392">
        <w:rPr>
          <w:rFonts w:ascii="Times New Roman" w:hAnsi="Times New Roman"/>
        </w:rPr>
        <w:t xml:space="preserve">the dissertation in </w:t>
      </w:r>
      <w:r w:rsidR="000A7C25">
        <w:rPr>
          <w:rFonts w:ascii="Times New Roman" w:hAnsi="Times New Roman"/>
        </w:rPr>
        <w:t>three interconnecte</w:t>
      </w:r>
      <w:r w:rsidR="00192BB6">
        <w:rPr>
          <w:rFonts w:ascii="Times New Roman" w:hAnsi="Times New Roman"/>
        </w:rPr>
        <w:t xml:space="preserve">d </w:t>
      </w:r>
      <w:r w:rsidR="000A7C25">
        <w:rPr>
          <w:rFonts w:ascii="Times New Roman" w:hAnsi="Times New Roman"/>
        </w:rPr>
        <w:t xml:space="preserve">ways. </w:t>
      </w:r>
      <w:r w:rsidR="00436392">
        <w:rPr>
          <w:rFonts w:ascii="Times New Roman" w:hAnsi="Times New Roman"/>
        </w:rPr>
        <w:t xml:space="preserve">First, </w:t>
      </w:r>
      <w:r w:rsidR="00F121B9">
        <w:rPr>
          <w:rFonts w:ascii="Times New Roman" w:hAnsi="Times New Roman"/>
        </w:rPr>
        <w:t>I</w:t>
      </w:r>
      <w:r w:rsidR="002D51EE">
        <w:rPr>
          <w:rFonts w:ascii="Times New Roman" w:hAnsi="Times New Roman"/>
        </w:rPr>
        <w:t xml:space="preserve"> </w:t>
      </w:r>
      <w:r w:rsidR="00F121B9">
        <w:rPr>
          <w:rFonts w:ascii="Times New Roman" w:hAnsi="Times New Roman"/>
        </w:rPr>
        <w:t>use</w:t>
      </w:r>
      <w:r w:rsidR="001D0511">
        <w:rPr>
          <w:rFonts w:ascii="Times New Roman" w:hAnsi="Times New Roman"/>
        </w:rPr>
        <w:t>d</w:t>
      </w:r>
      <w:r w:rsidR="00ED4051">
        <w:rPr>
          <w:rFonts w:ascii="Times New Roman" w:hAnsi="Times New Roman"/>
        </w:rPr>
        <w:t xml:space="preserve"> satellite data t</w:t>
      </w:r>
      <w:r w:rsidR="001D0511">
        <w:rPr>
          <w:rFonts w:ascii="Times New Roman" w:hAnsi="Times New Roman"/>
        </w:rPr>
        <w:t xml:space="preserve">o </w:t>
      </w:r>
      <w:r w:rsidR="00E8516C">
        <w:rPr>
          <w:rFonts w:ascii="Times New Roman" w:hAnsi="Times New Roman"/>
        </w:rPr>
        <w:t>comprehensive</w:t>
      </w:r>
      <w:r w:rsidR="001D0511">
        <w:rPr>
          <w:rFonts w:ascii="Times New Roman" w:hAnsi="Times New Roman"/>
        </w:rPr>
        <w:t>ly</w:t>
      </w:r>
      <w:r w:rsidR="00316704">
        <w:rPr>
          <w:rFonts w:ascii="Times New Roman" w:hAnsi="Times New Roman"/>
        </w:rPr>
        <w:t xml:space="preserve"> </w:t>
      </w:r>
      <w:r w:rsidR="00E8516C">
        <w:rPr>
          <w:rFonts w:ascii="Times New Roman" w:hAnsi="Times New Roman"/>
        </w:rPr>
        <w:t>analy</w:t>
      </w:r>
      <w:r w:rsidR="001D0511">
        <w:rPr>
          <w:rFonts w:ascii="Times New Roman" w:hAnsi="Times New Roman"/>
        </w:rPr>
        <w:t>ze</w:t>
      </w:r>
      <w:r>
        <w:rPr>
          <w:rFonts w:ascii="Times New Roman" w:hAnsi="Times New Roman"/>
        </w:rPr>
        <w:t xml:space="preserve"> infill and sprawl expansion from 2001 - 2020 across 1603 cities in Ghana, Togo, Benin, and Nigeria. The findings from this research show </w:t>
      </w:r>
      <w:r>
        <w:rPr>
          <w:rFonts w:ascii="Times New Roman" w:hAnsi="Times New Roman"/>
          <w:bCs/>
          <w:color w:val="0D0D0D" w:themeColor="text1" w:themeTint="F2"/>
        </w:rPr>
        <w:t>that more than half</w:t>
      </w:r>
      <w:r w:rsidRPr="002D3369">
        <w:rPr>
          <w:rFonts w:ascii="Times New Roman" w:hAnsi="Times New Roman"/>
        </w:rPr>
        <w:t xml:space="preserve"> </w:t>
      </w:r>
      <w:r>
        <w:rPr>
          <w:rFonts w:ascii="Times New Roman" w:hAnsi="Times New Roman"/>
        </w:rPr>
        <w:t>(</w:t>
      </w:r>
      <w:r w:rsidRPr="0076335C">
        <w:rPr>
          <w:rFonts w:ascii="Times New Roman" w:hAnsi="Times New Roman"/>
          <w:bCs/>
          <w:color w:val="0D0D0D" w:themeColor="text1" w:themeTint="F2"/>
        </w:rPr>
        <w:t>54%</w:t>
      </w:r>
      <w:r>
        <w:rPr>
          <w:rFonts w:ascii="Times New Roman" w:hAnsi="Times New Roman"/>
          <w:bCs/>
          <w:color w:val="0D0D0D" w:themeColor="text1" w:themeTint="F2"/>
        </w:rPr>
        <w:t>) of the expanded area occurred</w:t>
      </w:r>
      <w:r w:rsidRPr="0076335C">
        <w:rPr>
          <w:rFonts w:ascii="Times New Roman" w:hAnsi="Times New Roman"/>
          <w:bCs/>
          <w:color w:val="0D0D0D" w:themeColor="text1" w:themeTint="F2"/>
        </w:rPr>
        <w:t xml:space="preserve"> in</w:t>
      </w:r>
      <w:r>
        <w:rPr>
          <w:rFonts w:ascii="Times New Roman" w:hAnsi="Times New Roman"/>
          <w:bCs/>
          <w:color w:val="0D0D0D" w:themeColor="text1" w:themeTint="F2"/>
        </w:rPr>
        <w:t xml:space="preserve"> smaller cities, and 73% was sprawl.</w:t>
      </w:r>
      <w:r>
        <w:rPr>
          <w:rFonts w:ascii="Times New Roman" w:hAnsi="Times New Roman"/>
        </w:rPr>
        <w:t xml:space="preserve"> </w:t>
      </w:r>
      <w:r>
        <w:rPr>
          <w:rFonts w:ascii="Times New Roman" w:hAnsi="Times New Roman"/>
          <w:bCs/>
          <w:color w:val="0D0D0D" w:themeColor="text1" w:themeTint="F2"/>
        </w:rPr>
        <w:t>Sprawl-to-infill ratios were higher in smaller cities than in larger cities, and</w:t>
      </w:r>
      <w:r w:rsidRPr="006D120A">
        <w:rPr>
          <w:rFonts w:ascii="Times New Roman" w:hAnsi="Times New Roman"/>
          <w:bCs/>
          <w:color w:val="0D0D0D" w:themeColor="text1" w:themeTint="F2"/>
        </w:rPr>
        <w:t xml:space="preserve"> </w:t>
      </w:r>
      <w:r>
        <w:rPr>
          <w:rFonts w:ascii="Times New Roman" w:hAnsi="Times New Roman"/>
          <w:bCs/>
          <w:color w:val="0D0D0D" w:themeColor="text1" w:themeTint="F2"/>
        </w:rPr>
        <w:t>the annual expansion rates of larger cities decreased over time while those in smaller cities were stable or increased.</w:t>
      </w:r>
      <w:r w:rsidRPr="001E1992">
        <w:rPr>
          <w:rFonts w:ascii="Times New Roman" w:hAnsi="Times New Roman"/>
          <w:bCs/>
          <w:color w:val="0D0D0D" w:themeColor="text1" w:themeTint="F2"/>
        </w:rPr>
        <w:t xml:space="preserve"> </w:t>
      </w:r>
      <w:r>
        <w:rPr>
          <w:rFonts w:ascii="Times New Roman" w:hAnsi="Times New Roman"/>
          <w:bCs/>
          <w:color w:val="0D0D0D" w:themeColor="text1" w:themeTint="F2"/>
        </w:rPr>
        <w:t>This research also found that proximity to larger cities increased smaller cities' expansion rates in Nigeria, but more remote cities had higher expansion rates in Ghana, Benin, and Togo.</w:t>
      </w:r>
      <w:r w:rsidR="00DF6894">
        <w:rPr>
          <w:rFonts w:ascii="Times New Roman" w:hAnsi="Times New Roman"/>
          <w:bCs/>
          <w:color w:val="0D0D0D" w:themeColor="text1" w:themeTint="F2"/>
        </w:rPr>
        <w:t xml:space="preserve"> </w:t>
      </w:r>
      <w:r w:rsidR="00316704">
        <w:rPr>
          <w:rFonts w:ascii="Times New Roman" w:hAnsi="Times New Roman"/>
          <w:bCs/>
          <w:color w:val="0D0D0D" w:themeColor="text1" w:themeTint="F2"/>
        </w:rPr>
        <w:t>Second,</w:t>
      </w:r>
      <w:r w:rsidR="0060264E">
        <w:rPr>
          <w:rFonts w:ascii="Times New Roman" w:hAnsi="Times New Roman"/>
          <w:bCs/>
          <w:color w:val="0D0D0D" w:themeColor="text1" w:themeTint="F2"/>
        </w:rPr>
        <w:t xml:space="preserve"> </w:t>
      </w:r>
      <w:r w:rsidR="00351A52">
        <w:rPr>
          <w:rFonts w:ascii="Times New Roman" w:hAnsi="Times New Roman"/>
          <w:bCs/>
          <w:color w:val="0D0D0D" w:themeColor="text1" w:themeTint="F2"/>
        </w:rPr>
        <w:t xml:space="preserve">I used a mixed-method approach </w:t>
      </w:r>
      <w:r w:rsidR="00A3517E">
        <w:rPr>
          <w:rFonts w:ascii="Times New Roman" w:hAnsi="Times New Roman"/>
          <w:bCs/>
          <w:color w:val="0D0D0D" w:themeColor="text1" w:themeTint="F2"/>
        </w:rPr>
        <w:t xml:space="preserve">to </w:t>
      </w:r>
      <w:r>
        <w:rPr>
          <w:rFonts w:ascii="Times New Roman" w:hAnsi="Times New Roman"/>
          <w:bCs/>
          <w:color w:val="0D0D0D" w:themeColor="text1" w:themeTint="F2"/>
        </w:rPr>
        <w:t xml:space="preserve">understand the causes of sprawl and infill expansion in </w:t>
      </w:r>
      <w:r>
        <w:rPr>
          <w:rFonts w:ascii="Times New Roman" w:hAnsi="Times New Roman"/>
          <w:bCs/>
          <w:color w:val="0D0D0D" w:themeColor="text1" w:themeTint="F2"/>
        </w:rPr>
        <w:lastRenderedPageBreak/>
        <w:t>primary and secondary cities</w:t>
      </w:r>
      <w:r w:rsidR="001A3083">
        <w:rPr>
          <w:rFonts w:ascii="Times New Roman" w:hAnsi="Times New Roman"/>
          <w:bCs/>
          <w:color w:val="0D0D0D" w:themeColor="text1" w:themeTint="F2"/>
        </w:rPr>
        <w:t xml:space="preserve">, using </w:t>
      </w:r>
      <w:r>
        <w:rPr>
          <w:rFonts w:ascii="Times New Roman" w:hAnsi="Times New Roman"/>
          <w:bCs/>
          <w:color w:val="0D0D0D" w:themeColor="text1" w:themeTint="F2"/>
        </w:rPr>
        <w:t>Ghana</w:t>
      </w:r>
      <w:r w:rsidR="001A3083">
        <w:rPr>
          <w:rFonts w:ascii="Times New Roman" w:hAnsi="Times New Roman"/>
          <w:bCs/>
          <w:color w:val="0D0D0D" w:themeColor="text1" w:themeTint="F2"/>
        </w:rPr>
        <w:t xml:space="preserve"> as a case study</w:t>
      </w:r>
      <w:r>
        <w:rPr>
          <w:rFonts w:ascii="Times New Roman" w:hAnsi="Times New Roman"/>
          <w:bCs/>
          <w:color w:val="0D0D0D" w:themeColor="text1" w:themeTint="F2"/>
        </w:rPr>
        <w:t>. In primary cities, high cost of land and rent, travel costs, and fewer land allocation regimes were important considerations, whereas in secondary cities</w:t>
      </w:r>
      <w:r w:rsidR="00675952">
        <w:rPr>
          <w:rFonts w:ascii="Times New Roman" w:hAnsi="Times New Roman"/>
          <w:bCs/>
          <w:color w:val="0D0D0D" w:themeColor="text1" w:themeTint="F2"/>
        </w:rPr>
        <w:t>,</w:t>
      </w:r>
      <w:r>
        <w:rPr>
          <w:rFonts w:ascii="Times New Roman" w:hAnsi="Times New Roman"/>
          <w:bCs/>
          <w:color w:val="0D0D0D" w:themeColor="text1" w:themeTint="F2"/>
        </w:rPr>
        <w:t xml:space="preserve"> lower</w:t>
      </w:r>
      <w:r w:rsidR="00054FB1">
        <w:rPr>
          <w:rFonts w:ascii="Times New Roman" w:hAnsi="Times New Roman"/>
          <w:bCs/>
          <w:color w:val="0D0D0D" w:themeColor="text1" w:themeTint="F2"/>
        </w:rPr>
        <w:t xml:space="preserve"> land</w:t>
      </w:r>
      <w:r w:rsidR="005940A0">
        <w:rPr>
          <w:rFonts w:ascii="Times New Roman" w:hAnsi="Times New Roman"/>
          <w:bCs/>
          <w:color w:val="0D0D0D" w:themeColor="text1" w:themeTint="F2"/>
        </w:rPr>
        <w:t>,</w:t>
      </w:r>
      <w:r w:rsidR="00054FB1">
        <w:rPr>
          <w:rFonts w:ascii="Times New Roman" w:hAnsi="Times New Roman"/>
          <w:bCs/>
          <w:color w:val="0D0D0D" w:themeColor="text1" w:themeTint="F2"/>
        </w:rPr>
        <w:t xml:space="preserve"> rent</w:t>
      </w:r>
      <w:r w:rsidR="005940A0">
        <w:rPr>
          <w:rFonts w:ascii="Times New Roman" w:hAnsi="Times New Roman"/>
          <w:bCs/>
          <w:color w:val="0D0D0D" w:themeColor="text1" w:themeTint="F2"/>
        </w:rPr>
        <w:t>, and travel</w:t>
      </w:r>
      <w:r>
        <w:rPr>
          <w:rFonts w:ascii="Times New Roman" w:hAnsi="Times New Roman"/>
          <w:bCs/>
          <w:color w:val="0D0D0D" w:themeColor="text1" w:themeTint="F2"/>
        </w:rPr>
        <w:t xml:space="preserve"> cost</w:t>
      </w:r>
      <w:r w:rsidR="00D90657">
        <w:rPr>
          <w:rFonts w:ascii="Times New Roman" w:hAnsi="Times New Roman"/>
          <w:bCs/>
          <w:color w:val="0D0D0D" w:themeColor="text1" w:themeTint="F2"/>
        </w:rPr>
        <w:t>s</w:t>
      </w:r>
      <w:r>
        <w:rPr>
          <w:rFonts w:ascii="Times New Roman" w:hAnsi="Times New Roman"/>
          <w:bCs/>
          <w:color w:val="0D0D0D" w:themeColor="text1" w:themeTint="F2"/>
        </w:rPr>
        <w:t xml:space="preserve"> and more diverse land allocation </w:t>
      </w:r>
      <w:r w:rsidR="00454BC7">
        <w:rPr>
          <w:rFonts w:ascii="Times New Roman" w:hAnsi="Times New Roman"/>
          <w:bCs/>
          <w:color w:val="0D0D0D" w:themeColor="text1" w:themeTint="F2"/>
        </w:rPr>
        <w:t xml:space="preserve">were </w:t>
      </w:r>
      <w:r>
        <w:rPr>
          <w:rFonts w:ascii="Times New Roman" w:hAnsi="Times New Roman"/>
          <w:bCs/>
          <w:color w:val="0D0D0D" w:themeColor="text1" w:themeTint="F2"/>
        </w:rPr>
        <w:t xml:space="preserve">important </w:t>
      </w:r>
      <w:r w:rsidR="00454BC7">
        <w:rPr>
          <w:rFonts w:ascii="Times New Roman" w:hAnsi="Times New Roman"/>
          <w:bCs/>
          <w:color w:val="0D0D0D" w:themeColor="text1" w:themeTint="F2"/>
        </w:rPr>
        <w:t>factors</w:t>
      </w:r>
      <w:r>
        <w:rPr>
          <w:rFonts w:ascii="Times New Roman" w:hAnsi="Times New Roman"/>
          <w:bCs/>
          <w:color w:val="0D0D0D" w:themeColor="text1" w:themeTint="F2"/>
        </w:rPr>
        <w:t>. These</w:t>
      </w:r>
      <w:r w:rsidR="00675952">
        <w:rPr>
          <w:rFonts w:ascii="Times New Roman" w:hAnsi="Times New Roman"/>
          <w:bCs/>
          <w:color w:val="0D0D0D" w:themeColor="text1" w:themeTint="F2"/>
        </w:rPr>
        <w:t xml:space="preserve"> factors</w:t>
      </w:r>
      <w:r>
        <w:rPr>
          <w:rFonts w:ascii="Times New Roman" w:hAnsi="Times New Roman"/>
          <w:bCs/>
          <w:color w:val="0D0D0D" w:themeColor="text1" w:themeTint="F2"/>
        </w:rPr>
        <w:t xml:space="preserve"> are more favorable in the periphery because </w:t>
      </w:r>
      <w:r w:rsidRPr="00303A71">
        <w:rPr>
          <w:rFonts w:ascii="Times New Roman" w:hAnsi="Times New Roman"/>
          <w:bCs/>
          <w:color w:val="0D0D0D" w:themeColor="text1" w:themeTint="F2"/>
        </w:rPr>
        <w:t>land and rental costs are mostly cheaper, especially in secondary cities</w:t>
      </w:r>
      <w:r>
        <w:rPr>
          <w:rFonts w:ascii="Times New Roman" w:hAnsi="Times New Roman"/>
          <w:bCs/>
          <w:color w:val="0D0D0D" w:themeColor="text1" w:themeTint="F2"/>
        </w:rPr>
        <w:t>;</w:t>
      </w:r>
      <w:r w:rsidRPr="00303A71">
        <w:rPr>
          <w:rFonts w:ascii="Times New Roman" w:hAnsi="Times New Roman"/>
          <w:bCs/>
          <w:color w:val="0D0D0D" w:themeColor="text1" w:themeTint="F2"/>
        </w:rPr>
        <w:t xml:space="preserve"> this likely explains the higher sprawl</w:t>
      </w:r>
      <w:r>
        <w:rPr>
          <w:rFonts w:ascii="Times New Roman" w:hAnsi="Times New Roman"/>
          <w:bCs/>
          <w:color w:val="0D0D0D" w:themeColor="text1" w:themeTint="F2"/>
        </w:rPr>
        <w:t>-</w:t>
      </w:r>
      <w:r w:rsidRPr="00303A71">
        <w:rPr>
          <w:rFonts w:ascii="Times New Roman" w:hAnsi="Times New Roman"/>
          <w:bCs/>
          <w:color w:val="0D0D0D" w:themeColor="text1" w:themeTint="F2"/>
        </w:rPr>
        <w:t>to</w:t>
      </w:r>
      <w:r>
        <w:rPr>
          <w:rFonts w:ascii="Times New Roman" w:hAnsi="Times New Roman"/>
          <w:bCs/>
          <w:color w:val="0D0D0D" w:themeColor="text1" w:themeTint="F2"/>
        </w:rPr>
        <w:t>-</w:t>
      </w:r>
      <w:r w:rsidRPr="00303A71">
        <w:rPr>
          <w:rFonts w:ascii="Times New Roman" w:hAnsi="Times New Roman"/>
          <w:bCs/>
          <w:color w:val="0D0D0D" w:themeColor="text1" w:themeTint="F2"/>
        </w:rPr>
        <w:t xml:space="preserve">infill expansion. Interviews also </w:t>
      </w:r>
      <w:r w:rsidR="00C73A07">
        <w:rPr>
          <w:rFonts w:ascii="Times New Roman" w:hAnsi="Times New Roman"/>
          <w:bCs/>
          <w:color w:val="0D0D0D" w:themeColor="text1" w:themeTint="F2"/>
        </w:rPr>
        <w:t xml:space="preserve">suggest </w:t>
      </w:r>
      <w:r>
        <w:rPr>
          <w:rFonts w:ascii="Times New Roman" w:hAnsi="Times New Roman"/>
          <w:bCs/>
          <w:color w:val="0D0D0D" w:themeColor="text1" w:themeTint="F2"/>
        </w:rPr>
        <w:t>that new developments reflect</w:t>
      </w:r>
      <w:r w:rsidR="00C73A07">
        <w:rPr>
          <w:rFonts w:ascii="Times New Roman" w:hAnsi="Times New Roman"/>
          <w:bCs/>
          <w:color w:val="0D0D0D" w:themeColor="text1" w:themeTint="F2"/>
        </w:rPr>
        <w:t>ed</w:t>
      </w:r>
      <w:r>
        <w:rPr>
          <w:rFonts w:ascii="Times New Roman" w:hAnsi="Times New Roman"/>
          <w:bCs/>
          <w:color w:val="0D0D0D" w:themeColor="text1" w:themeTint="F2"/>
        </w:rPr>
        <w:t xml:space="preserve"> the aims of the powerful urban stakeholders, including the chiefs and political elite. </w:t>
      </w:r>
      <w:r w:rsidR="005E5F85">
        <w:rPr>
          <w:rFonts w:ascii="Times New Roman" w:hAnsi="Times New Roman"/>
          <w:bCs/>
          <w:color w:val="0D0D0D" w:themeColor="text1" w:themeTint="F2"/>
        </w:rPr>
        <w:t>Third, this research</w:t>
      </w:r>
      <w:r>
        <w:rPr>
          <w:rFonts w:ascii="Times New Roman" w:hAnsi="Times New Roman"/>
          <w:bCs/>
          <w:color w:val="0D0D0D" w:themeColor="text1" w:themeTint="F2"/>
        </w:rPr>
        <w:t xml:space="preserve"> </w:t>
      </w:r>
      <w:r w:rsidR="000B0AC6">
        <w:rPr>
          <w:rFonts w:ascii="Times New Roman" w:hAnsi="Times New Roman"/>
          <w:bCs/>
          <w:color w:val="0D0D0D" w:themeColor="text1" w:themeTint="F2"/>
        </w:rPr>
        <w:t>used</w:t>
      </w:r>
      <w:r w:rsidR="00623BEF">
        <w:rPr>
          <w:rFonts w:ascii="Times New Roman" w:hAnsi="Times New Roman"/>
          <w:bCs/>
          <w:color w:val="0D0D0D" w:themeColor="text1" w:themeTint="F2"/>
        </w:rPr>
        <w:t xml:space="preserve"> </w:t>
      </w:r>
      <w:r w:rsidR="00623BEF" w:rsidRPr="000F3162">
        <w:rPr>
          <w:rFonts w:ascii="Times New Roman" w:eastAsia="Aptos" w:hAnsi="Times New Roman"/>
          <w:b/>
          <w:bCs/>
          <w:color w:val="000000"/>
          <w:shd w:val="clear" w:color="auto" w:fill="FFFFFF"/>
        </w:rPr>
        <w:t>FUT</w:t>
      </w:r>
      <w:r w:rsidR="00623BEF" w:rsidRPr="000F3162">
        <w:rPr>
          <w:rFonts w:ascii="Times New Roman" w:eastAsia="Aptos" w:hAnsi="Times New Roman"/>
          <w:color w:val="000000"/>
          <w:shd w:val="clear" w:color="auto" w:fill="FFFFFF"/>
        </w:rPr>
        <w:t xml:space="preserve">ure </w:t>
      </w:r>
      <w:r w:rsidR="00623BEF" w:rsidRPr="000F3162">
        <w:rPr>
          <w:rFonts w:ascii="Times New Roman" w:eastAsia="Aptos" w:hAnsi="Times New Roman"/>
          <w:b/>
          <w:bCs/>
          <w:color w:val="000000"/>
          <w:shd w:val="clear" w:color="auto" w:fill="FFFFFF"/>
        </w:rPr>
        <w:t>U</w:t>
      </w:r>
      <w:r w:rsidR="00623BEF" w:rsidRPr="000F3162">
        <w:rPr>
          <w:rFonts w:ascii="Times New Roman" w:eastAsia="Aptos" w:hAnsi="Times New Roman"/>
          <w:color w:val="000000"/>
          <w:shd w:val="clear" w:color="auto" w:fill="FFFFFF"/>
        </w:rPr>
        <w:t>rban</w:t>
      </w:r>
      <w:r w:rsidR="00623BEF">
        <w:rPr>
          <w:rFonts w:ascii="Times New Roman" w:eastAsia="Aptos" w:hAnsi="Times New Roman"/>
          <w:color w:val="000000"/>
          <w:shd w:val="clear" w:color="auto" w:fill="FFFFFF"/>
        </w:rPr>
        <w:t>-</w:t>
      </w:r>
      <w:r w:rsidR="00623BEF" w:rsidRPr="000F3162">
        <w:rPr>
          <w:rFonts w:ascii="Times New Roman" w:eastAsia="Aptos" w:hAnsi="Times New Roman"/>
          <w:b/>
          <w:bCs/>
          <w:color w:val="000000"/>
          <w:shd w:val="clear" w:color="auto" w:fill="FFFFFF"/>
        </w:rPr>
        <w:t>R</w:t>
      </w:r>
      <w:r w:rsidR="00F24E8F" w:rsidRPr="00F24E8F">
        <w:rPr>
          <w:rFonts w:ascii="Times New Roman" w:eastAsia="Aptos" w:hAnsi="Times New Roman"/>
          <w:color w:val="000000"/>
          <w:shd w:val="clear" w:color="auto" w:fill="FFFFFF"/>
        </w:rPr>
        <w:t>e</w:t>
      </w:r>
      <w:r w:rsidR="00623BEF" w:rsidRPr="000F3162">
        <w:rPr>
          <w:rFonts w:ascii="Times New Roman" w:eastAsia="Aptos" w:hAnsi="Times New Roman"/>
          <w:color w:val="000000"/>
          <w:shd w:val="clear" w:color="auto" w:fill="FFFFFF"/>
        </w:rPr>
        <w:t>gional and</w:t>
      </w:r>
      <w:r w:rsidR="00623BEF">
        <w:rPr>
          <w:rFonts w:ascii="Times New Roman" w:eastAsia="Aptos" w:hAnsi="Times New Roman"/>
          <w:color w:val="000000"/>
          <w:shd w:val="clear" w:color="auto" w:fill="FFFFFF"/>
        </w:rPr>
        <w:t xml:space="preserve"> </w:t>
      </w:r>
      <w:r w:rsidR="00623BEF" w:rsidRPr="00884A40">
        <w:rPr>
          <w:rFonts w:ascii="Times New Roman" w:eastAsia="Aptos" w:hAnsi="Times New Roman"/>
          <w:b/>
          <w:bCs/>
          <w:color w:val="000000"/>
          <w:shd w:val="clear" w:color="auto" w:fill="FFFFFF"/>
        </w:rPr>
        <w:t>E</w:t>
      </w:r>
      <w:r w:rsidR="00623BEF">
        <w:rPr>
          <w:rFonts w:ascii="Times New Roman" w:eastAsia="Aptos" w:hAnsi="Times New Roman"/>
          <w:color w:val="000000"/>
          <w:shd w:val="clear" w:color="auto" w:fill="FFFFFF"/>
        </w:rPr>
        <w:t>nvironment</w:t>
      </w:r>
      <w:r w:rsidR="00623BEF" w:rsidRPr="000F3162">
        <w:rPr>
          <w:rFonts w:ascii="Times New Roman" w:eastAsia="Aptos" w:hAnsi="Times New Roman"/>
          <w:color w:val="000000"/>
          <w:shd w:val="clear" w:color="auto" w:fill="FFFFFF"/>
        </w:rPr>
        <w:t xml:space="preserve"> </w:t>
      </w:r>
      <w:r w:rsidR="00623BEF" w:rsidRPr="000F3162">
        <w:rPr>
          <w:rFonts w:ascii="Times New Roman" w:eastAsia="Aptos" w:hAnsi="Times New Roman"/>
          <w:b/>
          <w:bCs/>
          <w:color w:val="000000"/>
          <w:shd w:val="clear" w:color="auto" w:fill="FFFFFF"/>
        </w:rPr>
        <w:t>S</w:t>
      </w:r>
      <w:r w:rsidR="00623BEF" w:rsidRPr="000F3162">
        <w:rPr>
          <w:rFonts w:ascii="Times New Roman" w:eastAsia="Aptos" w:hAnsi="Times New Roman"/>
          <w:color w:val="000000"/>
          <w:shd w:val="clear" w:color="auto" w:fill="FFFFFF"/>
        </w:rPr>
        <w:t>imulation</w:t>
      </w:r>
      <w:r w:rsidR="00F24E8F">
        <w:rPr>
          <w:rFonts w:ascii="Times New Roman" w:eastAsia="Aptos" w:hAnsi="Times New Roman"/>
          <w:color w:val="000000"/>
          <w:shd w:val="clear" w:color="auto" w:fill="FFFFFF"/>
        </w:rPr>
        <w:t xml:space="preserve"> </w:t>
      </w:r>
      <w:r w:rsidR="00674EBA">
        <w:rPr>
          <w:rFonts w:ascii="Times New Roman" w:eastAsia="Aptos" w:hAnsi="Times New Roman"/>
          <w:color w:val="000000"/>
          <w:shd w:val="clear" w:color="auto" w:fill="FFFFFF"/>
        </w:rPr>
        <w:t xml:space="preserve">(FUTURES) </w:t>
      </w:r>
      <w:r w:rsidR="00F24E8F">
        <w:rPr>
          <w:rFonts w:ascii="Times New Roman" w:eastAsia="Aptos" w:hAnsi="Times New Roman"/>
          <w:color w:val="000000"/>
          <w:shd w:val="clear" w:color="auto" w:fill="FFFFFF"/>
        </w:rPr>
        <w:t>to</w:t>
      </w:r>
      <w:r w:rsidR="000B0AC6">
        <w:rPr>
          <w:rFonts w:ascii="Times New Roman" w:hAnsi="Times New Roman"/>
          <w:bCs/>
          <w:color w:val="0D0D0D" w:themeColor="text1" w:themeTint="F2"/>
        </w:rPr>
        <w:t xml:space="preserve"> </w:t>
      </w:r>
      <w:r w:rsidR="00F24E8F">
        <w:rPr>
          <w:rFonts w:ascii="Times New Roman" w:hAnsi="Times New Roman"/>
          <w:bCs/>
          <w:color w:val="0D0D0D" w:themeColor="text1" w:themeTint="F2"/>
        </w:rPr>
        <w:t>model</w:t>
      </w:r>
      <w:r>
        <w:rPr>
          <w:rFonts w:ascii="Times New Roman" w:hAnsi="Times New Roman"/>
          <w:bCs/>
          <w:color w:val="0D0D0D" w:themeColor="text1" w:themeTint="F2"/>
        </w:rPr>
        <w:t xml:space="preserve"> future urban expansion across Ghana, Togo, Benin, and Nigeria from 2020 – 2050. </w:t>
      </w:r>
      <w:r>
        <w:rPr>
          <w:rFonts w:ascii="Times New Roman" w:hAnsi="Times New Roman"/>
        </w:rPr>
        <w:t xml:space="preserve">This research finds that input variables varied across small, medium, and large cities. New developments were mostly influenced by proximity to previous developments, </w:t>
      </w:r>
      <w:r w:rsidR="00454BC7">
        <w:rPr>
          <w:rFonts w:ascii="Times New Roman" w:hAnsi="Times New Roman"/>
        </w:rPr>
        <w:t xml:space="preserve">whereas </w:t>
      </w:r>
      <w:r>
        <w:rPr>
          <w:rFonts w:ascii="Times New Roman" w:hAnsi="Times New Roman"/>
        </w:rPr>
        <w:t xml:space="preserve">elevation and hillshade were generally less important across cities. This research also finds high annual expansion rates of 3.8% to 14.3% across the study area, with most expansion occurring between 2030 – 2040. Overall, this dissertation </w:t>
      </w:r>
      <w:r w:rsidR="00F63524">
        <w:rPr>
          <w:rFonts w:ascii="Times New Roman" w:hAnsi="Times New Roman"/>
        </w:rPr>
        <w:t xml:space="preserve">research </w:t>
      </w:r>
      <w:r>
        <w:rPr>
          <w:rFonts w:ascii="Times New Roman" w:hAnsi="Times New Roman"/>
        </w:rPr>
        <w:t xml:space="preserve">provides a detailed analysis of the historical, current, and future urban expansion of cities with varying population </w:t>
      </w:r>
      <w:r w:rsidR="00836072">
        <w:rPr>
          <w:rFonts w:ascii="Times New Roman" w:hAnsi="Times New Roman"/>
        </w:rPr>
        <w:t>sizes</w:t>
      </w:r>
      <w:r w:rsidR="00674EBA">
        <w:rPr>
          <w:rFonts w:ascii="Times New Roman" w:hAnsi="Times New Roman"/>
        </w:rPr>
        <w:t xml:space="preserve"> in WAUS</w:t>
      </w:r>
      <w:r w:rsidR="009B7CDE">
        <w:rPr>
          <w:rFonts w:ascii="Times New Roman" w:hAnsi="Times New Roman"/>
        </w:rPr>
        <w:t xml:space="preserve">. </w:t>
      </w:r>
      <w:r w:rsidR="00836072">
        <w:rPr>
          <w:rFonts w:ascii="Times New Roman" w:hAnsi="Times New Roman"/>
        </w:rPr>
        <w:t xml:space="preserve"> </w:t>
      </w:r>
      <w:r w:rsidR="009B7CDE">
        <w:rPr>
          <w:rFonts w:ascii="Times New Roman" w:hAnsi="Times New Roman"/>
        </w:rPr>
        <w:t>It</w:t>
      </w:r>
      <w:r w:rsidR="00836072">
        <w:rPr>
          <w:rFonts w:ascii="Times New Roman" w:hAnsi="Times New Roman"/>
        </w:rPr>
        <w:t xml:space="preserve"> finds </w:t>
      </w:r>
      <w:r w:rsidR="00D81B2C" w:rsidRPr="00103457">
        <w:rPr>
          <w:rFonts w:ascii="Times New Roman" w:hAnsi="Times New Roman"/>
          <w:bCs/>
          <w:color w:val="0D0D0D"/>
        </w:rPr>
        <w:t xml:space="preserve">that smaller and more numerous cities contribute substantially to urban expansion and need to be incorporated into </w:t>
      </w:r>
      <w:r w:rsidR="00836072">
        <w:rPr>
          <w:rFonts w:ascii="Times New Roman" w:hAnsi="Times New Roman"/>
          <w:bCs/>
          <w:color w:val="0D0D0D"/>
        </w:rPr>
        <w:t xml:space="preserve">national and </w:t>
      </w:r>
      <w:r w:rsidR="00D81B2C" w:rsidRPr="00103457">
        <w:rPr>
          <w:rFonts w:ascii="Times New Roman" w:hAnsi="Times New Roman"/>
          <w:bCs/>
          <w:color w:val="0D0D0D"/>
        </w:rPr>
        <w:t>regional assessments of urban growth and its impacts.</w:t>
      </w:r>
    </w:p>
    <w:p w14:paraId="13A85880" w14:textId="67A70E22" w:rsidR="00103457" w:rsidRPr="004B2E2E" w:rsidRDefault="00D81E0A" w:rsidP="002B23DE">
      <w:pPr>
        <w:pStyle w:val="Heading1"/>
      </w:pPr>
      <w:bookmarkStart w:id="8" w:name="_Toc172288695"/>
      <w:r w:rsidRPr="004B2E2E">
        <w:lastRenderedPageBreak/>
        <w:t>Chapter 1</w:t>
      </w:r>
      <w:r w:rsidR="00E272EE" w:rsidRPr="004B2E2E">
        <w:t>: In</w:t>
      </w:r>
      <w:r w:rsidR="00DA0F96" w:rsidRPr="004B2E2E">
        <w:t>troduction</w:t>
      </w:r>
      <w:bookmarkEnd w:id="8"/>
    </w:p>
    <w:p w14:paraId="3C57E07F" w14:textId="77777777" w:rsidR="00103457" w:rsidRPr="00103457" w:rsidRDefault="00103457" w:rsidP="005F77D2">
      <w:pPr>
        <w:pStyle w:val="Heading2"/>
      </w:pPr>
      <w:bookmarkStart w:id="9" w:name="_Toc172288696"/>
      <w:r w:rsidRPr="00103457">
        <w:t>Urbanization and urban expansion</w:t>
      </w:r>
      <w:bookmarkEnd w:id="9"/>
    </w:p>
    <w:p w14:paraId="7C5C2C78" w14:textId="69F151D0" w:rsidR="006153B5" w:rsidRPr="000F3162" w:rsidRDefault="006153B5" w:rsidP="005F77D2">
      <w:pPr>
        <w:ind w:firstLine="360"/>
        <w:rPr>
          <w:rFonts w:ascii="Times New Roman" w:eastAsia="Aptos" w:hAnsi="Times New Roman"/>
        </w:rPr>
      </w:pPr>
      <w:r w:rsidRPr="000F3162">
        <w:rPr>
          <w:rFonts w:ascii="Times New Roman" w:eastAsia="Aptos" w:hAnsi="Times New Roman"/>
        </w:rPr>
        <w:t xml:space="preserve">Globally, the number of people living in urban centers compared with rural areas has continued to increase, with low-income countries increasing their urban populations 1.6 times faster than in high-income countries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{"citationID":"BN2ohhJf","properties":{"formattedCitation":"(United Nations, 2019)","plainCitation":"(United Nations, 2019)","noteIndex":0},"citationItems":[{"id":550,"uris":["http://zotero.org/users/8906743/items/6N6M89MP"],"itemData":{"id":550,"type":"book","ISBN":"978-92-1-148316-1","language":"en","note":"OCLC: 1110010089","source":"Open WorldCat","title":"World population prospects Highlights, 2019 revision Highlights, 2019 revision","author":[{"literal":"United Nations"}],"issued":{"date-parts":[["2019"]]}}}],"schema":"https://github.com/citation-style-language/schema/raw/master/csl-citation.json"}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(United Nations, 2019)</w:t>
      </w:r>
      <w:r w:rsidRPr="000F3162">
        <w:rPr>
          <w:rFonts w:ascii="Times New Roman" w:eastAsia="Aptos" w:hAnsi="Times New Roman"/>
        </w:rPr>
        <w:fldChar w:fldCharType="end"/>
      </w:r>
      <w:r w:rsidRPr="000F3162">
        <w:rPr>
          <w:rFonts w:ascii="Times New Roman" w:eastAsia="Aptos" w:hAnsi="Times New Roman"/>
        </w:rPr>
        <w:t xml:space="preserve">. In Africa, it took only sixty years to grow from a 10% level of urbanization in 1950 to over 54% in 2020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{"citationID":"jWIgyvca","properties":{"formattedCitation":"(OECD &amp; Sahel and West Africa Club, 2020; Walther, 2021)","plainCitation":"(OECD &amp; Sahel and West Africa Club, 2020; Walther, 2021)","dontUpdate":true,"noteIndex":0},"citationItems":[{"id":2,"uris":["http://zotero.org/users/8906743/items/6CM7JZIJ",["http://zotero.org/users/8906743/items/6CM7JZIJ"]],"itemData":{"id":2,"type":"book","collection-title":"West African Studies","ISBN":"978-92-64-57958-3","language":"en","note":"DOI: 10.1787/b6bccb81-en","publisher":"OECD","source":"DOI.org (Crossref)","title":"Africa's Urbanisation Dynamics 2020: Africapolis, Mapping a New Urban Geography","title-short":"Africa's Urbanisation Dynamics 2020","URL":"https://www.oecd-ilibrary.org/development/africa-s-urbanisation-dynamics-2020_b6bccb81-en","author":[{"literal":"OECD"},{"literal":"Sahel and West Africa Club"}],"accessed":{"date-parts":[["2022",2,4]]},"issued":{"date-parts":[["2020",2,7]]}}},{"id":391,"uris":["http://zotero.org/users/8906743/items/AV4FGLXH",["http://zotero.org/users/8906743/items/AV4FGLXH"]],"itemData":{"id":391,"type":"report","abstract":"This brief presents a factual and retrospective analysis of the relationships between urbanisation and demography in North Africa and West Africa. It shows that the process of demographic transition is now fully underway in this region. North of the Sahara the new demographic equilibrium features a birth rate higher than expected, according to theoretical model predictions, resulting in continuous population growth. Over 70% of the population now lives in cities, a number that is expected to continue to rise in the coming decades. South of the Sahara all countries have seen death rates plummet, followed by a decrease in birth rates. The gap between the change in the two variables has contributed to spectacular natural growth in the space of a few decades. This growth is occurring in parallel with a redistribution of populations to urban areas, which are now home to close to one of every two inhabitants. West African urbanisation is likely to accelerate the social, economic and political changes that favour the demographic transition. One of the main challenges facing the region is the question of how to reduce the regional variations seen in fertility rates between the continent’s urban and rural areas.","genre":"West African Papers","language":"en","note":"collection-title: West African Papers\nvolume: 33\nDOI: 10.1787/4fa52e9c-en","number":"33","source":"DOI.org (Crossref)","title":"Urbanisation and demography in North and West Africa, 1950-2020","URL":"https://www.oecd-ilibrary.org/development/urbanisation-and-demography-in-north-and-west-africa-1950-2020_4fa52e9c-en","author":[{"family":"Walther","given":"Olivier J"}],"accessed":{"date-parts":[["2022",2,7]]},"issued":{"date-parts":[["2021",11,11]]}}}],"schema":"https://github.com/citation-style-language/schema/raw/master/csl-citation.json"}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(OECD &amp; SWAC, 2020; Walther, 2021)</w:t>
      </w:r>
      <w:r w:rsidRPr="000F3162">
        <w:rPr>
          <w:rFonts w:ascii="Times New Roman" w:eastAsia="Aptos" w:hAnsi="Times New Roman"/>
        </w:rPr>
        <w:fldChar w:fldCharType="end"/>
      </w:r>
      <w:r w:rsidRPr="000F3162">
        <w:rPr>
          <w:rFonts w:ascii="Times New Roman" w:eastAsia="Aptos" w:hAnsi="Times New Roman"/>
        </w:rPr>
        <w:t xml:space="preserve">. In contrast, it took about a century in North America and three centuries in Europe to achieve similar increases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{"citationID":"2Mg6W1LD","properties":{"formattedCitation":"(Curiel et al., 2017)","plainCitation":"(Curiel et al., 2017)","noteIndex":0},"citationItems":[{"id":402,"uris":["http://zotero.org/users/8906743/items/NK7W42RS",["http://zotero.org/users/8906743/items/NK7W42RS"]],"itemData":{"id":402,"type":"report","abstract":"Over the past 60 years, urbanisation and cities have fundamentally transformed the social, economic and political geography of West Africa. The number of people living in cities increased from 5 million in 1950 to 133 million in 2010. During the same period, the number of towns and cities with more than 10 000 inhabitants grew from 159 to close to 2 000. A large majority of these agglomerations are secondary cities and small towns that act as hubs and catalysts for local and regional production and supply chains, as well as for the transfer of goods, people and information, linking the local and regional economies to the global economy. The intensity of the spatial interactions of cities has strongly increased with population growth, urbanisation and higher urban density. This paper, part of ongoing work within the Sahel and West Africa Club Secretariat to integrate urbanisation and city growth into analyses of major trends in the region, lays the foundation for the development of a systematic method to capture and describe these spatial interactions. It does so by examining four variables: city size, market potential, urbanisation level and local dominance. These variables, in turn, help to define seven different city groups that can be used to classify West African agglomerations. The initial results of this work reveal the diversity and distinctive behaviours of cities in the region, providing a new perspective on urbanisation dynamics and the influence of spatial variables on urban growth rates, the emergence of new agglomerations and the clustering of cities.","genre":"West African Papers","language":"en","note":"collection-title: West African Papers\nvolume: 5\nDOI: 10.1787/57b30601-en","number":"5","source":"DOI.org (Crossref)","title":"Cities and Spatial Interactions in West Africa","URL":"https://www.oecd-ilibrary.org/development/cities-and-spatial-interactions-in-west-africa_57b30601-en","author":[{"family":"Curiel","given":"Rafael Prieto"},{"family":"Heinrigs","given":"Philipp"},{"family":"Heo","given":"Inhoi"}],"accessed":{"date-parts":[["2022",2,4]]},"issued":{"date-parts":[["2017",3,31]]}}}],"schema":"https://github.com/citation-style-language/schema/raw/master/csl-citation.json"}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(Curiel et al., 2017)</w:t>
      </w:r>
      <w:r w:rsidRPr="000F3162">
        <w:rPr>
          <w:rFonts w:ascii="Times New Roman" w:eastAsia="Aptos" w:hAnsi="Times New Roman"/>
        </w:rPr>
        <w:fldChar w:fldCharType="end"/>
      </w:r>
      <w:r w:rsidRPr="000F3162">
        <w:rPr>
          <w:rFonts w:ascii="Times New Roman" w:eastAsia="Aptos" w:hAnsi="Times New Roman"/>
        </w:rPr>
        <w:t xml:space="preserve">. In 2020, the annual increase in urban population was 0.4% in Europe, 1.2% in North America, and 3.5% in Africa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{"citationID":"JF6gTnWs","properties":{"formattedCitation":"(United Nations, 2019)","plainCitation":"(United Nations, 2019)","noteIndex":0},"citationItems":[{"id":550,"uris":["http://zotero.org/users/8906743/items/6N6M89MP"],"itemData":{"id":550,"type":"book","ISBN":"978-92-1-148316-1","language":"en","note":"OCLC: 1110010089","source":"Open WorldCat","title":"World population prospects Highlights, 2019 revision Highlights, 2019 revision","author":[{"literal":"United Nations"}],"issued":{"date-parts":[["2019"]]}}}],"schema":"https://github.com/citation-style-language/schema/raw/master/csl-citation.json"}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(United Nations, 2019)</w:t>
      </w:r>
      <w:r w:rsidRPr="000F3162">
        <w:rPr>
          <w:rFonts w:ascii="Times New Roman" w:eastAsia="Aptos" w:hAnsi="Times New Roman"/>
        </w:rPr>
        <w:fldChar w:fldCharType="end"/>
      </w:r>
      <w:r w:rsidRPr="000F3162">
        <w:rPr>
          <w:rFonts w:ascii="Times New Roman" w:eastAsia="Aptos" w:hAnsi="Times New Roman"/>
        </w:rPr>
        <w:t xml:space="preserve">. The rapid urbanization rates in low-income countries, especially </w:t>
      </w:r>
      <w:r w:rsidR="0012183F">
        <w:rPr>
          <w:rFonts w:ascii="Times New Roman" w:eastAsia="Aptos" w:hAnsi="Times New Roman"/>
        </w:rPr>
        <w:t xml:space="preserve">in </w:t>
      </w:r>
      <w:r w:rsidRPr="000F3162">
        <w:rPr>
          <w:rFonts w:ascii="Times New Roman" w:eastAsia="Aptos" w:hAnsi="Times New Roman"/>
        </w:rPr>
        <w:t xml:space="preserve">Africa, are driven by natural population increase, rural-urban migration, and a complex web of political, cultural, and biophysical factors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{"citationID":"YF9K3FX3","properties":{"formattedCitation":"(Adhikari &amp; de Beurs, 2017; G\\uc0\\u252{}neralp et al., 2017; Herrmann et al., 2020)","plainCitation":"(Adhikari &amp; de Beurs, 2017; Güneralp et al., 2017; Herrmann et al., 2020)","noteIndex":0},"citationItems":[{"id":435,"uris":["http://zotero.org/users/8906743/items/QCAN7RTJ",["http://zotero.org/users/8906743/items/QCAN7RTJ"]],"itemData":{"id":435,"type":"article-journal","abstract":"Urban area expansion is happening at much faster rates in Asian and African cities than elsewhere in the world. This study uses multi-temporal Landsat images to map the urban extent of six small to large cities in West Africa at four diﬀerent time steps from the early 1970s–2010. The selected cities are Kumasi of Ghana, Daloa of Cote d’Ivoire, Abuja and Kano in Nigeria, Kindia of Guinea, and Ouagadougou of Burkina Faso. All cities revealed signiﬁcant urban growth in both urban area and population; however, it was apparent that there was a lot of variability in urban area development. Exponential urban growth rates in the cities were measured as ranging between 0.026 and 0.077, with allometric scaling factors matching those of other countries.","container-title":"Journal of Land Use Science","DOI":"10.1080/1747423X.2017.1280550","ISSN":"1747-423X, 1747-4248","issue":"2-3","journalAbbreviation":"Journal of Land Use Science","language":"en","page":"105-124","source":"DOI.org (Crossref)","title":"Growth in urban extent and allometric analysis of West African cities","URL":"https://www.tandfonline.com/doi/full/10.1080/1747423X.2017.1280550","volume":"12","author":[{"family":"Adhikari","given":"Pradeep"},{"family":"Beurs","given":"Kirsten M.","non-dropping-particle":"de"}],"accessed":{"date-parts":[["2022",2,4]]},"issued":{"date-parts":[["2017",5,4]]}}},{"id":556,"uris":["http://zotero.org/users/8906743/items/LHAIUB33",["http://zotero.org/users/8906743/items/LHAIUB33"]],"itemData":{"id":556,"type":"article-journal","abstract":"Africa, a continent exceptionally rich in biodiversity, is rapidly urbanizing. Africa’s urbanization is manifest in the growth of its megacities as well as that of its smaller towns and cities. The conservation planning and practice will increasingly need to account for direct and indirect impacts of the continent’s urbanization. The objective of our study is to pinpoint the outstanding challenges and opportunities afforded by the growing cities on the continent to the conservation goals and practices. While there have been many studies on the impacts of urbanization and development on conservation in Africa these studies tended to focus on speciﬁc issues. Here, we provide a synthesis of this body of work supported by new analysis. Urban areas, growing both in population and in land cover, pose threats to the integrity of the continent’s ecosystems and biodiversity but their growth also create opportunities for conservation. The burgeoning urban populations, especially in Sub-Saharan Africa, increase the strain on already insufﬁcient infrastructure and bring new governance challenges. Yet, Africa’s ecosystems can serve as foundations for green infrastructure to serve the needs of its urban populations while safeguarding fragile biodiversity. Overall, while worsening social problems overshadow the concerns for biodiversity there are also promising initiatives to bring these concerns into the fold to address social, institutional, and ecological challenges that emerge with the continued urbanization of the continent.","container-title":"Environmental Research Letters","DOI":"10.1088/1748-9326/aa94fe","ISSN":"1748-9326","issue":"1","journalAbbreviation":"Environ. Res. Lett.","language":"en","page":"015002","source":"DOI.org (Crossref)","title":"Urbanization in Africa: challenges and opportunities for conservation","title-short":"Urbanization in Africa","URL":"https://iopscience.iop.org/article/10.1088/1748-9326/aa94fe","volume":"13","author":[{"family":"Güneralp","given":"Burak"},{"family":"Lwasa","given":"Shuaib"},{"family":"Masundire","given":"Hillary"},{"family":"Parnell","given":"Susan"},{"family":"Seto","given":"Karen C"}],"accessed":{"date-parts":[["2021",1,31]]},"issued":{"date-parts":[["2017",12,1]]}}},{"id":557,"uris":["http://zotero.org/users/8906743/items/IWQYLSP6",["http://zotero.org/users/8906743/items/IWQYLSP6"]],"itemData":{"id":557,"type":"article-journal","abstract":"Abstract\n            \n              Rapid population growth in West Africa has exerted increasing pressures on land resources, leading to observable changes in the land cover and land use. However, spatially explicit and thematically detailed quantitative analyses of land cover change over long time periods and at regional scale have been lacking. Here we present a change intensity analysis of a Landsat-based, visually interpreted, multi-date (1975, 2000, 2013) land cover dataset of West Africa, stratified into five bioclimatic sub-regions. Change intensities accelerated over time and increased from the arid to the sub-humid sub-regions, as did population densities. The area occupied by human-dominated land cover categories more than doubled from 493,000 km\n              2\n              in 1975 to 1,121,000 km\n              2\n              in 2013. Land cover change intensities within 10 km of new settlement locations exceeded the region-wide average by up to a factor of three, substantiating the significant role of population pressure as a force of change. The spatial patterns of the human footprint in West Africa, however, suggest that not only population pressure but also changing socioeconomic conditions and policies shape the complexity of land cover outcomes.","container-title":"Communications Earth &amp; Environment","DOI":"10.1038/s43247-020-00053-y","ISSN":"2662-4435","issue":"1","journalAbbreviation":"Commun Earth Environ","language":"en","page":"53","source":"DOI.org (Crossref)","title":"Accelerating land cover change in West Africa over four decades as population pressure increased","URL":"http://www.nature.com/articles/s43247-020-00053-y","volume":"1","author":[{"family":"Herrmann","given":"Stefanie M."},{"family":"Brandt","given":"Martin"},{"family":"Rasmussen","given":"Kjeld"},{"family":"Fensholt","given":"Rasmus"}],"accessed":{"date-parts":[["2022",1,30]]},"issued":{"date-parts":[["2020",12]]}}}],"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(Adhikari &amp; de Beurs, 2017; Güneralp et al., 2017; Herrmann et al., 2020)</w:t>
      </w:r>
      <w:r w:rsidRPr="000F3162">
        <w:rPr>
          <w:rFonts w:ascii="Times New Roman" w:eastAsia="Aptos" w:hAnsi="Times New Roman"/>
        </w:rPr>
        <w:fldChar w:fldCharType="end"/>
      </w:r>
      <w:r w:rsidRPr="000F3162">
        <w:rPr>
          <w:rFonts w:ascii="Times New Roman" w:eastAsia="Aptos" w:hAnsi="Times New Roman"/>
        </w:rPr>
        <w:t>.</w:t>
      </w:r>
    </w:p>
    <w:p w14:paraId="7722FF36" w14:textId="4A088C68" w:rsidR="006153B5" w:rsidRPr="000F3162" w:rsidRDefault="006153B5" w:rsidP="006153B5">
      <w:pPr>
        <w:ind w:firstLine="360"/>
        <w:rPr>
          <w:rFonts w:ascii="Times New Roman" w:eastAsia="Aptos" w:hAnsi="Times New Roman"/>
        </w:rPr>
      </w:pPr>
      <w:r w:rsidRPr="000F3162">
        <w:rPr>
          <w:rFonts w:ascii="Times New Roman" w:eastAsia="Aptos" w:hAnsi="Times New Roman"/>
        </w:rPr>
        <w:t xml:space="preserve"> Urbanization in high-income and low-income countries is associated with increased industrialization, innovation, and economic growth. Ample research, however, has also found that urbanization causes several negative impacts on people, including heat</w:t>
      </w:r>
      <w:r w:rsidR="0045207E">
        <w:rPr>
          <w:rFonts w:ascii="Times New Roman" w:eastAsia="Aptos" w:hAnsi="Times New Roman"/>
        </w:rPr>
        <w:t xml:space="preserve"> </w:t>
      </w:r>
      <w:r w:rsidRPr="000F3162">
        <w:rPr>
          <w:rFonts w:ascii="Times New Roman" w:eastAsia="Aptos" w:hAnsi="Times New Roman"/>
        </w:rPr>
        <w:t xml:space="preserve">waves and food insecurity. It also impacts the environment in many ways, including </w:t>
      </w:r>
      <w:r w:rsidR="00C35631">
        <w:rPr>
          <w:rFonts w:ascii="Times New Roman" w:eastAsia="Aptos" w:hAnsi="Times New Roman"/>
        </w:rPr>
        <w:t xml:space="preserve">habitat </w:t>
      </w:r>
      <w:r w:rsidR="00B5461D">
        <w:rPr>
          <w:rFonts w:ascii="Times New Roman" w:eastAsia="Aptos" w:hAnsi="Times New Roman"/>
        </w:rPr>
        <w:t>fragmentation,</w:t>
      </w:r>
      <w:r w:rsidR="00073FB4">
        <w:rPr>
          <w:rFonts w:ascii="Times New Roman" w:eastAsia="Aptos" w:hAnsi="Times New Roman"/>
        </w:rPr>
        <w:t xml:space="preserve"> </w:t>
      </w:r>
      <w:r w:rsidRPr="000F3162">
        <w:rPr>
          <w:rFonts w:ascii="Times New Roman" w:eastAsia="Aptos" w:hAnsi="Times New Roman"/>
        </w:rPr>
        <w:t>biodiversity</w:t>
      </w:r>
      <w:r w:rsidR="00C35631">
        <w:rPr>
          <w:rFonts w:ascii="Times New Roman" w:eastAsia="Aptos" w:hAnsi="Times New Roman"/>
        </w:rPr>
        <w:t xml:space="preserve"> </w:t>
      </w:r>
      <w:r w:rsidRPr="000F3162">
        <w:rPr>
          <w:rFonts w:ascii="Times New Roman" w:eastAsia="Aptos" w:hAnsi="Times New Roman"/>
        </w:rPr>
        <w:t xml:space="preserve">loss, and climate change challenges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{"citationID":"13YVq6WO","properties":{"formattedCitation":"(R. A. Acheampong et al., 2017; Adhikari &amp; de Beurs, 2017; Agyemang &amp; Silva, 2019; Mahmoud et al., 2016; Schug et al., 2018; Stow et al., 2016)","plainCitation":"(R. A. Acheampong et al., 2017; Adhikari &amp; de Beurs, 2017; Agyemang &amp; Silva, 2019; Mahmoud et al., 2016; Schug et al., 2018; Stow et al., 2016)","dontUpdate":true,"noteIndex":0},"citationItems":[{"id":428,"uris":["http://zotero.org/users/8906743/items/E4NFG4TM",["http://zotero.org/users/8906743/items/E4NFG4TM"]],"itemData":{"id":428,"type":"article-journal","container-title":"GeoJournal","DOI":"10.1007/s10708-016-9719-x","ISSN":"0343-2521, 1572-9893","issue":"4","journalAbbreviation":"GeoJournal","language":"en","page":"823-840","source":"DOI.org (Crossref)","title":"Quantifying the spatio-temporal patterns of settlement growth in a metropolitan region of Ghana","URL":"http://link.springer.com/10.1007/s10708-016-9719-x","volume":"82","author":[{"family":"Acheampong","given":"Ransford A."},{"family":"Agyemang","given":"Felix S. K."},{"family":"Abdul-Fatawu","given":"Mohammed"}],"accessed":{"date-parts":[["2022",2,4]]},"issued":{"date-parts":[["2017",8]]}}},{"id":435,"uris":["http://zotero.org/users/8906743/items/QCAN7RTJ",["http://zotero.org/users/8906743/items/QCAN7RTJ"]],"itemData":{"id":435,"type":"article-journal","abstract":"Urban area expansion is happening at much faster rates in Asian and African cities than elsewhere in the world. This study uses multi-temporal Landsat images to map the urban extent of six small to large cities in West Africa at four diﬀerent time steps from the early 1970s–2010. The selected cities are Kumasi of Ghana, Daloa of Cote d’Ivoire, Abuja and Kano in Nigeria, Kindia of Guinea, and Ouagadougou of Burkina Faso. All cities revealed signiﬁcant urban growth in both urban area and population; however, it was apparent that there was a lot of variability in urban area development. Exponential urban growth rates in the cities were measured as ranging between 0.026 and 0.077, with allometric scaling factors matching those of other countries.","container-title":"Journal of Land Use Science","DOI":"10.1080/1747423X.2017.1280550","ISSN":"1747-423X, 1747-4248","issue":"2-3","journalAbbreviation":"Journal of Land Use Science","language":"en","page":"105-124","source":"DOI.org (Crossref)","title":"Growth in urban extent and allometric analysis of West African cities","URL":"https://www.tandfonline.com/doi/full/10.1080/1747423X.2017.1280550","volume":"12","author":[{"family":"Adhikari","given":"Pradeep"},{"family":"Beurs","given":"Kirsten M.","non-dropping-particle":"de"}],"accessed":{"date-parts":[["2022",2,4]]},"issued":{"date-parts":[["2017",5,4]]}}},{"id":95,"uris":["http://zotero.org/users/8906743/items/2U7P8JHP"],"itemData":{"id":95,"type":"article-journal","archive_location":"WOS:000464479200002","container-title":"Applied Geography","DOI":"10.1016/j.apgeog.2019.02.011","ISSN":"0143-6228","journalAbbreviation":"Applied Geography","page":"15-24","title":"Simulating the urban growth of a predominantly informal Ghanaian city-region with a cellular automata model: Implications for urban planning and policy","volume":"105","author":[{"family":"Agyemang","given":"Felix S. K."},{"family":"Silva","given":"Elisabete"}],"issued":{"date-parts":[["2019",4]]}}},{"id":28,"uris":["http://zotero.org/users/8906743/items/IN8ZTXJW",["http://zotero.org/users/8906743/items/IN8ZTXJW"]],"itemData":{"id":28,"type":"article-journal","archive_location":"WOS:000373627400041","container-title":"Remote Sensing","DOI":"10.3390/rs8030220","ISSN":"2072-4292","issue":"3","title":"Analysis of Settlement Expansion and Urban Growth Modelling Using Geoinformation for Assessing Potential Impacts of Urbanization on Climate in Abuja City, Nigeria","volume":"8","author":[{"family":"Mahmoud","given":"Mahmoud Ibrahim"},{"family":"Duker","given":"Alfred"},{"family":"Conrad","given":"Christopher"},{"family":"Thiel","given":"Michael"},{"family":"Ahmad","given":"Halilu Shaba"}],"issued":{"date-parts":[["2016",3]]}}},{"id":46,"uris":["http://zotero.org/users/8906743/items/5F3G9Q6N",["http://zotero.org/users/8906743/items/5F3G9Q6N"]],"itemData":{"id":46,"type":"article-journal","archive_location":"WOS:000431164300016","container-title":"REMOTE SENSING OF ENVIRONMENT","DOI":"10.1016/j.rse.2018.03.022","ISSN":"0034-4257","page":"217-228","title":"Mapping patterns of urban development in Ouagadougou, Burkina Faso, using machine learning regression modeling with bi-seasonal Landsat time series","volume":"210","author":[{"family":"Schug","given":"Franz"},{"family":"Okujeni","given":"Akpona"},{"family":"Hauer","given":"Janine"},{"family":"Hostert","given":"Patrick"},{"family":"Nielsen","given":"Jonas O."},{"family":"Linden","given":"Sebastian","non-dropping-particle":"van der"}],"issued":{"date-parts":[["2018",6,1]]}}},{"id":377,"uris":["http://zotero.org/users/8906743/items/3LPPMXMH",["http://zotero.org/users/8906743/items/3LPPMXMH"]],"itemData":{"id":377,"type":"article-journal","abstract":"We analyze amounts and spatial patterns of land cover and land use change (LCLUC) and particularly change to Built for four contiguous regions of southern Ghana between 2000 and 2010. Our objective is to understand the degree of urban expansion relative to urban densiﬁcation during this time frame, to understand the relationship between population growth and LCLUC at the census district level, and to explain the patterns of New Built LCLUC throughout this study area. During the study period 1.5% of the study area transitioned to Built, an increase of 56% Built area since 2000, while population increased by 33%. Most (84% of total study area) of this change to Built involved conversion from Agriculture al land use and occurred predominantly in suburban and periurban areas zones of the Accra and Kumasi metropolitan areas. While total population and amount of Built LCLU variables co-vary strongly at the census district level at the beginning and end of the study period, change in population and Built are less strongly correlated. In fact, we observe that new Built development increased at a greater rate than population growth within peri-urban areas of Accra and Kumasi, frequently occurring as spaced residential land use composed of large houses with minimal urban infrastructure.","container-title":"Applied Geography","DOI":"10.1016/j.apgeog.2016.04.006","ISSN":"01436228","journalAbbreviation":"Applied Geography","language":"en","page":"32-43","source":"DOI.org (Crossref)","title":"Inter-regional pattern of urbanization in southern Ghana in the first decade of the new millennium","URL":"https://linkinghub.elsevier.com/retrieve/pii/S0143622816300509","volume":"71","author":[{"family":"Stow","given":"Douglas A."},{"family":"Weeks","given":"John R."},{"family":"Shih","given":"Hsiao-chien"},{"family":"Coulter","given":"Lloyd L."},{"family":"Johnson","given":"Harry"},{"family":"Tsai","given":"Yu-Hsin"},{"family":"Kerr","given":"Andrew"},{"family":"Benza","given":"Magdalena"},{"family":"Mensah","given":"Foster"}],"accessed":{"date-parts":[["2022",1,30]]},"issued":{"date-parts":[["2016",6]]}}}],"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(Mahmoud et al., 2016; Schug et al., 2018; Stow et al., 2016)</w:t>
      </w:r>
      <w:r w:rsidRPr="000F3162">
        <w:rPr>
          <w:rFonts w:ascii="Times New Roman" w:eastAsia="Aptos" w:hAnsi="Times New Roman"/>
        </w:rPr>
        <w:fldChar w:fldCharType="end"/>
      </w:r>
      <w:r w:rsidRPr="000F3162">
        <w:rPr>
          <w:rFonts w:ascii="Times New Roman" w:eastAsia="Aptos" w:hAnsi="Times New Roman"/>
        </w:rPr>
        <w:t>. Most negative impacts are due to urban expansion, defined as the increase in</w:t>
      </w:r>
      <w:r w:rsidR="00D75E02">
        <w:rPr>
          <w:rFonts w:ascii="Times New Roman" w:eastAsia="Aptos" w:hAnsi="Times New Roman"/>
        </w:rPr>
        <w:t xml:space="preserve"> </w:t>
      </w:r>
      <w:r w:rsidRPr="000F3162">
        <w:rPr>
          <w:rFonts w:ascii="Times New Roman" w:eastAsia="Aptos" w:hAnsi="Times New Roman"/>
        </w:rPr>
        <w:t>impervious surfaces</w:t>
      </w:r>
      <w:r w:rsidR="00621410">
        <w:rPr>
          <w:rFonts w:ascii="Times New Roman" w:eastAsia="Aptos" w:hAnsi="Times New Roman"/>
        </w:rPr>
        <w:t xml:space="preserve"> such as buildings, concrete,</w:t>
      </w:r>
      <w:r w:rsidR="00C0238E">
        <w:rPr>
          <w:rFonts w:ascii="Times New Roman" w:eastAsia="Aptos" w:hAnsi="Times New Roman"/>
        </w:rPr>
        <w:t xml:space="preserve"> </w:t>
      </w:r>
      <w:r w:rsidR="00621410">
        <w:rPr>
          <w:rFonts w:ascii="Times New Roman" w:eastAsia="Aptos" w:hAnsi="Times New Roman"/>
        </w:rPr>
        <w:t>a</w:t>
      </w:r>
      <w:r w:rsidR="00C0238E">
        <w:rPr>
          <w:rFonts w:ascii="Times New Roman" w:eastAsia="Aptos" w:hAnsi="Times New Roman"/>
        </w:rPr>
        <w:t>s</w:t>
      </w:r>
      <w:r w:rsidR="00621410">
        <w:rPr>
          <w:rFonts w:ascii="Times New Roman" w:eastAsia="Aptos" w:hAnsi="Times New Roman"/>
        </w:rPr>
        <w:t>phalt</w:t>
      </w:r>
      <w:r w:rsidR="00550CEA">
        <w:rPr>
          <w:rFonts w:ascii="Times New Roman" w:eastAsia="Aptos" w:hAnsi="Times New Roman"/>
        </w:rPr>
        <w:t>, glass</w:t>
      </w:r>
      <w:r w:rsidR="00BC5AB0">
        <w:rPr>
          <w:rFonts w:ascii="Times New Roman" w:eastAsia="Aptos" w:hAnsi="Times New Roman"/>
        </w:rPr>
        <w:t>,</w:t>
      </w:r>
      <w:r w:rsidR="00550CEA">
        <w:rPr>
          <w:rFonts w:ascii="Times New Roman" w:eastAsia="Aptos" w:hAnsi="Times New Roman"/>
        </w:rPr>
        <w:t xml:space="preserve"> and paved roads</w:t>
      </w:r>
      <w:r w:rsidRPr="000F3162">
        <w:rPr>
          <w:rFonts w:ascii="Times New Roman" w:eastAsia="Aptos" w:hAnsi="Times New Roman"/>
        </w:rPr>
        <w:t xml:space="preserve">. The expansion can occur as sprawl that expands the urban footprint and infills within open spaces in previously developed areas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{"citationID":"hon5YzLf","properties":{"formattedCitation":"(Angel et al., 2021)","plainCitation":"(Angel et al., 2021)","noteIndex":0},"citationItems":[{"id":85,"uris":["http://zotero.org/users/8906743/items/T7YDXD9K","http://zotero.org/users/8906743/items/7739YXBP"],"itemData":{"id":85,"type":"article-journal","abstract":"Serious concerns with accelerating global warming have been translated into urgent calls for increasing urban densities: higher densities are associated with lower greenhouse gas emissions, especially those related to vehicle kilometers traveled (VKT). In order to densify meaningfully in the coming decades, cities need to make room within their existing footprints to accommodate more people. In the absence of adequate room within their existing footprints, cities create more room through outward expansion, typically resulting in lower overall densities. We introduce a quantitative dimension to this process, focusing on the population added to a global stratiﬁed sample of 200 cities between 1990 and 2014. In three-quarters of the cities we studied, the areas built before 1990 gained population and thus densiﬁed signiﬁcantly. On average, however, only one-quarter of the total population added to the 200 cities in the sample in the 1990–2014 period were accommodated within their 1990 urban footprints, while three-quarters were accommodated within their newly built expansion areas. That resulted in an overall decline in average urban densities during the 1990–2014 period despite the near-global, decades-old and rarely questioned consensus that urban expansion must be contained.","container-title":"Sustainability","DOI":"10.3390/su13073835","ISSN":"2071-1050","issue":"7","journalAbbreviation":"Sustainability","language":"en","page":"3835","source":"DOI.org (Crossref)","title":"Densify and Expand: A Global Analysis of Recent Urban Growth","title-short":"Densify and Expand","URL":"https://www.mdpi.com/2071-1050/13/7/3835","volume":"13","author":[{"family":"Angel","given":"Shlomo"},{"family":"Lamson-Hall","given":"Patrick"},{"family":"Blei","given":"Alejandro"},{"family":"Shingade","given":"Sharad"},{"family":"Kumar","given":"Suman"}],"accessed":{"date-parts":[["2022",1,30]]},"issued":{"date-parts":[["2021",3,31]]}}}],"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(Angel et al., 2021)</w:t>
      </w:r>
      <w:r w:rsidRPr="000F3162">
        <w:rPr>
          <w:rFonts w:ascii="Times New Roman" w:eastAsia="Aptos" w:hAnsi="Times New Roman"/>
        </w:rPr>
        <w:fldChar w:fldCharType="end"/>
      </w:r>
      <w:r w:rsidRPr="000F3162">
        <w:rPr>
          <w:rFonts w:ascii="Times New Roman" w:eastAsia="Aptos" w:hAnsi="Times New Roman"/>
        </w:rPr>
        <w:t xml:space="preserve">. </w:t>
      </w:r>
    </w:p>
    <w:p w14:paraId="14A5B221" w14:textId="2F0D16FB" w:rsidR="006153B5" w:rsidRPr="000F3162" w:rsidRDefault="006153B5" w:rsidP="006153B5">
      <w:pPr>
        <w:ind w:firstLine="360"/>
        <w:rPr>
          <w:rFonts w:ascii="Times New Roman" w:eastAsia="Aptos" w:hAnsi="Times New Roman"/>
        </w:rPr>
      </w:pPr>
      <w:r w:rsidRPr="000F3162">
        <w:rPr>
          <w:rFonts w:ascii="Times New Roman" w:eastAsia="Aptos" w:hAnsi="Times New Roman"/>
        </w:rPr>
        <w:t xml:space="preserve">In Africa, the number and distribution of cities are skewed, with few primary cities and many smaller secondary cities. In 2000, there were 5058 cities, </w:t>
      </w:r>
      <w:r w:rsidR="005D378D">
        <w:rPr>
          <w:rFonts w:ascii="Times New Roman" w:eastAsia="Aptos" w:hAnsi="Times New Roman"/>
        </w:rPr>
        <w:t>which</w:t>
      </w:r>
      <w:r w:rsidRPr="000F3162">
        <w:rPr>
          <w:rFonts w:ascii="Times New Roman" w:eastAsia="Aptos" w:hAnsi="Times New Roman"/>
        </w:rPr>
        <w:t xml:space="preserve"> increased to 7720 in 2015, with </w:t>
      </w:r>
      <w:r w:rsidRPr="000F3162">
        <w:rPr>
          <w:rFonts w:ascii="Times New Roman" w:eastAsia="Aptos" w:hAnsi="Times New Roman"/>
        </w:rPr>
        <w:lastRenderedPageBreak/>
        <w:t xml:space="preserve">7645 secondary cities and 75 primary cities </w:t>
      </w:r>
      <w:r w:rsidR="00620DE1" w:rsidRPr="000F3162">
        <w:rPr>
          <w:rFonts w:ascii="Times New Roman" w:eastAsia="Aptos" w:hAnsi="Times New Roman"/>
        </w:rPr>
        <w:fldChar w:fldCharType="begin"/>
      </w:r>
      <w:r w:rsidR="00620DE1" w:rsidRPr="000F3162">
        <w:rPr>
          <w:rFonts w:ascii="Times New Roman" w:eastAsia="Aptos" w:hAnsi="Times New Roman"/>
        </w:rPr>
        <w:instrText xml:space="preserve"> ADDIN ZOTERO_ITEM CSL_CITATION {"citationID":"2EZAvL0e","properties":{"formattedCitation":"(OECD &amp; Sahel and West Africa Club, 2020)","plainCitation":"(OECD &amp; Sahel and West Africa Club, 2020)","dontUpdate":true,"noteIndex":0},"citationItems":[{"id":2,"uris":["http://zotero.org/users/8906743/items/6CM7JZIJ",["http://zotero.org/users/8906743/items/6CM7JZIJ"]],"itemData":{"id":2,"type":"book","collection-title":"West African Studies","ISBN":"978-92-64-57958-3","language":"en","note":"DOI: 10.1787/b6bccb81-en","publisher":"OECD","source":"DOI.org (Crossref)","title":"Africa's Urbanisation Dynamics 2020: Africapolis, Mapping a New Urban Geography","title-short":"Africa's Urbanisation Dynamics 2020","URL":"https://www.oecd-ilibrary.org/development/africa-s-urbanisation-dynamics-2020_b6bccb81-en","author":[{"literal":"OECD"},{"literal":"Sahel and West Africa Club"}],"accessed":{"date-parts":[["2022",2,4]]},"issued":{"date-parts":[["2020",2,7]]}}}],"schema":"https://github.com/citation-style-language/schema/raw/master/csl-citation.json"} </w:instrText>
      </w:r>
      <w:r w:rsidR="00620DE1" w:rsidRPr="000F3162">
        <w:rPr>
          <w:rFonts w:ascii="Times New Roman" w:eastAsia="Aptos" w:hAnsi="Times New Roman"/>
        </w:rPr>
        <w:fldChar w:fldCharType="separate"/>
      </w:r>
      <w:r w:rsidR="00620DE1" w:rsidRPr="000F3162">
        <w:rPr>
          <w:rFonts w:ascii="Times New Roman" w:eastAsia="Aptos" w:hAnsi="Times New Roman"/>
        </w:rPr>
        <w:t>(OECD &amp; SWAC, 2020)</w:t>
      </w:r>
      <w:r w:rsidR="00620DE1" w:rsidRPr="000F3162">
        <w:rPr>
          <w:rFonts w:ascii="Times New Roman" w:eastAsia="Aptos" w:hAnsi="Times New Roman"/>
        </w:rPr>
        <w:fldChar w:fldCharType="end"/>
      </w:r>
      <w:r w:rsidR="002D7388">
        <w:rPr>
          <w:rFonts w:ascii="Times New Roman" w:eastAsia="Aptos" w:hAnsi="Times New Roman"/>
        </w:rPr>
        <w:t xml:space="preserve">. </w:t>
      </w:r>
      <w:r w:rsidRPr="000F3162">
        <w:rPr>
          <w:rFonts w:ascii="Times New Roman" w:eastAsia="Aptos" w:hAnsi="Times New Roman"/>
        </w:rPr>
        <w:t xml:space="preserve">These cities are generally increasing their populations and expanding their footprints. There has been a major emphasis of previous expansion studies and planning policies on the few primary cities in Africa </w:t>
      </w:r>
      <w:r w:rsidRPr="0024536D">
        <w:rPr>
          <w:rFonts w:ascii="Times New Roman" w:eastAsia="Aptos" w:hAnsi="Times New Roman"/>
        </w:rPr>
        <w:fldChar w:fldCharType="begin"/>
      </w:r>
      <w:r w:rsidRPr="0024536D">
        <w:rPr>
          <w:rFonts w:ascii="Times New Roman" w:eastAsia="Aptos" w:hAnsi="Times New Roman"/>
        </w:rPr>
        <w:instrText xml:space="preserve"> ADDIN ZOTERO_ITEM CSL_CITATION {"citationID":"8qZY1kqG","properties":{"formattedCitation":"(Adhikari &amp; de Beurs, 2017; Bilintoh et al., 2023; Mensah et al., 2020; Stow et al., 2016; Tuffour-Mills et al., 2020)","plainCitation":"(Adhikari &amp; de Beurs, 2017; Bilintoh et al., 2023; Mensah et al., 2020; Stow et al., 2016; Tuffour-Mills et al., 2020)","noteIndex":0},"citationItems":[{"id":435,"uris":["http://zotero.org/users/8906743/items/QCAN7RTJ",["http://zotero.org/users/8906743/items/QCAN7RTJ"]],"itemData":{"id":435,"type":"article-journal","abstract":"Urban area expansion is happening at much faster rates in Asian and African cities than elsewhere in the world. This study uses multi-temporal Landsat images to map the urban extent of six small to large cities in West Africa at four diﬀerent time steps from the early 1970s–2010. The selected cities are Kumasi of Ghana, Daloa of Cote d’Ivoire, Abuja and Kano in Nigeria, Kindia of Guinea, and Ouagadougou of Burkina Faso. All cities revealed signiﬁcant urban growth in both urban area and population; however, it was apparent that there was a lot of variability in urban area development. Exponential urban growth rates in the cities were measured as ranging between 0.026 and 0.077, with allometric scaling factors matching those of other countries.","container-title":"Journal of Land Use Science","DOI":"10.1080/1747423X.2017.1280550","ISSN":"1747-423X, 1747-4248","issue":"2-3","journalAbbreviation":"Journal of Land Use Science","language":"en","page":"105-124","source":"DOI.org (Crossref)","title":"Growth in urban extent and allometric analysis of West African cities","URL":"https://www.tandfonline.com/doi/full/10.1080/1747423X.2017.1280550","volume":"12","author":[{"family":"Adhikari","given":"Pradeep"},{"family":"Beurs","given":"Kirsten M.","non-dropping-particle":"de"}],"accessed":{"date-parts":[["2022",2,4]]},"issued":{"date-parts":[["2017",5,4]]}}},{"id":2046,"uris":["http://zotero.org/users/8906743/items/H7IYM29L"],"itemData":{"id":2046,"type":"article-journal","abstract":"In this study, we present methods to assess newly developed urban impervious surface (UIS) datasets derived from satellite imagery of the cities of Kumasi and Accra, Ghana, at three different time points. Each city has three binary maps from 2000, 2011, and 2021, in which one shows the presence of UIS and zero shows its absence. We employed the binaryTimeSeries method to compare the gross gains and losses in the two cities. In addition, we show how three components of change—quantity, allocation, and alternation—compare across the two sites. The results show that both cities experienced a large proportion of gains during the change in impervious surfaces between 2000 and 2011, and 2011 and 2021, with relatively smaller loss proportions and alternations. Comparatively, the results from the components of change show that change is fastest in Kumasi, which had a larger proportion of quantity gain. Our methods show an acceleration in UIS in the two cities during the temporal extent, and this trend is likely to continue with increasing urban populations. As a result, we recommend that the Land Use and Spatial Planning Authority, Town and Country Planning and other stakeholders make contingency plans to regulate the unplanned increase in UIS, since other studies have shown their negative effects on people and the environment.","container-title":"Land","DOI":"10.3390/land12040927","ISSN":"2073-445X","issue":"4","language":"en","license":"http://creativecommons.org/licenses/by/3.0/","note":"number: 4\npublisher: Multidisciplinary Digital Publishing Institute","page":"927","source":"www.mdpi.com","title":"Comparing the Trajectory of Urban Impervious Surface in Two Cities: The Case of Accra and Kumasi, Ghana","title-short":"Comparing the Trajectory of Urban Impervious Surface in Two Cities","URL":"https://www.mdpi.com/2073-445X/12/4/927","volume":"12","author":[{"family":"Bilintoh","given":"Thomas Mumuni"},{"family":"Korah","given":"Andrews"},{"family":"Opuni","given":"Antwi"},{"family":"Akansobe","given":"Adeline"}],"accessed":{"date-parts":[["2024",5,31]]},"issued":{"date-parts":[["2023",4]]}}},{"id":363,"uris":["http://zotero.org/users/8906743/items/FG9RVM5D",["http://zotero.org/users/8906743/items/FG9RVM5D"]],"itemData":{"id":363,"type":"article-journal","abstract":"Rapid urban expansion and development have resulted in the conversion of many natural green surfaces within cities to non-transpiring built-up surfaces, such as concrete and asphalt. These artificial urban surfaces cause substantial variation in land surface temperatures that affect the urban microclimate. Thus, there is the need to substantially quantify the extent of green cover loss within growing cities and its impact on surface temperatures. This study used LANDSAT data to spatially assess the extent of urban expansion and its effect on land surface temperature within Kumasi, Ghana. Subsequently, the results showed significant changes in the land cover, which had an effect on the observed land surface temperatures from 1986 to 2015. Generally, there was an overall increase in the built-up areas by 24.13% (55.81 km2) from 1986 to 2015, with a corresponding increase in the mean land surface temperature by 4.16°C. As such, there is the need for the adoption of sustainable urban planning strategies with green vegetation conservation initiatives for modern city planners. This would help reduce urban land surface temperatures while promoting clean air circulation within the city.","container-title":"Cogent Environmental Science","DOI":"10.1080/23311843.2020.1787738","ISSN":"2331-1843","issue":"1","journalAbbreviation":"Cogent Environmental Science","language":"en","page":"1787738","source":"DOI.org (Crossref)","title":"Impact of urban land cover change on the garden city status and land surface temperature of Kumasi","URL":"https://www.tandfonline.com/doi/full/10.1080/23311843.2020.1787738","volume":"6","author":[{"family":"Mensah","given":"Caleb"},{"family":"Atayi","given":"Julia"},{"family":"Kabo-Bah","given":"Amos T."},{"family":"Švik","given":"Marian"},{"family":"Acheampong","given":"Daniel"},{"family":"Kyere-Boateng","given":"Richard"},{"family":"Prempeh","given":"Nana Agyemang"},{"family":"Marek","given":"Michal V."}],"editor":[{"family":"Li","given":"Fei"}],"accessed":{"date-parts":[["2021",5,3]]},"issued":{"date-parts":[["2020",1,1]]}}},{"id":377,"uris":["http://zotero.org/users/8906743/items/3LPPMXMH",["http://zotero.org/users/8906743/items/3LPPMXMH"]],"itemData":{"id":377,"type":"article-journal","abstract":"We analyze amounts and spatial patterns of land cover and land use change (LCLUC) and particularly change to Built for four contiguous regions of southern Ghana between 2000 and 2010. Our objective is to understand the degree of urban expansion relative to urban densiﬁcation during this time frame, to understand the relationship between population growth and LCLUC at the census district level, and to explain the patterns of New Built LCLUC throughout this study area. During the study period 1.5% of the study area transitioned to Built, an increase of 56% Built area since 2000, while population increased by 33%. Most (84% of total study area) of this change to Built involved conversion from Agriculture al land use and occurred predominantly in suburban and periurban areas zones of the Accra and Kumasi metropolitan areas. While total population and amount of Built LCLU variables co-vary strongly at the census district level at the beginning and end of the study period, change in population and Built are less strongly correlated. In fact, we observe that new Built development increased at a greater rate than population growth within peri-urban areas of Accra and Kumasi, frequently occurring as spaced residential land use composed of large houses with minimal urban infrastructure.","container-title":"Applied Geography","DOI":"10.1016/j.apgeog.2016.04.006","ISSN":"01436228","journalAbbreviation":"Applied Geography","language":"en","page":"32-43","source":"DOI.org (</w:instrText>
      </w:r>
      <w:r w:rsidRPr="0024536D">
        <w:rPr>
          <w:rFonts w:ascii="Times New Roman" w:eastAsia="Aptos" w:hAnsi="Times New Roman"/>
          <w:lang w:val="fr-FR"/>
        </w:rPr>
        <w:instrText xml:space="preserve">Crossref)","title":"Inter-regional pattern of urbanization in southern Ghana in the first decade of the new millennium","URL":"https://linkinghub.elsevier.com/retrieve/pii/S0143622816300509","volume":"71","author":[{"family":"Stow","given":"Douglas A."},{"family":"Weeks","given":"John R."},{"family":"Shih","given":"Hsiao-chien"},{"family":"Coulter","given":"Lloyd L."},{"family":"Johnson","given":"Harry"},{"family":"Tsai","given":"Yu-Hsin"},{"family":"Kerr","given":"Andrew"},{"family":"Benza","given":"Magdalena"},{"family":"Mensah","given":"Foster"}],"accessed":{"date-parts":[["2022",1,30]]},"issued":{"date-parts":[["2016",6]]}}},{"id":379,"uris":["http://zotero.org/users/8906743/items/R4824Z36",["http://zotero.org/users/8906743/items/R4824Z36"]],"itemData":{"id":379,"type":"article-journal","container-title":"Trees, Forests and People","DOI":"10.1016/j.tfp.2020.100040","ISSN":"26667193","journalAbbreviation":"Trees, Forests and People","language":"en","page":"100040","source":"DOI.org (Crossref)","title":"Trends and drivers of land cover changes in a tropical urban forest in Ghana","URL":"https://linkinghub.elsevier.com/retrieve/pii/S2666719320300406","volume":"2","author":[{"family":"Tuffour-Mills","given":"Derrick"},{"family":"Antwi-Agyei","given":"Philip"},{"family":"Addo-Fordjour","given":"Patrick"}],"accessed":{"date-parts":[["2022",2,4]]},"issued":{"date-parts":[["2020",12]]}}}],"schema":"https://github.com/citation-style-language/schema/raw/master/csl-citation.json"} </w:instrText>
      </w:r>
      <w:r w:rsidRPr="0024536D">
        <w:rPr>
          <w:rFonts w:ascii="Times New Roman" w:eastAsia="Aptos" w:hAnsi="Times New Roman"/>
        </w:rPr>
        <w:fldChar w:fldCharType="separate"/>
      </w:r>
      <w:r w:rsidRPr="0024536D">
        <w:rPr>
          <w:rFonts w:ascii="Times New Roman" w:hAnsi="Times New Roman"/>
          <w:lang w:val="fr-FR"/>
        </w:rPr>
        <w:t>(Adhikari &amp; de Beurs, 2017; Bilintoh et al., 2023; Mensah et al., 2020; Stow et al., 2016; Tuffour-Mills et al., 2020)</w:t>
      </w:r>
      <w:r w:rsidRPr="0024536D">
        <w:rPr>
          <w:rFonts w:ascii="Times New Roman" w:eastAsia="Aptos" w:hAnsi="Times New Roman"/>
        </w:rPr>
        <w:fldChar w:fldCharType="end"/>
      </w:r>
      <w:r w:rsidRPr="000F3162">
        <w:rPr>
          <w:rFonts w:ascii="Times New Roman" w:eastAsia="Aptos" w:hAnsi="Times New Roman"/>
          <w:lang w:val="fr-FR"/>
        </w:rPr>
        <w:t xml:space="preserve">. </w:t>
      </w:r>
      <w:r w:rsidRPr="000F3162">
        <w:rPr>
          <w:rFonts w:ascii="Times New Roman" w:eastAsia="Aptos" w:hAnsi="Times New Roman"/>
        </w:rPr>
        <w:t xml:space="preserve">The many smaller cities are important economic growth poles that connect rural areas to megacities and provide </w:t>
      </w:r>
      <w:r w:rsidR="0012183F">
        <w:rPr>
          <w:rFonts w:ascii="Times New Roman" w:eastAsia="Aptos" w:hAnsi="Times New Roman"/>
        </w:rPr>
        <w:t>rural residents with education, health, and market service</w:t>
      </w:r>
      <w:r w:rsidRPr="000F3162">
        <w:rPr>
          <w:rFonts w:ascii="Times New Roman" w:eastAsia="Aptos" w:hAnsi="Times New Roman"/>
        </w:rPr>
        <w:t xml:space="preserve">s </w:t>
      </w:r>
      <w:r w:rsidRPr="0024536D">
        <w:rPr>
          <w:rFonts w:ascii="Times New Roman" w:eastAsia="Aptos" w:hAnsi="Times New Roman"/>
        </w:rPr>
        <w:fldChar w:fldCharType="begin"/>
      </w:r>
      <w:r w:rsidRPr="0024536D">
        <w:rPr>
          <w:rFonts w:ascii="Times New Roman" w:eastAsia="Aptos" w:hAnsi="Times New Roman"/>
        </w:rPr>
        <w:instrText xml:space="preserve"> ADDIN ZOTERO_ITEM CSL_CITATION {"citationID":"10Z3C26v","properties":{"formattedCitation":"(Marais &amp; Cloete, 2017; Shores et al., 2019; Zimmer et al., 2020)","plainCitation":"(Marais &amp; Cloete, 2017; Shores et al., 2019; Zimmer et al., 2020)","noteIndex":0},"citationItems":[{"id":17,"uris":["http://zotero.org/users/8906743/items/G8GA7FF6"],"itemData":{"id":17,"type":"article-journal","abstract":"Following on from earlier work dealing with the role of metropolitan municipalities in managing urbanisation, this article assesses the role played by secondary cities in this regard. Although secondary cities have largely provided adequate infrastructure in line with the demands of population growth, three differences between metropolitan municipalities and secondary cities should be noted. First, on most indicators, secondary cities have more outliers than do metropolitan municipalities. Second, household incomes in secondary cities remain lower than those in metropolitan municipalities. Third, the ability of secondary cities to provide basic infrastructure does not differ much from that of metropolitan municipalities. In fact, there is evidence to suggest that, in terms of certain indicators, secondary cities have managed to deliver these faster than their metropolitan counterparts. We argue that the progress made in secondary cities during the period under consideration cannot be separated from the fact that the economic growth in more than 50% of secondary cities has been linked either to mining or to another dominant economic driver.","container-title":"Development Southern Africa","DOI":"10.1080/0376835X.2016.1259993","ISSN":"0376-835X","issue":"2","note":"publisher: Routledge\n_eprint: https://doi.org/10.1080/0376835X.2016.1259993","page":"182-195","source":"Taylor and Francis+NEJM","title":"The role of secondary cities in managing urbanisation in South Africa","URL":"https://doi.org/10.1080/0376835X.2016.1259993","volume":"34","author":[{"family":"Marais","given":"Lochner"},{"family":"Cloete","given":"Jan"}],"accessed":{"date-parts":[["2023",9,4]]},"issued":{"date-parts":[["2017",3,4]]}}},{"id":640,"uris":["http://zotero.org/users/8906743/items/7KX39JC3"],"itemData":{"id":640,"type":"article-journal","abstract":"Introduction: Urbanization and the continued growth of cities, both demographically and spatially, are topics of research studied across a range of disciplines in the urban millennium — a time in history when the majority of people live in cities. However, scholarly research has focused little attention on secondary cities, despite being the most rapidly growing cities in many low-and middle-income countries. Secondary cities, defined by their function rather than population size, are vital nodes for regional commerce and services. As these cities have historically been understudied, they lack geospatial data and the associated analyses important for local planners to understand how to meet current needs and plan for future growth. With this research, openly available geospatial data are evaluated, including both global (i.e., population distribution), local (i.e., municipal data), and data for four service categories (i.e., education, social, health, and food services). This research presents techniques to provide baseline understanding of data needs and accessibility of services in secondary cities with limited geospatial data and expertise.","container-title":"Applied Network Science","DOI":"10.1007/s41109-019-0229-x","ISSN":"2364-8228","issue":"1","journalAbbreviation":"Appl Netw Sci","language":"en","page":"109","source":"DOI.org (Crossref)","title":"Networks of need: a geospatial analysis of secondary cities","title-short":"Networks of need","URL":"https://appliednetsci.springeropen.com/articles/10.1007/s41109-019-0229-x","volume":"4","author":[{"family":"Shores","given":"Amanda"},{"family":"Johnson","given":"Hanna"},{"family":"Fugate","given":"Debbie"},{"family":"Laituri","given":"Melinda"}],"accessed":{"date-parts":[["2021",1,31]]},"issued":{"date-parts":[["2019",12]]}}},{"id":55,"uris":["http://zotero.org/users/8906743/items/B73BWZCU"],"itemData":{"id":55,"type":"article-journal","abstract":"Objectives We document the spatial distribution and temporal patterns of SUA’s in eight countries across Southern Africa between 1975 and 2015. We further explore the relationships between SUA’s growth rates and climate, land use and geographic proximity to other urban areas.\nMethods Our analysis integrates spatially explicit gridded population, land use, infrastructure and climate datasets. We use descriptive statistics and spatial lag and ordinary least squares regression models to quantify SUA growth rates across three periods and explore factors that are associated with the SUA growth patterns.\nResults Average SUA growth rates are 2.44% between 1975 and 1990. We show that the climate, distance and land use signiﬁcantly relate to urbanization trajectories. In addition, we ﬁnd that the proximity of SUA to the largest cities also signiﬁcantly relates to urban growth.\nConclusions Our results highlight the importance of SUA’s within broader African urbanization trends. SUA are undergoing rapid population changes and are important components of economic development processes and livelihoods. Quantifying patterns of SUA urbanization is important for elevating these small but critically important urban areas into the broader context of sustainable urbanization in Africa.","container-title":"Landscape Ecology","DOI":"10.1007/s10980-020-01086-6","ISSN":"0921-2973, 1572-9761","issue":"11","journalAbbreviation":"Landscape Ecol","language":"en","page":"2501-2516","source":"DOI.org (Crossref)","title":"Dynamics of population growth in secondary cities across southern Africa","URL":"http://link.springer.com/10.1007/s10980-020-01086-6","volume":"35","author":[{"family":"Zimmer","given":"Andrew"},{"family":"Guido","given":"Zack"},{"family":"Tuholske","given":"Cascade"},{"family":"Pakalniskis","given":"Alex"},{"family":"Lopus","given":"Sara"},{"family":"Caylor","given":"Kelly"},{"family":"Evans","given":"Tom"}],"accessed":{"date-parts":[["2021",1,31]]},"issued":{"date-parts":[["2020",11]]}}}],"schema":"https://github.com/citation-style-language/schema/raw/master/csl-citation.json"} </w:instrText>
      </w:r>
      <w:r w:rsidRPr="0024536D">
        <w:rPr>
          <w:rFonts w:ascii="Times New Roman" w:eastAsia="Aptos" w:hAnsi="Times New Roman"/>
        </w:rPr>
        <w:fldChar w:fldCharType="separate"/>
      </w:r>
      <w:r w:rsidRPr="0024536D">
        <w:rPr>
          <w:rFonts w:ascii="Times New Roman" w:hAnsi="Times New Roman"/>
        </w:rPr>
        <w:t>(Marais &amp; Cloete, 2017; Shores et al., 2019; Zimmer et al., 2020)</w:t>
      </w:r>
      <w:r w:rsidRPr="0024536D">
        <w:rPr>
          <w:rFonts w:ascii="Times New Roman" w:eastAsia="Aptos" w:hAnsi="Times New Roman"/>
        </w:rPr>
        <w:fldChar w:fldCharType="end"/>
      </w:r>
      <w:r w:rsidRPr="000F3162">
        <w:rPr>
          <w:rFonts w:ascii="Times New Roman" w:eastAsia="Aptos" w:hAnsi="Times New Roman"/>
        </w:rPr>
        <w:t>. The smaller cities also contribute substantially to regional and global environmental change, making them an important component of urbanization and urban expansion in Africa and worthy of study.</w:t>
      </w:r>
    </w:p>
    <w:p w14:paraId="33AF6B0A" w14:textId="05E493BE" w:rsidR="006153B5" w:rsidRPr="000F3162" w:rsidRDefault="006153B5" w:rsidP="006153B5">
      <w:pPr>
        <w:ind w:firstLine="360"/>
        <w:rPr>
          <w:rFonts w:ascii="Times New Roman" w:eastAsia="Aptos" w:hAnsi="Times New Roman"/>
        </w:rPr>
      </w:pPr>
      <w:r w:rsidRPr="000F3162">
        <w:rPr>
          <w:rFonts w:ascii="Times New Roman" w:eastAsia="Aptos" w:hAnsi="Times New Roman"/>
        </w:rPr>
        <w:t xml:space="preserve">Although urbanization provides positive impacts, which we highlighted in the preceding paragraph, governments in Africa and most low-income countries have limited resources to manage </w:t>
      </w:r>
      <w:r w:rsidR="00596BFF">
        <w:rPr>
          <w:rFonts w:ascii="Times New Roman" w:eastAsia="Aptos" w:hAnsi="Times New Roman"/>
        </w:rPr>
        <w:t xml:space="preserve">unplanned </w:t>
      </w:r>
      <w:r w:rsidRPr="000F3162">
        <w:rPr>
          <w:rFonts w:ascii="Times New Roman" w:eastAsia="Aptos" w:hAnsi="Times New Roman"/>
        </w:rPr>
        <w:t xml:space="preserve">urban expansion. </w:t>
      </w:r>
      <w:r w:rsidR="005D378D">
        <w:rPr>
          <w:rFonts w:ascii="Times New Roman" w:eastAsia="Aptos" w:hAnsi="Times New Roman"/>
        </w:rPr>
        <w:t>Thus,</w:t>
      </w:r>
      <w:r w:rsidRPr="000F3162">
        <w:rPr>
          <w:rFonts w:ascii="Times New Roman" w:eastAsia="Aptos" w:hAnsi="Times New Roman"/>
        </w:rPr>
        <w:t xml:space="preserve"> the potential negative impacts of urban expansion on people and the environment are likely severe, especially in West Africa, one of the hotspots of rapid urbanization and urban expansion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{"citationID":"okMxuAsW","properties":{"formattedCitation":"(A. Korah &amp; Wimberly, 2024)","plainCitation":"(A. Korah &amp; Wimberly, 2024)","dontUpdate":true,"noteIndex":0},"citationItems":[{"id":1977,"uris":["http://zotero.org/users/8906743/items/889NZRIP"],"itemData":{"id":1977,"type":"article-journal","abstract":"Urban expansion studies are often biased toward large cities with populations greater than 1 million, while small and medium cities with smaller populations are overlooked. We mapped and assessed the expansion of 1603 cities across Ghana, Togo, Benin, and Nigeria using impervious surface data generated from Landsat from 2001 to 2020. We classified pixels with &gt;20 % impervious as developed with 93 % overall accuracy. Total developed area increased 2.3-fold from 4001 km² in 2001 to 9402 km² in 2020. Of the expanded area, more than half (54 %) occurred in small and medium cities, and 73 % was sprawl. The mean annual expansion rate was 4.6 %.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Benin and Togo. Although much attention is focused on large megacities, these results show that smaller and more numerous cities contribute substantially to urban expansion and need to be incorporated into regional assessments of urban growth and its impacts.","container-title":"Sustainable Cities and Society","DOI":"10.1016/j.scs.2024.105381","ISSN":"2210-6707","journalAbbreviation":"Sustainable Cities and Society","page":"105381","source":"ScienceDirect","title":"Smaller cities have large impacts on West Africa's expanding urban system","URL":"https://www.sciencedirect.com/science/article/pii/S2210670724002099","volume":"106","author":[{"family":"Korah","given":"Andrews"},{"family":"Wimberly","given":"Michael C."}],"accessed":{"date-parts":[["2024",4,8]]},"issued":{"date-parts":[["2024",7,1]]}}}],"schema":"https://github.com/citation-style-language/schema/raw/master/csl-citation.json"}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(Korah &amp; Wimberly, 2024)</w:t>
      </w:r>
      <w:r w:rsidRPr="000F3162">
        <w:rPr>
          <w:rFonts w:ascii="Times New Roman" w:eastAsia="Aptos" w:hAnsi="Times New Roman"/>
        </w:rPr>
        <w:fldChar w:fldCharType="end"/>
      </w:r>
      <w:r w:rsidRPr="000F3162">
        <w:rPr>
          <w:rFonts w:ascii="Times New Roman" w:eastAsia="Aptos" w:hAnsi="Times New Roman"/>
        </w:rPr>
        <w:t xml:space="preserve">. Therefore, knowledge of the expansion dynamics of cities can support </w:t>
      </w:r>
      <w:r w:rsidR="00596BFF">
        <w:rPr>
          <w:rFonts w:ascii="Times New Roman" w:eastAsia="Aptos" w:hAnsi="Times New Roman"/>
        </w:rPr>
        <w:t xml:space="preserve">sustainable </w:t>
      </w:r>
      <w:r w:rsidRPr="000F3162">
        <w:rPr>
          <w:rFonts w:ascii="Times New Roman" w:eastAsia="Aptos" w:hAnsi="Times New Roman"/>
        </w:rPr>
        <w:t>regional planning efforts in West Africa.</w:t>
      </w:r>
    </w:p>
    <w:p w14:paraId="4A4BD42E" w14:textId="77777777" w:rsidR="00340E10" w:rsidRDefault="00340E10" w:rsidP="00340E10">
      <w:pPr>
        <w:ind w:firstLine="360"/>
        <w:rPr>
          <w:rFonts w:ascii="Times New Roman" w:eastAsia="Aptos" w:hAnsi="Times New Roman"/>
          <w:lang w:bidi="ar-SA"/>
          <w14:ligatures w14:val="standardContextual"/>
        </w:rPr>
      </w:pPr>
    </w:p>
    <w:p w14:paraId="2EC59E9D" w14:textId="77777777" w:rsidR="00093AD1" w:rsidRPr="00103457" w:rsidRDefault="00093AD1" w:rsidP="00093AD1">
      <w:pPr>
        <w:pStyle w:val="Heading2"/>
      </w:pPr>
      <w:bookmarkStart w:id="10" w:name="_Toc172288697"/>
      <w:r w:rsidRPr="00103457">
        <w:t>West Africa urban system</w:t>
      </w:r>
      <w:bookmarkEnd w:id="10"/>
    </w:p>
    <w:p w14:paraId="0B7047FC" w14:textId="240BD797" w:rsidR="00AB064B" w:rsidRPr="000F3162" w:rsidRDefault="00AB064B" w:rsidP="00AB064B">
      <w:pPr>
        <w:ind w:firstLine="360"/>
        <w:rPr>
          <w:rFonts w:ascii="Times New Roman" w:eastAsia="Aptos" w:hAnsi="Times New Roman"/>
        </w:rPr>
      </w:pPr>
      <w:r w:rsidRPr="000F3162">
        <w:rPr>
          <w:rFonts w:ascii="Times New Roman" w:eastAsia="Aptos" w:hAnsi="Times New Roman"/>
        </w:rPr>
        <w:t>The West Africa Urban System (WAUS) comprises cities of various sizes and urban populations from Cabo Verde and Senegal in the west to Nigeria and Niger in the east. The</w:t>
      </w:r>
      <w:r w:rsidRPr="000F3162">
        <w:rPr>
          <w:rFonts w:ascii="Times New Roman" w:eastAsia="Aptos" w:hAnsi="Times New Roman"/>
          <w:b/>
          <w:bCs/>
        </w:rPr>
        <w:t xml:space="preserve"> </w:t>
      </w:r>
      <w:r w:rsidRPr="000F3162">
        <w:rPr>
          <w:rFonts w:ascii="Times New Roman" w:eastAsia="Aptos" w:hAnsi="Times New Roman"/>
        </w:rPr>
        <w:t xml:space="preserve">WAUS had over 165 million urban residents and 47% urbanization level in 2020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{"citationID":"NfMDVadY","properties":{"formattedCitation":"(Walther, 2021)","plainCitation":"(Walther, 2021)","noteIndex":0},"citationItems":[{"id":391,"uris":["http://zotero.org/users/8906743/items/AV4FGLXH",["http://zotero.org/users/8906743/items/AV4FGLXH"]],"itemData":{"id":391,"type":"report","abstract":"This brief presents a factual and retrospective analysis of the relationships between urbanisation and demography in North Africa and West Africa. It shows that the process of demographic transition is now fully underway in this region. North of the Sahara the new demographic equilibrium features a birth rate higher than expected, according to theoretical model predictions, resulting in continuous population growth. Over 70% of the population now lives in cities, a number that is expected to continue to rise in the coming decades. South of the Sahara all countries have seen death rates plummet, followed by a decrease in birth rates. The gap between the change in the two variables has contributed to spectacular natural growth in the space of a few decades. This growth is occurring in parallel with a redistribution of populations to urban areas, which are now home to close to one of every two inhabitants. West African urbanisation is likely to accelerate the social, economic and political changes that favour the demographic transition. One of the main challenges facing the region is the question of how to reduce the regional variations seen in fertility rates between the continent’s urban and rural areas.","genre":"West African Papers","language":"en","note":"collection-title: West African Papers\nvolume: 33\nDOI: 10.1787/4fa52e9c-en","number":"33","source":"DOI.org (Crossref)","title":"Urbanisation and demography in North and West Africa, 1950-2020","URL":"https://www.oecd-ilibrary.org/development/urbanisation-and-demography-in-north-and-west-africa-1950-2020_4fa52e9c-en","author":[{"family":"Walther","given":"Olivier J"}],"accessed":{"date-parts":[["2022",2,7]]},"issued":{"date-parts":[["2021",11,11]]}}}],"schema":"https://github.com/citation-style-language/schema/raw/master/csl-citation.json"}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(Walther, 2021)</w:t>
      </w:r>
      <w:r w:rsidRPr="000F3162">
        <w:rPr>
          <w:rFonts w:ascii="Times New Roman" w:eastAsia="Aptos" w:hAnsi="Times New Roman"/>
        </w:rPr>
        <w:fldChar w:fldCharType="end"/>
      </w:r>
      <w:r w:rsidRPr="000F3162">
        <w:rPr>
          <w:rFonts w:ascii="Times New Roman" w:eastAsia="Aptos" w:hAnsi="Times New Roman"/>
        </w:rPr>
        <w:t xml:space="preserve">. The urban centers grew rapidly from 152 </w:t>
      </w:r>
      <w:r w:rsidR="00D33862">
        <w:rPr>
          <w:rFonts w:ascii="Times New Roman" w:eastAsia="Aptos" w:hAnsi="Times New Roman"/>
        </w:rPr>
        <w:t xml:space="preserve">in 1950 </w:t>
      </w:r>
      <w:r w:rsidR="001E3BCB">
        <w:rPr>
          <w:rFonts w:ascii="Times New Roman" w:eastAsia="Aptos" w:hAnsi="Times New Roman"/>
        </w:rPr>
        <w:t>to</w:t>
      </w:r>
      <w:r w:rsidRPr="000F3162">
        <w:rPr>
          <w:rFonts w:ascii="Times New Roman" w:eastAsia="Aptos" w:hAnsi="Times New Roman"/>
        </w:rPr>
        <w:t xml:space="preserve"> 2296 </w:t>
      </w:r>
      <w:r w:rsidR="001E3BCB">
        <w:rPr>
          <w:rFonts w:ascii="Times New Roman" w:eastAsia="Aptos" w:hAnsi="Times New Roman"/>
        </w:rPr>
        <w:t xml:space="preserve">in </w:t>
      </w:r>
      <w:r w:rsidRPr="000F3162">
        <w:rPr>
          <w:rFonts w:ascii="Times New Roman" w:eastAsia="Aptos" w:hAnsi="Times New Roman"/>
        </w:rPr>
        <w:t xml:space="preserve">2020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{"citationID":"2EZAvL0e","properties":{"formattedCitation":"(OECD &amp; Sahel and West Africa Club, 2020)","plainCitation":"(OECD &amp; Sahel and West Africa Club, 2020)","dontUpdate":true,"noteIndex":0},"citationItems":[{"id":2,"uris":["http://zotero.org/users/8906743/items/6CM7JZIJ",["http://zotero.org/users/8906743/items/6CM7JZIJ"]],"itemData":{"id":2,"type":"book","collection-title":"West African Studies","ISBN":"978-92-64-57958-3","language":"en","note":"DOI: 10.1787/b6bccb81-en","publisher":"OECD","source":"DOI.org (Crossref)","title":"Africa's Urbanisation Dynamics 2020: Africapolis, Mapping a New Urban Geography","title-short":"Africa's Urbanisation Dynamics 2020","URL":"https://www.oecd-ilibrary.org/development/africa-s-urbanisation-dynamics-2020_b6bccb81-en","author":[{"literal":"OECD"},{"literal":"Sahel and West Africa Club"}],"accessed":{"date-parts":[["2022",2,4]]},"issued":{"date-parts":[["2020",2,7]]}}}],"schema":"https://github.com/citation-style-language/schema/raw/master/csl-citation.json"}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(OECD &amp; SWAC, 2020)</w:t>
      </w:r>
      <w:r w:rsidRPr="000F3162">
        <w:rPr>
          <w:rFonts w:ascii="Times New Roman" w:eastAsia="Aptos" w:hAnsi="Times New Roman"/>
        </w:rPr>
        <w:fldChar w:fldCharType="end"/>
      </w:r>
      <w:r w:rsidRPr="000F3162">
        <w:rPr>
          <w:rFonts w:ascii="Times New Roman" w:eastAsia="Aptos" w:hAnsi="Times New Roman"/>
        </w:rPr>
        <w:t xml:space="preserve">. Urban expansion studies have focused on emerging megacities such as Lagos and Accra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{"citationID":"6aHUczoq","properties":{"formattedCitation":"(Adhikari &amp; de Beurs, 2017; Asenso Barnieh et al., 2020; Enoguanbhor et al., 2019; Mensah et al., 2020; Stow et al., 2016; Tuffour-Mills et al., 2020)","plainCitation":"(Adhikari &amp; de Beurs, 2017; Asenso Barnieh et al., 2020; Enoguanbhor et al., 2019; Mensah et al., 2020; Stow et al., 2016; Tuffour-Mills et al., 2020)","noteIndex":0},"citationItems":[{"id":435,"uris":["http://zotero.org/users/8906743/items/QCAN7RTJ",["http://zotero.org/users/8906743/items/QCAN7RTJ"]],"itemData":{"id":435,"type":"article-journal","abstract":"Urban area expansion is happening at much faster rates in Asian and African cities than elsewhere in the world. This study uses multi-temporal Landsat images to map the urban extent of six small to large cities in West Africa at four diﬀerent time steps from the early 1970s–2010. The selected cities are Kumasi of Ghana, Daloa of Cote d’Ivoire, Abuja and Kano in Nigeria, Kindia of Guinea, and Ouagadougou of Burkina Faso. All cities revealed signiﬁcant urban growth in both urban area and population; however, it was apparent that there was a lot of variability in urban area development. Exponential urban growth rates in the cities were measured as ranging between 0.026 and 0.077, with allometric scaling factors matching those of other countries.","container-title":"Journal of Land Use Science","DOI":"10.1080/1747423X.2017.1280550","ISSN":"1747-423X, 1747-4248","issue":"2-3","journalAbbreviation":"Journal of Land Use Science","language":"en","page":"105-124","source":"DOI.org (Crossref)","title":"Growth in urban extent and allometric analysis of West African cities","URL":"https://www.tandfonline.com/doi/full/10.1080/1747423X.2017.1280550","volume":"12","author":[{"family":"Adhikari","given":"Pradeep"},{"family":"Beurs","given":"Kirsten M.","non-dropping-particle":"de"}],"accessed":{"date-parts":[["2022",2,4]]},"issued":{"date-parts":[["2017",5,4]]}}},{"id":617,"uris":["http://zotero.org/users/8906743/items/LZ7ULJSK",["http://zotero.org/users/8906743/items/LZ7ULJSK"]],"itemData":{"id":617,"type":"article-journal","abstract":"Post-classiﬁcation change detection was applied to examine the nature of Land Use Land Cover (LULC) transitions in West Africa in three time intervals (1975–2000, 2000–2013, and 1975–2013). Detailed analyses at hotspots coupled with comparison of LULC transitions in the humid and arid regions were undertaken. Climate and anthropic drivers of environmental change were disentangled by the LULC transitions analyses. The results indicated that human-managed LULC types have replaced the natural LULC types. The total vegetation cover declined by −1.6%. Massive net gains in croplands (107.8%) and settlements (140%) at the expense of natural vegetation were detected in the entire period (1975–2013). Settlements expanded in parallel with cropland, which suggests the eﬀort to increase food production to support the increasing population. Expansion of artiﬁcial water bodies were detected in the humid regions during the period of 1975–2000. Nonetheless, shrinking of water bodies due to encroachment by wetlands and other vegetation was observed in the arid regions, coupled with net loss in the whole of West Africa. The results indicate deforestation and degradation of natural vegetation and water resources in West Africa. Underlying anthropic drivers and a combination of anthropic and climate drivers were detected. LULC transitions in West Africa are location speciﬁc and have both positive and negative implications on the environment. The transitions indicate how processes at the local level, driven by human activities, lead to changes at the continental level and may contribute to global environmental change.","container-title":"Sustainability","DOI":"10.3390/su12208565","ISSN":"2071-1050","issue":"20","journalAbbreviation":"Sustainability","language":"en","page":"8565","source":"DOI.org (Crossref)","title":"Mapping Land Use Land Cover Transitions at Different Spatiotemporal Scales in West Africa","URL":"https://www.mdpi.com/2071-1050/12/20/8565","volume":"12","author":[{"family":"Asenso Barnieh","given":"Beatrice"},{"family":"Jia","given":"Li"},{"family":"Menenti","given":"Massimo"},{"family":"Zhou","given":"Jie"},{"family":"Zeng","given":"Yelong"}],"accessed":{"date-parts":[["2022",2,4]]},"issued":{"date-parts":[["2020",10,16]]}}},{"id":600,"uris":["http://zotero.org/users/8906743/items/NRVVEHJS",["http://zotero.org/users/8906743/items/NRVVEHJS"]],"itemData":{"id":600,"type":"article-journal","abstract":"Rapid urban expansion is a signiﬁcant contributor to land cover change and poses a challenge to environmental sustainability, particularly in less developed countries. Insufﬁcient data about urban expansion hinders effective land use planning. Therefore, a high need to collect, process, and disseminate land cover data exists. This study focuses on urban land cover change detection using Geographic Information Systems and remote sensing methods to produce baseline information in support for land use planning. We applied a supervised classiﬁcation of land cover of LANDSAT data from 1987, 2002, and 2017. We mapped land cover transitions from 1987 to 2017 and computed the net land cover change during this time. Finally, we analyzed the mismatches between the past and current urban land cover and land use plans and quantiﬁed the non-urban development area lost to urban/built-up. Our results indicated an increase in urban/built-up and bare land cover types, while vegetation land cover decreased. We observed mismatches between past/current land cover and the existing land use plan. By providing detailed insights into mismatches between the regional land use plan and unregulated urban expansion, this study provides important information for a critical debate on the role and effectiveness of land use planning for environmental sustainability and sustainable urban development, particularly in less developed countries.","container-title":"Sustainability","DOI":"10.3390/su11051313","ISSN":"2071-1050","issue":"5","journalAbbreviation":"Sustainability","language":"en","page":"1313","source":"DOI.org (Crossref)","title":"Land Cover Change in the Abuja City-Region, Nigeria: Integrating GIS and Remotely Sensed Data to Support Land Use Planning","title-short":"Land Cover Change in the Abuja City-Region, Nigeria","URL":"https://www.mdpi.com/2071-1050/11/5/1313","volume":"11","author":[{"family":"Enoguanbhor","given":"Evidence"},{"family":"Gollnow","given":"Florian"},{"family":"Nielsen","given":"Jonas"},{"family":"Lakes","given":"Tobia"},{"family":"Walker","given":"Blake"}],"accessed":{"date-parts":[["2022",2,4]]},"issued":{"date-parts":[["2019",3,2]]}}},{"id":363,"uris":["http://zotero.org/users/8906743/items/FG9RVM5D",["http://zotero.org/users/8906743/items/FG9RVM5D"]],"itemData":{"id":363,"type":"article-journal","abstract":"Rapid urban expansion and development have resulted in the conversion of many natural green surfaces within cities to non-transpiring built-up surfaces, such as concrete and asphalt. These artificial urban surfaces cause substantial variation in land surface temperatures that affect the urban microclimate. Thus, there is the need to substantially quantify the extent of green cover loss within growing cities and its impact on surface temperatures. This study used LANDSAT data to spatially assess the extent of urban expansion and its effect on land surface temperature within Kumasi, Ghana. Subsequently, the results showed significant changes in the land cover, which had an effect on the observed land surface temperatures from 1986 to 2015. Generally, there was an overall increase in the built-up areas by 24.13% (55.81 km2) from 1986 to 2015, with a corresponding increase in the mean land surface temperature by 4.16°C. As such, there is the need for the adoption of sustainable urban planning strategies with green vegetation conservation initiatives for modern city planners. This would help reduce urban land surface temperatures while promoting clean air circulation within the city.","container-title":"Cogent Environmental Science","DOI":"10.1080/23311843.2020.1787738","ISSN":"2331-1843","issue":"1","journalAbbreviation":"Cogent Environmental Science","language":"en","page":"1787738","source":"DOI.org (Crossref)","title":"Impact of urban land cover change on the garden city status and land surface temperature of Kumasi","URL":"https://www.tandfonline.com/doi/full/10.1080/23311843.2020.1787738","volume":"6","author":[{"family":"Mensah","given":"Caleb"},{"family":"Atayi","given":"Julia"},{"family":"Kabo-Bah","given":"Amos T."},{"family":"Švik","given":"Marian"},{"family":"Acheampong","given":"Daniel"},{"family":"Kyere-Boateng","given":"Richard"},{"family":"Prempeh","given":"Nana Agyemang"},{"family":"Marek","given":"Michal V."}],"editor":[{"family":"Li","given":"Fei"}],"accessed":{"date-parts":[["2021",5,3]]},"issued":{"date-parts":[["2020",1,1]]}}},{"id":377,"uris":["http://zotero.org/users/8906743/items/3LPPMXMH",["http://zotero.org/users/8906743/items/3LPPMXMH"]],"itemData":{"id":377,"type":"article-journal","abstract":"We analyze amounts and spatial patterns of land cover and land use change (LCLUC) and particularly change to Built for four contiguous regions of southern Ghana between 2000 and 2010. Our objective is to understand the degree of urban expansion relative to urban densiﬁcation during this time frame, to understand the relationship between population growth and LCLUC at the census district level, and to explain the patterns of New Built LCLUC throughout this study area. During the study period 1.5% of the study area transitioned to Built, an increase of 56% Built area since 2000, while population increased by 33%. Most (84% of total study area) of this change to Built involved conversion from Agriculture al land use and occurred predominantly in suburban and periurban areas zones of the Accra and Kumasi metropolitan areas. While total population and amount of Built LCLU variables co-vary strongly at the census district level at the beginning and end of the study period, change in population and Built are less strongly correlated. In fact, we observe that new Built development increased at a greater rate than population growth within peri-urban areas of Accra and Kumasi, frequently occurring as spaced residential land use composed of large houses with minimal urban infrastructure.","container-title":"Applied Geography","DOI":"10.1016/j.apgeog.2016.04.006","ISSN":"01436228","journalAbbreviation":"Applied Geography","language":"en","page":"32-43","source":"DOI.org (</w:instrText>
      </w:r>
      <w:r w:rsidRPr="000F3162">
        <w:rPr>
          <w:rFonts w:ascii="Times New Roman" w:eastAsia="Aptos" w:hAnsi="Times New Roman"/>
          <w:lang w:val="fr-FR"/>
        </w:rPr>
        <w:instrText xml:space="preserve">Crossref)","title":"Inter-regional pattern of urbanization in southern Ghana in the first decade of the new millennium","URL":"https://linkinghub.elsevier.com/retrieve/pii/S0143622816300509","volume":"71","author":[{"family":"Stow","given":"Douglas A."},{"family":"Weeks","given":"John R."},{"family":"Shih","given":"Hsiao-chien"},{"family":"Coulter","given":"Lloyd L."},{"family":"Johnson","given":"Harry"},{"family":"Tsai","given":"Yu-Hsin"},{"family":"Kerr","given":"Andrew"},{"family":"Benza","given":"Magdalena"},{"family":"Mensah","given":"Foster"}],"accessed":{"date-parts":[["2022",1,30]]},"issued":{"date-parts":[["2016",6]]}}},{"id":379,"uris":["http://zotero.org/users/8906743/items/R4824Z36",["http://zotero.org/users/8906743/items/R4824Z36"]],"itemData":{"id":379,"type":"article-journal","container-title":"Trees, Forests and People","DOI":"10.1016/j.tfp.2020.100040","ISSN":"26667193","journalAbbreviation":"Trees, Forests and People","language":"en","page":"100040","source":"DOI.org (Crossref)","title":"Trends and drivers of land cover changes in a tropical urban forest in Ghana","URL":"https://linkinghub.elsevier.com/retrieve/pii/S2666719320300406","volume":"2","author":[{"family":"Tuffour-Mills","given":"Derrick"},{"family":"Antwi-Agyei","given":"Philip"},{"family":"Addo-Fordjour","given":"Patrick"}],"accessed":{"date-parts":[["2022",2,4]]},"issued":{"date-parts":[["2020",12]]}}}],"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lang w:val="fr-FR"/>
        </w:rPr>
        <w:t xml:space="preserve">(Adhikari &amp; de Beurs, 2017; Barnieh et al., 2020; Enoguanbhor et al., 2019; Mensah et al., 2020; </w:t>
      </w:r>
      <w:r w:rsidRPr="000F3162">
        <w:rPr>
          <w:rFonts w:ascii="Times New Roman" w:eastAsia="Aptos" w:hAnsi="Times New Roman"/>
          <w:lang w:val="fr-FR"/>
        </w:rPr>
        <w:lastRenderedPageBreak/>
        <w:t>Stow et al., 2016; Tuffour-Mills et al., 2020)</w:t>
      </w:r>
      <w:r w:rsidRPr="000F3162">
        <w:rPr>
          <w:rFonts w:ascii="Times New Roman" w:eastAsia="Aptos" w:hAnsi="Times New Roman"/>
        </w:rPr>
        <w:fldChar w:fldCharType="end"/>
      </w:r>
      <w:r w:rsidRPr="000F3162">
        <w:rPr>
          <w:rFonts w:ascii="Times New Roman" w:eastAsia="Aptos" w:hAnsi="Times New Roman"/>
          <w:lang w:val="fr-FR"/>
        </w:rPr>
        <w:t xml:space="preserve">. </w:t>
      </w:r>
      <w:r w:rsidRPr="000F3162">
        <w:rPr>
          <w:rFonts w:ascii="Times New Roman" w:eastAsia="Aptos" w:hAnsi="Times New Roman"/>
        </w:rPr>
        <w:t xml:space="preserve">However, they have often overlooked the more than 2200 secondary cities with less than 1 million people, even though they currently contain 46% of the West African urban population, and this number is expected to grow above 50% by 2030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{"citationID":"nkSPf2Jn","properties":{"formattedCitation":"(Walther, 2021)","plainCitation":"(Walther, 2021)","noteIndex":0},"citationItems":[{"id":391,"uris":["http://zotero.org/users/8906743/items/AV4FGLXH",["http://zotero.org/users/8906743/items/AV4FGLXH"]],"itemData":{"id":391,"type":"report","abstract":"This brief presents a factual and retrospective analysis of the relationships between urbanisation and demography in North Africa and West Africa. It shows that the process of demographic transition is now fully underway in this region. North of the Sahara the new demographic equilibrium features a birth rate higher than expected, according to theoretical model predictions, resulting in continuous population growth. Over 70% of the population now lives in cities, a number that is expected to continue to rise in the coming decades. South of the Sahara all countries have seen death rates plummet, followed by a decrease in birth rates. The gap between the change in the two variables has contributed to spectacular natural growth in the space of a few decades. This growth is occurring in parallel with a redistribution of populations to urban areas, which are now home to close to one of every two inhabitants. West African urbanisation is likely to accelerate the social, economic and political changes that favour the demographic transition. One of the main challenges facing the region is the question of how to reduce the regional variations seen in fertility rates between the continent’s urban and rural areas.","genre":"West African Papers","language":"en","note":"collection-title: West African Papers\nvolume: 33\nDOI: 10.1787/4fa52e9c-en","number":"33","source":"DOI.org (Crossref)","title":"Urbanisation and demography in North and West Africa, 1950-2020","URL":"https://www.oecd-ilibrary.org/development/urbanisation-and-demography-in-north-and-west-africa-1950-2020_4fa52e9c-en","author":[{"family":"Walther","given":"Olivier J"}],"accessed":{"date-parts":[["2022",2,7]]},"issued":{"date-parts":[["2021",11,11]]}}}],"schema":"https://github.com/citation-style-language/schema/raw/master/csl-citation.json"}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(Walther, 2021)</w:t>
      </w:r>
      <w:r w:rsidRPr="000F3162">
        <w:rPr>
          <w:rFonts w:ascii="Times New Roman" w:eastAsia="Aptos" w:hAnsi="Times New Roman"/>
        </w:rPr>
        <w:fldChar w:fldCharType="end"/>
      </w:r>
      <w:r w:rsidRPr="000F3162">
        <w:rPr>
          <w:rFonts w:ascii="Times New Roman" w:eastAsia="Aptos" w:hAnsi="Times New Roman"/>
        </w:rPr>
        <w:t>. These smaller cities also</w:t>
      </w:r>
      <w:r w:rsidR="002E3E8D">
        <w:rPr>
          <w:rFonts w:ascii="Times New Roman" w:eastAsia="Aptos" w:hAnsi="Times New Roman"/>
        </w:rPr>
        <w:t xml:space="preserve"> provide</w:t>
      </w:r>
      <w:r w:rsidRPr="000F3162">
        <w:rPr>
          <w:rFonts w:ascii="Times New Roman" w:eastAsia="Aptos" w:hAnsi="Times New Roman"/>
        </w:rPr>
        <w:t xml:space="preserve"> markets, education, and service centers for most rural residents</w:t>
      </w:r>
      <w:r w:rsidR="0030622E">
        <w:rPr>
          <w:rFonts w:ascii="Times New Roman" w:eastAsia="Aptos" w:hAnsi="Times New Roman"/>
        </w:rPr>
        <w:t xml:space="preserve"> </w:t>
      </w:r>
      <w:r w:rsidR="002E3E8D" w:rsidRPr="0024536D">
        <w:rPr>
          <w:rFonts w:ascii="Times New Roman" w:eastAsia="Aptos" w:hAnsi="Times New Roman"/>
        </w:rPr>
        <w:fldChar w:fldCharType="begin"/>
      </w:r>
      <w:r w:rsidR="002E3E8D" w:rsidRPr="0024536D">
        <w:rPr>
          <w:rFonts w:ascii="Times New Roman" w:eastAsia="Aptos" w:hAnsi="Times New Roman"/>
        </w:rPr>
        <w:instrText xml:space="preserve"> ADDIN ZOTERO_ITEM CSL_CITATION {"citationID":"10Z3C26v","properties":{"formattedCitation":"(Marais &amp; Cloete, 2017; Shores et al., 2019; Zimmer et al., 2020)","plainCitation":"(Marais &amp; Cloete, 2017; Shores et al., 2019; Zimmer et al., 2020)","noteIndex":0},"citationItems":[{"id":17,"uris":["http://zotero.org/users/8906743/items/G8GA7FF6"],"itemData":{"id":17,"type":"article-journal","abstract":"Following on from earlier work dealing with the role of metropolitan municipalities in managing urbanisation, this article assesses the role played by secondary cities in this regard. Although secondary cities have largely provided adequate infrastructure in line with the demands of population growth, three differences between metropolitan municipalities and secondary cities should be noted. First, on most indicators, secondary cities have more outliers than do metropolitan municipalities. Second, household incomes in secondary cities remain lower than those in metropolitan municipalities. Third, the ability of secondary cities to provide basic infrastructure does not differ much from that of metropolitan municipalities. In fact, there is evidence to suggest that, in terms of certain indicators, secondary cities have managed to deliver these faster than their metropolitan counterparts. We argue that the progress made in secondary cities during the period under consideration cannot be separated from the fact that the economic growth in more than 50% of secondary cities has been linked either to mining or to another dominant economic driver.","container-title":"Development Southern Africa","DOI":"10.1080/0376835X.2016.1259993","ISSN":"0376-835X","issue":"2","note":"publisher: Routledge\n_eprint: https://doi.org/10.1080/0376835X.2016.1259993","page":"182-195","source":"Taylor and Francis+NEJM","title":"The role of secondary cities in managing urbanisation in South Africa","URL":"https://doi.org/10.1080/0376835X.2016.1259993","volume":"34","author":[{"family":"Marais","given":"Lochner"},{"family":"Cloete","given":"Jan"}],"accessed":{"date-parts":[["2023",9,4]]},"issued":{"date-parts":[["2017",3,4]]}}},{"id":640,"uris":["http://zotero.org/users/8906743/items/7KX39JC3"],"itemData":{"id":640,"type":"article-journal","abstract":"Introduction: Urbanization and the continued growth of cities, both demographically and spatially, are topics of research studied across a range of disciplines in the urban millennium — a time in history when the majority of people live in cities. However, scholarly research has focused little attention on secondary cities, despite being the most rapidly growing cities in many low-and middle-income countries. Secondary cities, defined by their function rather than population size, are vital nodes for regional commerce and services. As these cities have historically been understudied, they lack geospatial data and the associated analyses important for local planners to understand how to meet current needs and plan for future growth. With this research, openly available geospatial data are evaluated, including both global (i.e., population distribution), local (i.e., municipal data), and data for four service categories (i.e., education, social, health, and food services). This research presents techniques to provide baseline understanding of data needs and accessibility of services in secondary cities with limited geospatial data and expertise.","container-title":"Applied Network Science","DOI":"10.1007/s41109-019-0229-x","ISSN":"2364-8228","issue":"1","journalAbbreviation":"Appl Netw Sci","language":"en","page":"109","source":"DOI.org (Crossref)","title":"Networks of need: a geospatial analysis of secondary cities","title-short":"Networks of need","URL":"https://appliednetsci.springeropen.com/articles/10.1007/s41109-019-0229-x","volume":"4","author":[{"family":"Shores","given":"Amanda"},{"family":"Johnson","given":"Hanna"},{"family":"Fugate","given":"Debbie"},{"family":"Laituri","given":"Melinda"}],"accessed":{"date-parts":[["2021",1,31]]},"issued":{"date-parts":[["2019",12]]}}},{"id":55,"uris":["http://zotero.org/users/8906743/items/B73BWZCU"],"itemData":{"id":55,"type":"article-journal","abstract":"Objectives We document the spatial distribution and temporal patterns of SUA’s in eight countries across Southern Africa between 1975 and 2015. We further explore the relationships between SUA’s growth rates and climate, land use and geographic proximity to other urban areas.\nMethods Our analysis integrates spatially explicit gridded population, land use, infrastructure and climate datasets. We use descriptive statistics and spatial lag and ordinary least squares regression models to quantify SUA growth rates across three periods and explore factors that are associated with the SUA growth patterns.\nResults Average SUA growth rates are 2.44% between 1975 and 1990. We show that the climate, distance and land use signiﬁcantly relate to urbanization trajectories. In addition, we ﬁnd that the proximity of SUA to the largest cities also signiﬁcantly relates to urban growth.\nConclusions Our results highlight the importance of SUA’s within broader African urbanization trends. SUA are undergoing rapid population changes and are important components of economic development processes and livelihoods. Quantifying patterns of SUA urbanization is important for elevating these small but critically important urban areas into the broader context of sustainable urbanization in Africa.","container-title":"Landscape Ecology","DOI":"10.1007/s10980-020-01086-6","ISSN":"0921-2973, 1572-9761","issue":"11","journalAbbreviation":"Landscape Ecol","language":"en","page":"2501-2516","source":"DOI.org (Crossref)","title":"Dynamics of population growth in secondary cities across southern Africa","URL":"http://link.springer.com/10.1007/s10980-020-01086-6","volume":"35","author":[{"family":"Zimmer","given":"Andrew"},{"family":"Guido","given":"Zack"},{"family":"Tuholske","given":"Cascade"},{"family":"Pakalniskis","given":"Alex"},{"family":"Lopus","given":"Sara"},{"family":"Caylor","given":"Kelly"},{"family":"Evans","given":"Tom"}],"accessed":{"date-parts":[["2021",1,31]]},"issued":{"date-parts":[["2020",11]]}}}],"schema":"https://github.com/citation-style-language/schema/raw/master/csl-citation.json"} </w:instrText>
      </w:r>
      <w:r w:rsidR="002E3E8D" w:rsidRPr="0024536D">
        <w:rPr>
          <w:rFonts w:ascii="Times New Roman" w:eastAsia="Aptos" w:hAnsi="Times New Roman"/>
        </w:rPr>
        <w:fldChar w:fldCharType="separate"/>
      </w:r>
      <w:r w:rsidR="002E3E8D" w:rsidRPr="0024536D">
        <w:rPr>
          <w:rFonts w:ascii="Times New Roman" w:hAnsi="Times New Roman"/>
        </w:rPr>
        <w:t>(Marais &amp; Cloete, 2017; Shores et al., 2019; Zimmer et al., 2020)</w:t>
      </w:r>
      <w:r w:rsidR="002E3E8D" w:rsidRPr="0024536D">
        <w:rPr>
          <w:rFonts w:ascii="Times New Roman" w:eastAsia="Aptos" w:hAnsi="Times New Roman"/>
        </w:rPr>
        <w:fldChar w:fldCharType="end"/>
      </w:r>
      <w:r w:rsidRPr="000F3162">
        <w:rPr>
          <w:rFonts w:ascii="Times New Roman" w:eastAsia="Aptos" w:hAnsi="Times New Roman"/>
        </w:rPr>
        <w:t xml:space="preserve">. Although some studies have analyzed urban changes in secondary cities, a comparative assessment of urban expansion across the entire network of cities is lacking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{"citationID":"WzD0Eke0","properties":{"formattedCitation":"(Chai &amp; Seto, 2019)","plainCitation":"(Chai &amp; Seto, 2019)","noteIndex":0},"citationItems":[{"id":447,"uris":["http://zotero.org/users/8906743/items/BGWHKAXP"],"itemData":{"id":447,"type":"article-journal","abstract":"Sustainable Development Goals (SDG) require sustainable urban development and management for better human life quality. Small urban settlements—those with fewer than 500,000 people—are home to 26.5% of the world’s population. Yet, relatively little research attention has been paid to understanding the structure and dynamics of these smaller cities. In this paper, we propose a new concept, micro-urbanization, to fill this knowledge gap, and develop a methodology to characterize and map it using dense remote sensing time series data and landscape pattern metrics. We define micro-urbanization as a process of urban land change that has five primary characteristics: small, patchy, far from main urban areas, with limited geographic connection with existing urban areas and low urban intensity. We apply the method to two rapidly urbanizing countries in Africa, Nigeria and the Democratic Republic of the Congo. Results show that the methodology is capable of detecting micro-urbanization with relatively high spatial and temporal accuracy.","container-title":"Landscape and Urban Planning","DOI":"10.1016/j.landurbplan.2019.103595","ISSN":"01692046","journalAbbreviation":"Landscape and Urban Planning","language":"en","page":"103595","source":"DOI.org (Crossref)","title":"Conceptualizing and characterizing micro-urbanization: A new perspective applied to Africa","title-short":"Conceptualizing and characterizing micro-urbanization","URL":"https://linkinghub.elsevier.com/retrieve/pii/S0169204619300775","volume":"190","author":[{"family":"Chai","given":"Baohui"},{"family":"Seto","given":"Karen C."}],"accessed":{"date-parts":[["2022",2,4]]},"issued":{"date-parts":[["2019",10]]}}}],"schema":"https://github.com/citation-style-language/schema/raw/master/csl-citation.json"}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(Chai &amp; Seto, 2019)</w:t>
      </w:r>
      <w:r w:rsidRPr="000F3162">
        <w:rPr>
          <w:rFonts w:ascii="Times New Roman" w:eastAsia="Aptos" w:hAnsi="Times New Roman"/>
        </w:rPr>
        <w:fldChar w:fldCharType="end"/>
      </w:r>
      <w:r w:rsidRPr="000F3162">
        <w:rPr>
          <w:rFonts w:ascii="Times New Roman" w:eastAsia="Aptos" w:hAnsi="Times New Roman"/>
        </w:rPr>
        <w:t>. Therefore, there is a need for a comprehensive understanding of historical, current, and future urban expansion patterns and their causes across cities of varying population sizes in the WAUS. This information</w:t>
      </w:r>
      <w:r w:rsidR="00C06A4B">
        <w:rPr>
          <w:rFonts w:ascii="Times New Roman" w:eastAsia="Aptos" w:hAnsi="Times New Roman"/>
        </w:rPr>
        <w:t xml:space="preserve"> </w:t>
      </w:r>
      <w:r w:rsidR="00541A57">
        <w:rPr>
          <w:rFonts w:ascii="Times New Roman" w:eastAsia="Aptos" w:hAnsi="Times New Roman"/>
        </w:rPr>
        <w:t xml:space="preserve">on </w:t>
      </w:r>
      <w:r w:rsidR="005673A8">
        <w:rPr>
          <w:rFonts w:ascii="Times New Roman" w:eastAsia="Aptos" w:hAnsi="Times New Roman"/>
        </w:rPr>
        <w:t>the entire urban system's</w:t>
      </w:r>
      <w:r w:rsidR="00C06A4B">
        <w:rPr>
          <w:rFonts w:ascii="Times New Roman" w:eastAsia="Aptos" w:hAnsi="Times New Roman"/>
        </w:rPr>
        <w:t xml:space="preserve"> </w:t>
      </w:r>
      <w:r w:rsidR="00541A57">
        <w:rPr>
          <w:rFonts w:ascii="Times New Roman" w:eastAsia="Aptos" w:hAnsi="Times New Roman"/>
        </w:rPr>
        <w:t>expansion dynamics</w:t>
      </w:r>
      <w:r w:rsidRPr="000F3162">
        <w:rPr>
          <w:rFonts w:ascii="Times New Roman" w:eastAsia="Aptos" w:hAnsi="Times New Roman"/>
        </w:rPr>
        <w:t xml:space="preserve"> can</w:t>
      </w:r>
      <w:r w:rsidR="00541A57">
        <w:rPr>
          <w:rFonts w:ascii="Times New Roman" w:eastAsia="Aptos" w:hAnsi="Times New Roman"/>
        </w:rPr>
        <w:t xml:space="preserve"> better</w:t>
      </w:r>
      <w:r w:rsidRPr="000F3162">
        <w:rPr>
          <w:rFonts w:ascii="Times New Roman" w:eastAsia="Aptos" w:hAnsi="Times New Roman"/>
        </w:rPr>
        <w:t xml:space="preserve"> support sustainable urban planning at the national and regional levels</w:t>
      </w:r>
      <w:r w:rsidR="000D42ED">
        <w:rPr>
          <w:rFonts w:ascii="Times New Roman" w:eastAsia="Aptos" w:hAnsi="Times New Roman"/>
        </w:rPr>
        <w:t xml:space="preserve"> than studies focusing on indi</w:t>
      </w:r>
      <w:r w:rsidR="00541A57">
        <w:rPr>
          <w:rFonts w:ascii="Times New Roman" w:eastAsia="Aptos" w:hAnsi="Times New Roman"/>
        </w:rPr>
        <w:t>vidual cities.</w:t>
      </w:r>
      <w:r w:rsidRPr="000F3162">
        <w:rPr>
          <w:rFonts w:ascii="Times New Roman" w:eastAsia="Aptos" w:hAnsi="Times New Roman"/>
        </w:rPr>
        <w:t xml:space="preserve"> </w:t>
      </w:r>
    </w:p>
    <w:p w14:paraId="2E96ECB2" w14:textId="77777777" w:rsidR="004B2E2E" w:rsidRDefault="004B2E2E" w:rsidP="00256E0E">
      <w:pPr>
        <w:ind w:firstLine="360"/>
        <w:rPr>
          <w:rFonts w:ascii="Times New Roman" w:eastAsia="Aptos" w:hAnsi="Times New Roman"/>
          <w:lang w:bidi="ar-SA"/>
          <w14:ligatures w14:val="standardContextual"/>
        </w:rPr>
      </w:pPr>
    </w:p>
    <w:p w14:paraId="29AA0AE7" w14:textId="77777777" w:rsidR="00103457" w:rsidRPr="00103457" w:rsidRDefault="00103457" w:rsidP="00CE565F">
      <w:pPr>
        <w:pStyle w:val="Heading2"/>
      </w:pPr>
      <w:bookmarkStart w:id="11" w:name="_Toc172288698"/>
      <w:r w:rsidRPr="00103457">
        <w:t>Satellite data for urban expansion analysis</w:t>
      </w:r>
      <w:bookmarkEnd w:id="11"/>
    </w:p>
    <w:p w14:paraId="24D67E42" w14:textId="0692FA46" w:rsidR="00C83C18" w:rsidRPr="000F3162" w:rsidRDefault="00C83C18" w:rsidP="00C83C18">
      <w:pPr>
        <w:ind w:firstLine="360"/>
        <w:rPr>
          <w:rFonts w:ascii="Times New Roman" w:eastAsia="Aptos" w:hAnsi="Times New Roman"/>
        </w:rPr>
      </w:pPr>
      <w:r w:rsidRPr="000F3162">
        <w:rPr>
          <w:rFonts w:ascii="Times New Roman" w:eastAsia="Aptos" w:hAnsi="Times New Roman"/>
        </w:rPr>
        <w:t xml:space="preserve">Satellite earth observations provide invaluable data to map the </w:t>
      </w:r>
      <w:r w:rsidR="0030622E">
        <w:rPr>
          <w:rFonts w:ascii="Times New Roman" w:eastAsia="Aptos" w:hAnsi="Times New Roman"/>
        </w:rPr>
        <w:t>changes in urban land cover that result</w:t>
      </w:r>
      <w:r w:rsidRPr="000F3162">
        <w:rPr>
          <w:rFonts w:ascii="Times New Roman" w:eastAsia="Aptos" w:hAnsi="Times New Roman"/>
        </w:rPr>
        <w:t xml:space="preserve"> from urbanization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{"citationID":"Ovg2OGhF","properties":{"formattedCitation":"(Asenso Barnieh et al., 2020; Chai &amp; Seto, 2019)","plainCitation":"(Asenso Barnieh et al., 2020; Chai &amp; Seto, 2019)","noteIndex":0},"citationItems":[{"id":617,"uris":["http://zotero.org/users/8906743/items/LZ7ULJSK",["http://zotero.org/users/8906743/items/LZ7ULJSK"]],"itemData":{"id":617,"type":"article-journal","abstract":"Post-classiﬁcation change detection was applied to examine the nature of Land Use Land Cover (LULC) transitions in West Africa in three time intervals (1975–2000, 2000–2013, and 1975–2013). Detailed analyses at hotspots coupled with comparison of LULC transitions in the humid and arid regions were undertaken. Climate and anthropic drivers of environmental change were disentangled by the LULC transitions analyses. The results indicated that human-managed LULC types have replaced the natural LULC types. The total vegetation cover declined by −1.6%. Massive net gains in croplands (107.8%) and settlements (140%) at the expense of natural vegetation were detected in the entire period (1975–2013). Settlements expanded in parallel with cropland, which suggests the eﬀort to increase food production to support the increasing population. Expansion of artiﬁcial water bodies were detected in the humid regions during the period of 1975–2000. Nonetheless, shrinking of water bodies due to encroachment by wetlands and other vegetation was observed in the arid regions, coupled with net loss in the whole of West Africa. The results indicate deforestation and degradation of natural vegetation and water resources in West Africa. Underlying anthropic drivers and a combination of anthropic and climate drivers were detected. LULC transitions in West Africa are location speciﬁc and have both positive and negative implications on the environment. The transitions indicate how processes at the local level, driven by human activities, lead to changes at the continental level and may contribute to global environmental change.","container-title":"Sustainability","DOI":"10.3390/su12208565","ISSN":"2071-1050","issue":"20","journalAbbreviation":"Sustainability","language":"en","page":"8565","source":"DOI.org (Crossref)","title":"Mapping Land Use Land Cover Transitions at Different Spatiotemporal Scales in West Africa","URL":"https://www.mdpi.com/2071-1050/12/20/8565","volume":"12","author":[{"family":"Asenso Barnieh","given":"Beatrice"},{"family":"Jia","given":"Li"},{"family":"Menenti","given":"Massimo"},{"family":"Zhou","given":"Jie"},{"family":"Zeng","given":"Yelong"}],"accessed":{"date-parts":[["2022",2,4]]},"issued":{"date-parts":[["2020",10,16]]}}},{"id":447,"uris":["http://zotero.org/users/8906743/items/BGWHKAXP"],"itemData":{"id":447,"type":"article-journal","abstract":"Sustainable Development Goals (SDG) require sustainable urban development and management for better human life quality. Small urban settlements—those with fewer than 500,000 people—are home to 26.5% of the world’s population. Yet, relatively little research attention has been paid to understanding the structure and dynamics of these smaller cities. In this paper, we propose a new concept, micro-urbanization, to fill this knowledge gap, and develop a methodology to characterize and map it using dense remote sensing time series data and landscape pattern metrics. We define micro-urbanization as a process of urban land change that has five primary characteristics: small, patchy, far from main urban areas, with limited geographic connection with existing urban areas and low urban intensity. We apply the method to two rapidly urbanizing countries in Africa, Nigeria and the Democratic Republic of the Congo. Results show that the methodology is capable of detecting micro-urbanization with relatively high spatial and temporal accuracy.","container-title":"Landscape and Urban Planning","DOI":"10.1016/j.landurbplan.2019.103595","ISSN":"01692046","journalAbbreviation":"Landscape and Urban Planning","language":"en","page":"103595","source":"DOI.org (Crossref)","title":"Conceptualizing and characterizing micro-urbanization: A new perspective applied to Africa","title-short":"Conceptualizing and characterizing micro-urbanization","URL":"https://linkinghub.elsevier.com/retrieve/pii/S0169204619300775","volume":"190","author":[{"family":"Chai","given":"Baohui"},{"family":"Seto","given":"Karen C."}],"accessed":{"date-parts":[["2022",2,4]]},"issued":{"date-parts":[["2019",10]]}}}],"schema":"https://github.com/citation-style-language/schema/raw/master/csl-citation.json"}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(Barnieh et al., 2020; Chai &amp; Seto, 2019)</w:t>
      </w:r>
      <w:r w:rsidRPr="000F3162">
        <w:rPr>
          <w:rFonts w:ascii="Times New Roman" w:eastAsia="Aptos" w:hAnsi="Times New Roman"/>
        </w:rPr>
        <w:fldChar w:fldCharType="end"/>
      </w:r>
      <w:r w:rsidRPr="000F3162">
        <w:rPr>
          <w:rFonts w:ascii="Times New Roman" w:eastAsia="Aptos" w:hAnsi="Times New Roman"/>
        </w:rPr>
        <w:t xml:space="preserve">. Satellite products such as the Global Human Settlement Layers (Pesaresi et al., 2015), Global Human Built-up And Settlement Extent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{"citationID":"lqLi2fyU","properties":{"formattedCitation":"(Wang et al., 2017)","plainCitation":"(Wang et al., 2017)","noteIndex":0},"citationItems":[{"id":393,"uris":["http://zotero.org/users/8906743/items/WDDYTK4S"],"itemData":{"id":393,"type":"document","publisher":"NASA Socioeconomic Data and Applications Center (SEDAC)","title":"Global Human Built-up And Settlement Extent (HBASE) Dataset From Landsat","URL":"https://doi.org/10.7927/H4DN434S","author":[{"family":"Wang","given":"P"},{"family":"Huang","given":"C"},{"family":"Brown de Colstoun","given":"E. C"},{"family":"Tilton","given":"J. C"},{"family":"Tan","given":"B"}],"issued":{"date-parts":[["2017"]]}}}],"schema":"https://github.com/citation-style-language/schema/raw/master/csl-citation.json"}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(Wang et al., 2017)</w:t>
      </w:r>
      <w:r w:rsidRPr="000F3162">
        <w:rPr>
          <w:rFonts w:ascii="Times New Roman" w:eastAsia="Aptos" w:hAnsi="Times New Roman"/>
        </w:rPr>
        <w:fldChar w:fldCharType="end"/>
      </w:r>
      <w:r w:rsidRPr="000F3162">
        <w:rPr>
          <w:rFonts w:ascii="Times New Roman" w:eastAsia="Aptos" w:hAnsi="Times New Roman"/>
        </w:rPr>
        <w:t xml:space="preserve">, Global Man-Made Impervious Surface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{"citationID":"UVqQBuxk","properties":{"formattedCitation":"(Brown de Colstoun et al., 2017)","plainCitation":"(Brown de Colstoun et al., 2017)","noteIndex":0},"citationItems":[{"id":394,"uris":["http://zotero.org/users/8906743/items/TWZUD9QB"],"itemData":{"id":394,"type":"document","publisher":"NASA Socioeconomic Data and Applications Center (SEDAC)","title":"Global Man-made Impervious Surface (GMIS) Dataset From Landsat","URL":"https://doi.org/10.7927/H4P55KKF","author":[{"family":"Brown de Colstoun","given":"E. C."},{"family":"Huang","given":"C"},{"family":"Wang","given":"P"},{"family":"Tilton","given":"J. C"},{"family":"Tan","given":"B"},{"family":"Phillips","given":"J"},{"family":"Niemczura","given":"S"},{"family":"Ling","given":"P.-Y"},{"family":"Wolfe","given":"R. E."}],"issued":{"date-parts":[["2017"]]}}}],"schema":"https://github.com/citation-style-language/schema/raw/master/csl-citation.json"}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(Brown de Colstoun et al., 2017)</w:t>
      </w:r>
      <w:r w:rsidRPr="000F3162">
        <w:rPr>
          <w:rFonts w:ascii="Times New Roman" w:eastAsia="Aptos" w:hAnsi="Times New Roman"/>
        </w:rPr>
        <w:fldChar w:fldCharType="end"/>
      </w:r>
      <w:r w:rsidRPr="000F3162">
        <w:rPr>
          <w:rFonts w:ascii="Times New Roman" w:eastAsia="Aptos" w:hAnsi="Times New Roman"/>
        </w:rPr>
        <w:t xml:space="preserve">, Atlas of Urban Expansion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{"citationID":"sltA192e","properties":{"formattedCitation":"(Angel, 2012)","plainCitation":"(Angel, 2012)","noteIndex":0},"citationItems":[{"id":440,"uris":["http://zotero.org/users/8906743/items/HFZKIJ4I",["http://zotero.org/users/8906743/items/HFZKIJ4I"]],"itemData":{"id":440,"type":"book","call-number":"G1028 .A5 2012","event-place":"Cambridge, Mass","ISBN":"978-1-55844-243-6","language":"en","number-of-pages":"397","publisher":"Lincoln Institute of Land Policy","publisher-place":"Cambridge, Mass","source":"Library of Congress ISBN","title":"Atlas of urban expansion","author":[{"family":"Angel","given":"Shlomo"}],"issued":{"date-parts":[["2012"]]}}}],"schema":"https://github.com/citation-style-language/schema/raw/master/csl-citation.json"}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(Angel, 2012)</w:t>
      </w:r>
      <w:r w:rsidRPr="000F3162">
        <w:rPr>
          <w:rFonts w:ascii="Times New Roman" w:eastAsia="Aptos" w:hAnsi="Times New Roman"/>
        </w:rPr>
        <w:fldChar w:fldCharType="end"/>
      </w:r>
      <w:r w:rsidRPr="000F3162">
        <w:rPr>
          <w:rFonts w:ascii="Times New Roman" w:eastAsia="Aptos" w:hAnsi="Times New Roman"/>
        </w:rPr>
        <w:t xml:space="preserve">, and the Global Impervious Area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{"citationID":"Jcc3gcry","properties":{"formattedCitation":"(Gong et al., 2020)","plainCitation":"(Gong et al., 2020)","noteIndex":0},"citationItems":[{"id":626,"uris":["http://zotero.org/users/8906743/items/P4P428TH"],"itemData":{"id":626,"type":"article-journal","abstract":"Artiﬁcial impervious areas are predominant indicators of human settlements. Timely, accurate, and frequent information on artiﬁcial impervious areas is critical to understanding the process of urbanization and land use/ cover change, as well as of their impacts on the environment and biodiversity. Despite their importance, there still lack annual maps of high-resolution Global Artiﬁcial Impervious Areas (GAIA) with longer than 30-year records, due to the high demand of high performance computation and the lack of eﬀective mapping algorithms. In this paper, we mapped annual GAIA from 1985 to 2018 using the full archive of 30-m resolution Landsat images on the Google Earth Engine platform. With ancillary datasets, including the nighttime light data and the Sentinel-1 Synthetic Aperture Radar data, we improved the performance of our previously developed algorithm in arid areas. We evaluated the GAIA data for 1985, 1990, 1995, 2000, 2005, 2010, and 2015, and the mean overall accuracy is higher than 90%. A cross-product comparison indicates the GAIA data are the only dataset spanning over 30 years. The temporal trend in GAIA agrees well with other datasets at the local, regional, and global scales. Our results indicate that the GAIA reached 797,076 km2 in 2018, which is 1.5 times more than that in 1990. China and the United States (US) rank among the top two in artiﬁcial impervious area, accounting for approximately 50% of the world's total in 2018. The artiﬁcial impervious area of China surpassed that of the US in 2015. By 2018, the remaining eight among the top ten countries are India, Russia, Brazil, France, Italy, Germany, Japan, and Canada. The GAIA dataset can be freely downloaded from http://data.ess.tsinghua.edu.cn.","container-title":"Remote Sensing of Environment","DOI":"10.1016/j.rse.2019.111510","ISSN":"00344257","journalAbbreviation":"Remote Sensing of Environment","language":"en","page":"111510","source":"DOI.org (Crossref)","title":"Annual maps of global artificial impervious area (GAIA) between 1985 and 2018","URL":"https://linkinghub.elsevier.com/retrieve/pii/S0034425719305292","volume":"236","author":[{"family":"Gong","given":"Peng"},{"family":"Li","given":"Xuecao"},{"family":"Wang","given":"Jie"},{"family":"Bai","given":"Yuqi"},{"family":"Chen","given":"Bin"},{"family":"Hu","given":"Tengyun"},{"family":"Liu","given":"Xiaoping"},{"family":"Xu","given":"Bing"},{"family":"Yang","given":"Jun"},{"family":"Zhang","given":"Wei"},{"family":"Zhou","given":"Yuyu"}],"accessed":{"date-parts":[["2021",5,3]]},"issued":{"date-parts":[["2020",1]]}}}],"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(Gong et al., 2020)</w:t>
      </w:r>
      <w:r w:rsidRPr="000F3162">
        <w:rPr>
          <w:rFonts w:ascii="Times New Roman" w:eastAsia="Aptos" w:hAnsi="Times New Roman"/>
        </w:rPr>
        <w:fldChar w:fldCharType="end"/>
      </w:r>
      <w:r w:rsidRPr="000F3162">
        <w:rPr>
          <w:rFonts w:ascii="Times New Roman" w:eastAsia="Aptos" w:hAnsi="Times New Roman"/>
        </w:rPr>
        <w:t xml:space="preserve"> have been developed to map urban land use land cover (LULC) change at a global scale. However, studies have found that these global urban land cover products underestimate urban extent and map urban land-use patterns inconsistently because the products are not optimized for West African landscape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{"citationID":"eNCCUgqd","properties":{"formattedCitation":"(Adhikari &amp; de Beurs, 2016; Reba &amp; Seto, 2020)","plainCitation":"(Adhikari &amp; de Beurs, 2016; Reba &amp; Seto, 2020)","noteIndex":0},"citationItems":[{"id":395,"uris":["http://zotero.org/users/8906743/items/4QZ4IHV4",["http://zotero.org/users/8906743/items/4QZ4IHV4"]],"itemData":{"id":395,"type":"article-journal","abstract":"West Africa is one of the fastest growing regions of the world and depends heavily on rain-fed agriculture for its food production. This study evaluates 12 freely available land-cover and land-use (LCLU) data sets at the ecoregion, country, and pixel levels in West Africa to estimate croplands. The selected data sets are primarily derived using remote-sensing data, representing diﬀerent time periods and using various classiﬁcation schemes. The result shows a very high variability of the estimated cropland at all levels. Despite this variability, data sets having a ﬁner spatial resolution and representing a similar time period – speciﬁcally data from the International Institute for Applied Systems Analysis-International Food Policy Research Institute (IIASA−IFPRI), Global Land Cover−Share (GLC−Share), Moderate Resolution Imaging Spectroradiometer–University of Maryland (MODIS−UMD), Global Cropland Extent, Moderate Resolution Imaging Spectroradiometer−International Geosphere Biosphere Programme (MODIS−IGBP), and GlobCover version 2.3 (GlobCover V23) – estimated comparable cropland areas at the ecoregion and country levels. The countrywide cropland area, obtained from the selected data sets, when compared with the sum of arable land and permanent crop area obtained from the Food and Agriculture Organization (FAO), showed a high coeﬃcient of determination (R2 &gt; 0.95) for IIASA–IFPRI and GLC−Share. At the pixel level, at the original resolution, the newer data sets have a comparable user’s accuracy (UA&gt;53%) and producer’s accuracy (PA&gt;46%), except for the Global Cropland Extent data. Overall, two data sets – IIASA−IFPRI and GLC−Share – performed better in the region to estimate the cropland area at all levels.","container-title":"International Journal of Remote Sensing","DOI":"10.1080/01431161.2016.1232869","ISSN":"0143-1161, 1366-5901","issue":"22","journalAbbreviation":"International Journal of Remote Sensing","language":"en","page":"5344-5364","source":"DOI.org (Crossref)","title":"An evaluation of multiple land-cover data sets to estimate cropland area in West Africa","URL":"https://www.tandfonline.com/doi/full/10.1080/01431161.2016.1232869","volume":"37","author":[{"family":"Adhikari","given":"Pradeep"},{"family":"Beurs","given":"Kirsten M.","non-dropping-particle":"de"}],"accessed":{"date-parts":[["2022",2,4]]},"issued":{"date-parts":[["2016",11,16]]}}},{"id":645,"uris":["http://zotero.org/users/8906743/items/7VVGYFRR"],"itemData":{"id":645,"type":"article-journal","abstract":"Historically, change detection reviews have examined and categorized algorithms based on their techniques for the remote sensing community. Here, we synthesize urban land change algorithms by the types of information they provide to a diverse and growing set of user communities. Two goals of the paper are first to synthesize past and current change detection studies to examine urban land change to help users of remote sensing algorithms understand and navigate the vast variety of available methods, and second to identify gaps in knowledge for the urban remote sensing community. We analyzed 644 peer-reviewed research papers published in English-language journals and conducted a systematic review of urban land change algorithms. All papers included in our study focus on urban land change; studies that concentrate on single-date urban classification or mapping for one point in time without an explicit urban land change component are not included in this analysis. The review showed five key results and knowledge gaps. First, most urban change detection algorithms are being developed and applied for only a few regions, with 75% of studies focused on high or upper-middle-income countries and the majority of these on China or the United States. This suggests a major gap in geographic coverage as well as the need for more studies on cities in low and lower-middle-income countries. Second, the results show that 41% of the algorithms have been developed or applied for cities of over 5 million inhabitants. This focus on large cities is problematic given that only 11% of the world's urban population lives in cities with populations greater than 5 million and that most future urban growth will occur in small- and medium-sized towns and cities with populations of fewer than 1 million people. Third, our analysis shows that 62% of the studies use three or fewer time points to measure urban land change with an average study length of 17 years. Since rapidly growing urban areas are highly dynamic, this suggests that existing algorithms using only a few time points are likely missing urban transitions that can only be captured with high temporal frequency analysis. Fourth, we find that urban expansion is the most commonly monitored type of urban land change. Comparatively fewer studies characterized intra-urban change or three-dimensional structural change. Fifth and finally, the results show that an overwhelming majority—87%—of all studies identify only one urban class, highlighting a need for more studies that distinguish intra-urban variation and differentiate multiple urban classes. Our analysis shows that it is very difficult—nearly impossible—to compare across algorithms. Thus, for users of urban land change information, it is difficult to navigate the literature and know which algorithms are most appropriate for a particular use. Taken together, this points to the need for improved reproducibility, replicability, and comparability of studies in order to help harmonize urban land change information across regions and countries. This is especially important given the growing user communities of urban land change products and analysis, especially from policy and practice.","container-title":"Remote Sensing of Environment","DOI":"10.1016/j.rse.2020.111739","ISSN":"00344257","journalAbbreviation":"Remote Sensing of Environment","language":"en","page":"111739","source":"DOI.org (Crossref)","title":"A systematic review and assessment of algorithms to detect, characterize, and monitor urban land change","URL":"https://linkinghub.elsevier.com/retrieve/pii/S0034425720301097","volume":"242","author":[{"family":"Reba","given":"Meredith"},{"family":"Seto","given":"Karen C."}],"accessed":{"date-parts":[["2022",2,4]]},"issued":{"date-parts":[["2020",6]]}}}],"schema":"https://github.com/citation-style-language/schema/raw/master/csl-citation.json"}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(Adhikari &amp; de Beurs, 2016; Reba &amp; Seto, 2020)</w:t>
      </w:r>
      <w:r w:rsidRPr="000F3162">
        <w:rPr>
          <w:rFonts w:ascii="Times New Roman" w:eastAsia="Aptos" w:hAnsi="Times New Roman"/>
        </w:rPr>
        <w:fldChar w:fldCharType="end"/>
      </w:r>
      <w:r w:rsidRPr="000F3162">
        <w:rPr>
          <w:rFonts w:ascii="Times New Roman" w:eastAsia="Aptos" w:hAnsi="Times New Roman"/>
        </w:rPr>
        <w:t xml:space="preserve">. </w:t>
      </w:r>
    </w:p>
    <w:p w14:paraId="53B66ACA" w14:textId="119EAB8C" w:rsidR="00C83C18" w:rsidRPr="000F3162" w:rsidRDefault="00C83C18" w:rsidP="00C83C18">
      <w:pPr>
        <w:ind w:firstLine="360"/>
        <w:rPr>
          <w:rFonts w:ascii="Times New Roman" w:eastAsia="Aptos" w:hAnsi="Times New Roman"/>
        </w:rPr>
      </w:pPr>
      <w:r w:rsidRPr="000F3162">
        <w:rPr>
          <w:rFonts w:ascii="Times New Roman" w:eastAsia="Aptos" w:hAnsi="Times New Roman"/>
        </w:rPr>
        <w:lastRenderedPageBreak/>
        <w:t xml:space="preserve">West Africa Atlas of Land Cover Change is </w:t>
      </w:r>
      <w:r w:rsidR="002E3E8D">
        <w:rPr>
          <w:rFonts w:ascii="Times New Roman" w:eastAsia="Aptos" w:hAnsi="Times New Roman"/>
        </w:rPr>
        <w:t xml:space="preserve">the </w:t>
      </w:r>
      <w:r w:rsidRPr="000F3162">
        <w:rPr>
          <w:rFonts w:ascii="Times New Roman" w:eastAsia="Aptos" w:hAnsi="Times New Roman"/>
        </w:rPr>
        <w:t xml:space="preserve">only regional land use and land cover change (LULC) product optimized for West Africa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{"citationID":"s07cnVMo","properties":{"formattedCitation":"(Cotillon &amp; Mathis, 2017)","plainCitation":"(Cotillon &amp; Mathis, 2017)","dontUpdate":true,"noteIndex":0},"citationItems":[{"id":400,"uris":["http://zotero.org/users/8906743/items/D84B6JLX",["http://zotero.org/users/8906743/items/D84B6JLX"]],"itemData":{"id":400,"type":"report","collection-title":"U.S. Geological Survey Open-File Report","page":"23 p","title":"Mapping land cover through time with the Rapid Land Cover Mapper—Documentation and user manual","URL":"https://doi.org/10.3133/ofr20171012","author":[{"family":"Cotillon","given":"Suzanne E"},{"family":"Mathis","given":"Melissa L"}],"issued":{"date-parts":[["2017"]]}}}],"schema":"https://github.com/citation-style-language/schema/raw/master/csl-citation.json"}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(C</w:t>
      </w:r>
      <w:r w:rsidR="000D4D09">
        <w:rPr>
          <w:rFonts w:ascii="Times New Roman" w:eastAsia="Aptos" w:hAnsi="Times New Roman"/>
        </w:rPr>
        <w:t>ot</w:t>
      </w:r>
      <w:r w:rsidR="00D35325">
        <w:rPr>
          <w:rFonts w:ascii="Times New Roman" w:eastAsia="Aptos" w:hAnsi="Times New Roman"/>
        </w:rPr>
        <w:t>illon and Mathis</w:t>
      </w:r>
      <w:r w:rsidRPr="000F3162">
        <w:rPr>
          <w:rFonts w:ascii="Times New Roman" w:eastAsia="Aptos" w:hAnsi="Times New Roman"/>
        </w:rPr>
        <w:t>, 2017)</w:t>
      </w:r>
      <w:r w:rsidRPr="000F3162">
        <w:rPr>
          <w:rFonts w:ascii="Times New Roman" w:eastAsia="Aptos" w:hAnsi="Times New Roman"/>
        </w:rPr>
        <w:fldChar w:fldCharType="end"/>
      </w:r>
      <w:r w:rsidRPr="000F3162">
        <w:rPr>
          <w:rFonts w:ascii="Times New Roman" w:eastAsia="Aptos" w:hAnsi="Times New Roman"/>
        </w:rPr>
        <w:t xml:space="preserve">. </w:t>
      </w:r>
      <w:r w:rsidR="00D35325">
        <w:rPr>
          <w:rFonts w:ascii="Times New Roman" w:eastAsia="Aptos" w:hAnsi="Times New Roman"/>
        </w:rPr>
        <w:t xml:space="preserve">This </w:t>
      </w:r>
      <w:r w:rsidR="00E7066E">
        <w:rPr>
          <w:rFonts w:ascii="Times New Roman" w:eastAsia="Aptos" w:hAnsi="Times New Roman"/>
        </w:rPr>
        <w:t>urban LULC product ha</w:t>
      </w:r>
      <w:r w:rsidR="00AF1DB2">
        <w:rPr>
          <w:rFonts w:ascii="Times New Roman" w:eastAsia="Aptos" w:hAnsi="Times New Roman"/>
        </w:rPr>
        <w:t>s</w:t>
      </w:r>
      <w:r w:rsidR="00E7066E">
        <w:rPr>
          <w:rFonts w:ascii="Times New Roman" w:eastAsia="Aptos" w:hAnsi="Times New Roman"/>
        </w:rPr>
        <w:t xml:space="preserve"> been used by </w:t>
      </w:r>
      <w:r w:rsidR="0002049F">
        <w:rPr>
          <w:rFonts w:ascii="Times New Roman" w:eastAsia="Aptos" w:hAnsi="Times New Roman"/>
        </w:rPr>
        <w:t>s</w:t>
      </w:r>
      <w:r w:rsidRPr="000F3162">
        <w:rPr>
          <w:rFonts w:ascii="Times New Roman" w:eastAsia="Aptos" w:hAnsi="Times New Roman"/>
        </w:rPr>
        <w:t xml:space="preserve">tudies in the region to monitor LULC transition and found that </w:t>
      </w:r>
      <w:r w:rsidR="00455FDF">
        <w:rPr>
          <w:rFonts w:ascii="Times New Roman" w:eastAsia="Aptos" w:hAnsi="Times New Roman"/>
        </w:rPr>
        <w:t xml:space="preserve">the </w:t>
      </w:r>
      <w:r w:rsidRPr="000F3162">
        <w:rPr>
          <w:rFonts w:ascii="Times New Roman" w:eastAsia="Aptos" w:hAnsi="Times New Roman"/>
        </w:rPr>
        <w:t xml:space="preserve">built-area substantially increased from 493 000 km² in 1975 to more than 1 million km² in 2013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{"citationID":"yfNfCCRz","properties":{"formattedCitation":"(Asenso Barnieh et al., 2020; Herrmann et al., 2020)","plainCitation":"(Asenso Barnieh et al., 2020; Herrmann et al., 2020)","noteIndex":0},"citationItems":[{"id":617,"uris":["http://zotero.org/users/8906743/items/LZ7ULJSK",["http://zotero.org/users/8906743/items/LZ7ULJSK"]],"itemData":{"id":617,"type":"article-journal","abstract":"Post-classiﬁcation change detection was applied to examine the nature of Land Use Land Cover (LULC) transitions in West Africa in three time intervals (1975–2000, 2000–2013, and 1975–2013). Detailed analyses at hotspots coupled with comparison of LULC transitions in the humid and arid regions were undertaken. Climate and anthropic drivers of environmental change were disentangled by the LULC transitions analyses. The results indicated that human-managed LULC types have replaced the natural LULC types. The total vegetation cover declined by −1.6%. Massive net gains in croplands (107.8%) and settlements (140%) at the expense of natural vegetation were detected in the entire period (1975–2013). Settlements expanded in parallel with cropland, which suggests the eﬀort to increase food production to support the increasing population. Expansion of artiﬁcial water bodies were detected in the humid regions during the period of 1975–2000. Nonetheless, shrinking of water bodies due to encroachment by wetlands and other vegetation was observed in the arid regions, coupled with net loss in the whole of West Africa. The results indicate deforestation and degradation of natural vegetation and water resources in West Africa. Underlying anthropic drivers and a combination of anthropic and climate drivers were detected. LULC transitions in West Africa are location speciﬁc and have both positive and negative implications on the environment. The transitions indicate how processes at the local level, driven by human activities, lead to changes at the continental level and may contribute to global environmental change.","container-title":"Sustainability","DOI":"10.3390/su12208565","ISSN":"2071-1050","issue":"20","journalAbbreviation":"Sustainability","language":"en","page":"8565","source":"DOI.org (Crossref)","title":"Mapping Land Use Land Cover Transitions at Different Spatiotemporal Scales in West Africa","URL":"https://www.mdpi.com/2071-1050/12/20/8565","volume":"12","author":[{"family":"Asenso Barnieh","given":"Beatrice"},{"family":"Jia","given":"Li"},{"family":"Menenti","given":"Massimo"},{"family":"Zhou","given":"Jie"},{"family":"Zeng","given":"Yelong"}],"accessed":{"date-parts":[["2022",2,4]]},"issued":{"date-parts":[["2020",10,16]]}}},{"id":557,"uris":["http://zotero.org/users/8906743/items/IWQYLSP6",["http://zotero.org/users/8906743/items/IWQYLSP6"]],"itemData":{"id":557,"type":"article-journal","abstract":"Abstract\n            \n              Rapid population growth in West Africa has exerted increasing pressures on land resources, leading to observable changes in the land cover and land use. However, spatially explicit and thematically detailed quantitative analyses of land cover change over long time periods and at regional scale have been lacking. Here we present a change intensity analysis of a Landsat-based, visually interpreted, multi-date (1975, 2000, 2013) land cover dataset of West Africa, stratified into five bioclimatic sub-regions. Change intensities accelerated over time and increased from the arid to the sub-humid sub-regions, as did population densities. The area occupied by human-dominated land cover categories more than doubled from 493,000 km\n              2\n              in 1975 to 1,121,000 km\n              2\n              in 2013. Land cover change intensities within 10 km of new settlement locations exceeded the region-wide average by up to a factor of three, substantiating the significant role of population pressure as a force of change. The spatial patterns of the human footprint in West Africa, however, suggest that not only population pressure but also changing socioeconomic conditions and policies shape the complexity of land cover outcomes.","container-title":"Communications Earth &amp; Environment","DOI":"10.1038/s43247-020-00053-y","ISSN":"2662-4435","issue":"1","journalAbbreviation":"Commun Earth Environ","language":"en","page":"53","source":"DOI.org (Crossref)","title":"Accelerating land cover change in West Africa over four decades as population pressure increased","URL":"http://www.nature.com/articles/s43247-020-00053-y","volume":"1","author":[{"family":"Herrmann","given":"Stefanie M."},{"family":"Brandt","given":"Martin"},{"family":"Rasmussen","given":"Kjeld"},{"family":"Fensholt","given":"Rasmus"}],"accessed":{"date-parts":[["2022",1,30]]},"issued":{"date-parts":[["2020",12]]}}}],"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(Barnieh et al., 2020; Herrmann et al., 2020)</w:t>
      </w:r>
      <w:r w:rsidRPr="000F3162">
        <w:rPr>
          <w:rFonts w:ascii="Times New Roman" w:eastAsia="Aptos" w:hAnsi="Times New Roman"/>
        </w:rPr>
        <w:fldChar w:fldCharType="end"/>
      </w:r>
      <w:r w:rsidRPr="000F3162">
        <w:rPr>
          <w:rFonts w:ascii="Times New Roman" w:eastAsia="Aptos" w:hAnsi="Times New Roman"/>
        </w:rPr>
        <w:t xml:space="preserve">. </w:t>
      </w:r>
      <w:r w:rsidR="0032373A" w:rsidRPr="000F3162">
        <w:rPr>
          <w:rFonts w:ascii="Times New Roman" w:eastAsia="Aptos" w:hAnsi="Times New Roman"/>
        </w:rPr>
        <w:t>This</w:t>
      </w:r>
      <w:r w:rsidRPr="000F3162">
        <w:rPr>
          <w:rFonts w:ascii="Times New Roman" w:eastAsia="Aptos" w:hAnsi="Times New Roman"/>
        </w:rPr>
        <w:t xml:space="preserve"> data </w:t>
      </w:r>
      <w:r w:rsidR="0032373A">
        <w:rPr>
          <w:rFonts w:ascii="Times New Roman" w:eastAsia="Aptos" w:hAnsi="Times New Roman"/>
        </w:rPr>
        <w:t>is</w:t>
      </w:r>
      <w:r w:rsidRPr="000F3162">
        <w:rPr>
          <w:rFonts w:ascii="Times New Roman" w:eastAsia="Aptos" w:hAnsi="Times New Roman"/>
        </w:rPr>
        <w:t xml:space="preserve"> available at a 2 km resolution, which is too coarse </w:t>
      </w:r>
      <w:r w:rsidR="002E3E8D">
        <w:rPr>
          <w:rFonts w:ascii="Times New Roman" w:eastAsia="Aptos" w:hAnsi="Times New Roman"/>
        </w:rPr>
        <w:t xml:space="preserve">to </w:t>
      </w:r>
      <w:r w:rsidRPr="000F3162">
        <w:rPr>
          <w:rFonts w:ascii="Times New Roman" w:eastAsia="Aptos" w:hAnsi="Times New Roman"/>
        </w:rPr>
        <w:t>track the intricate urban expansion patterns, including infill and sprawl, especially in the many smaller cities in West Africa. In contrast, the Landsat archive provides a 30</w:t>
      </w:r>
      <w:r w:rsidR="00AA1610">
        <w:rPr>
          <w:rFonts w:ascii="Times New Roman" w:eastAsia="Aptos" w:hAnsi="Times New Roman"/>
        </w:rPr>
        <w:t xml:space="preserve"> </w:t>
      </w:r>
      <w:r w:rsidRPr="000F3162">
        <w:rPr>
          <w:rFonts w:ascii="Times New Roman" w:eastAsia="Aptos" w:hAnsi="Times New Roman"/>
        </w:rPr>
        <w:t xml:space="preserve">m resolution data that allows consistent local, national, and regional level mapping. Multiple studies have used Landsat for urban planning applications and urban land cover assessment locally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{"citationID":"Udp4Cmmi","properties":{"formattedCitation":"(M. Acheampong et al., 2018; Adhikari &amp; de Beurs, 2017; Enoguanbhor et al., 2019)","plainCitation":"(M. Acheampong et al., 2018; Adhikari &amp; de Beurs, 2017; Enoguanbhor et al., 2019)","dontUpdate":true,"noteIndex":0},"citationItems":[{"id":398,"uris":["http://zotero.org/users/8906743/items/SWA5THUL",["http://zotero.org/users/8906743/items/SWA5THUL"]],"itemData":{"id":398,"type":"article-journal","abstract":"Increasing levels of urbanization around the globe has contributed to the loss of agricultural lands in many exurban zones. Loss of agricultural lands, in many cases, worsens poverty levels of smallholder farmers who depend on subsistence farming – an issue that Sustainable Development Goal number one seeks to address. Land use and land cover (LULC) change studies are widely used to monitor human-induced changes in the environment. This study used multi-temporal satellite images and geographic information systems (GIS) to assess the spatio-temporal dynamics of land use/cover changes in Sekondi-Takoradi, over a 30-year period (1986–2016), to understand how recent historical events and economic policies may have contributed to such changes. Our results suggest that the size of urban land area has nearly doubled through the study period to accommodate the constantly increasing population in the metropolis. This has led to a signiﬁcant reduction in agricultural lands and an almost complete obliteration of standing forest. Policies enacted during the era of structural adjustment program and the current oil industry seem to have been the main drivers of LULC changes in Sekondi-Takoradi. With the prevailing antagonism between urban expansion and agricultural land use activities, our study asserts the need to control urban sprawl. This will be important to prevent loss of lands dedicated to subsistence farming, if complete eradication of poverty as stipulated by Sustainable Development Goal (SDG) number one will be a realistic goal for the people of Sekondi-Takoradi.","container-title":"Land Use Policy","DOI":"10.1016/j.landusepol.2018.02.019","ISSN":"02648377","journalAbbreviation":"Land Use Policy","language":"en","page":"373-384","source":"DOI.org (Crossref)","title":"Land use/cover change in Ghana’s oil city: Assessing the impact of neoliberal economic policies and implications for sustainable development goal number one – A remote sensing and GIS approach","title-short":"Land use/cover change in Ghana’s oil city","URL":"https://linkinghub.elsevier.com/retrieve/pii/S0264837716311875","volume":"73","author":[{"family":"Acheampong","given":"Michael"},{"family":"Yu","given":"Qiuyan"},{"family":"Enomah","given":"Lucy Deba"},{"family":"Anchang","given":"Julius"},{"family":"Eduful","given":"Michael"}],"accessed":{"date-parts":[["2022",2,4]]},"issued":{"date-parts":[["2018",4]]}}},{"id":435,"uris":["http://zotero.org/users/8906743/items/QCAN7RTJ",["http://zotero.org/users/8906743/items/QCAN7RTJ"]],"itemData":{"id":435,"type":"article-journal","abstract":"Urban area expansion is happening at much faster rates in Asian and African cities than elsewhere in the world. This study uses multi-temporal Landsat images to map the urban extent of six small to large cities in West Africa at four diﬀerent time steps from the early 1970s–2010. The selected cities are Kumasi of Ghana, Daloa of Cote d’Ivoire, Abuja and Kano in Nigeria, Kindia of Guinea, and Ouagadougou of Burkina Faso. All cities revealed signiﬁcant urban growth in both urban area and population; however, it was apparent that there was a lot of variability in urban area development. Exponential urban growth rates in the cities were measured as ranging between 0.026 and 0.077, with allometric scaling factors matching those of other countries.","container-title":"Journal of Land Use Science","DOI":"10.1080/1747423X.2017.1280550","ISSN":"1747-423X, 1747-4248","issue":"2-3","journalAbbreviation":"Journal of Land Use Science","language":"en","page":"105-124","source":"DOI.org (Crossref)","title":"Growth in urban extent and allometric analysis of West African cities","URL":"https://www.tandfonline.com/doi/full/10.1080/1747423X.2017.1280550","volume":"12","author":[{"family":"Adhikari","given":"Pradeep"},{"family":"Beurs","given":"Kirsten M.","non-dropping-particle":"de"}],"accessed":{"date-parts":[["2022",2,4]]},"issued":{"date-parts":[["2017",5,4]]}}},{"id":600,"uris":["http://zotero.org/users/8906743/items/NRVVEHJS",["http://zotero.org/users/8906743/items/NRVVEHJS"]],"itemData":{"id":600,"type":"article-journal","abstract":"Rapid urban expansion is a signiﬁcant contributor to land cover change and poses a challenge to environmental sustainability, particularly in less developed countries. Insufﬁcient data about urban expansion hinders effective land use planning. Therefore, a high need to collect, process, and disseminate land cover data exists. This study focuses on urban land cover change detection using Geographic Information Systems and remote sensing methods to produce baseline information in support for land use planning. We applied a supervised classiﬁcation of land cover of LANDSAT data from 1987, 2002, and 2017. We mapped land cover transitions from 1987 to 2017 and computed the net land cover change during this time. Finally, we analyzed the mismatches between the past and current urban land cover and land use plans and quantiﬁed the non-urban development area lost to urban/built-up. Our results indicated an increase in urban/built-up and bare land cover types, while vegetation land cover decreased. We observed mismatches between past/current land cover and the existing land use plan. By providing detailed insights into mismatches between the regional land use plan and unregulated urban expansion, this study provides important information for a critical debate on the role and effectiveness of land use planning for environmental sustainability and sustainable urban development, particularly in less developed countries.","container-title":"Sustainability","DOI":"10.3390/su11051313","ISSN":"2071-1050","issue":"5","journalAbbreviation":"Sustainability","language":"en","page":"1313","source":"DOI.org (Crossref)","title":"Land Cover Change in the Abuja City-Region, Nigeria: Integrating GIS and Remotely Sensed Data to Support Land Use Planning","title-short":"Land Cover Change in the Abuja City-Region, Nigeria","URL":"https://www.mdpi.com/2071-1050/11/5/1313","volume":"11","author":[{"family":"Enoguanbhor","given":"Evidence"},{"family":"Gollnow","given":"Florian"},{"family":"Nielsen","given":"Jonas"},{"family":"Lakes","given":"Tobia"},{"family":"Walker","given":"Blake"}],"accessed":{"date-parts":[["2022",2,4]]},"issued":{"date-parts":[["2019",3,2]]}}}],"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(Acheampong et al., 2018; Adhikari &amp; de Beurs, 2017; Enoguanbhor et al., 2019</w:t>
      </w:r>
      <w:r w:rsidRPr="000F3162">
        <w:rPr>
          <w:rFonts w:ascii="Times New Roman" w:eastAsia="Aptos" w:hAnsi="Times New Roman"/>
        </w:rPr>
        <w:fldChar w:fldCharType="end"/>
      </w:r>
      <w:r w:rsidRPr="000F3162">
        <w:rPr>
          <w:rFonts w:ascii="Times New Roman" w:eastAsia="Aptos" w:hAnsi="Times New Roman"/>
        </w:rPr>
        <w:t xml:space="preserve">). However, there is a lack of consistent regionally calibrated </w:t>
      </w:r>
      <w:r w:rsidR="00D17809">
        <w:rPr>
          <w:rFonts w:ascii="Times New Roman" w:eastAsia="Aptos" w:hAnsi="Times New Roman"/>
        </w:rPr>
        <w:t xml:space="preserve">urban cover </w:t>
      </w:r>
      <w:r w:rsidRPr="000F3162">
        <w:rPr>
          <w:rFonts w:ascii="Times New Roman" w:eastAsia="Aptos" w:hAnsi="Times New Roman"/>
        </w:rPr>
        <w:t xml:space="preserve">data </w:t>
      </w:r>
      <w:r w:rsidR="00D17809">
        <w:rPr>
          <w:rFonts w:ascii="Times New Roman" w:eastAsia="Aptos" w:hAnsi="Times New Roman"/>
        </w:rPr>
        <w:t>at 30 m</w:t>
      </w:r>
      <w:r w:rsidR="00F61A4A">
        <w:rPr>
          <w:rFonts w:ascii="Times New Roman" w:eastAsia="Aptos" w:hAnsi="Times New Roman"/>
        </w:rPr>
        <w:t xml:space="preserve"> or higher</w:t>
      </w:r>
      <w:r w:rsidR="00D17809">
        <w:rPr>
          <w:rFonts w:ascii="Times New Roman" w:eastAsia="Aptos" w:hAnsi="Times New Roman"/>
        </w:rPr>
        <w:t xml:space="preserve"> spatial resolution </w:t>
      </w:r>
      <w:r w:rsidRPr="000F3162">
        <w:rPr>
          <w:rFonts w:ascii="Times New Roman" w:eastAsia="Aptos" w:hAnsi="Times New Roman"/>
        </w:rPr>
        <w:t xml:space="preserve">to map annual urban expansion for West Africa, hindering comparisons of urban expansion across </w:t>
      </w:r>
      <w:bookmarkStart w:id="12" w:name="_Hlk94956182"/>
      <w:r w:rsidRPr="000F3162">
        <w:rPr>
          <w:rFonts w:ascii="Times New Roman" w:eastAsia="Aptos" w:hAnsi="Times New Roman"/>
        </w:rPr>
        <w:t>different-sized cities and countries in the region</w:t>
      </w:r>
      <w:r w:rsidR="00D93BD8">
        <w:rPr>
          <w:rFonts w:ascii="Times New Roman" w:eastAsia="Aptos" w:hAnsi="Times New Roman"/>
        </w:rPr>
        <w:t xml:space="preserve"> </w:t>
      </w:r>
      <w:r w:rsidR="00D93BD8" w:rsidRPr="000F3162">
        <w:rPr>
          <w:rFonts w:ascii="Times New Roman" w:eastAsia="Aptos" w:hAnsi="Times New Roman"/>
        </w:rPr>
        <w:fldChar w:fldCharType="begin"/>
      </w:r>
      <w:r w:rsidR="00D93BD8">
        <w:rPr>
          <w:rFonts w:ascii="Times New Roman" w:eastAsia="Aptos" w:hAnsi="Times New Roman"/>
        </w:rPr>
        <w:instrText xml:space="preserve"> ADDIN ZOTERO_ITEM CSL_CITATION {"citationID":"S9ve02qa","properties":{"formattedCitation":"(Reba &amp; Seto, 2020; Tulbure et al., 2022)","plainCitation":"(Reba &amp; Seto, 2020; Tulbure et al., 2022)","noteIndex":0},"citationItems":[{"id":645,"uris":["http://zotero.org/users/8906743/items/7VVGYFRR"],"itemData":{"id":645,"type":"article-journal","abstract":"Historically, change detection reviews have examined and categorized algorithms based on their techniques for the remote sensing community. Here, we synthesize urban land change algorithms by the types of information they provide to a diverse and growing set of user communities. Two goals of the paper are first to synthesize past and current change detection studies to examine urban land change to help users of remote sensing algorithms understand and navigate the vast variety of available methods, and second to identify gaps in knowledge for the urban remote sensing community. We analyzed 644 peer-reviewed research papers published in English-language journals and conducted a systematic review of urban land change algorithms. All papers included in our study focus on urban land change; studies that concentrate on single-date urban classification or mapping for one point in time without an explicit urban land change component are not included in this analysis. The review showed five key results and knowledge gaps. First, most urban change detection algorithms are being developed and applied for only a few regions, with 75% of studies focused on high or upper-middle-income countries and the majority of these on China or the United States. This suggests a major gap in geographic coverage as well as the need for more studies on cities in low and lower-middle-income countries. Second, the results show that 41% of the algorithms have been developed or applied for cities of over 5 million inhabitants. This focus on large cities is problematic given that only 11% of the world's urban population lives in cities with populations greater than 5 million and that most future urban growth will occur in small- and medium-sized towns and cities with populations of fewer than 1 million people. Third, our analysis shows that 62% of the studies use three or fewer time points to measure urban land change with an average study length of 17 years. Since rapidly growing urban areas are highly dynamic, this suggests that existing algorithms using only a few time points are likely missing urban transitions that can only be captured with high temporal frequency analysis. Fourth, we find that urban expansion is the most commonly monitored type of urban land change. Comparatively fewer studies characterized intra-urban change or three-dimensional structural change. Fifth and finally, the results show that an overwhelming majority—87%—of all studies identify only one urban class, highlighting a need for more studies that distinguish intra-urban variation and differentiate multiple urban classes. Our analysis shows that it is very difficult—nearly impossible—to compare across algorithms. Thus, for users of urban land change information, it is difficult to navigate the literature and know which algorithms are most appropriate for a particular use. Taken together, this points to the need for improved reproducibility, replicability, and comparability of studies in order to help harmonize urban land change information across regions and countries. This is especially important given the growing user communities of urban land change products and analysis, especially from policy and practice.","container-title":"Remote Sensing of Environment","DOI":"10.1016/j.rse.2020.111739","ISSN":"00344257","journalAbbreviation":"Remote Sensing of Environment","language":"en","page":"111739","source":"DOI.org (Crossref)","title":"A systematic review and assessment of algorithms to detect, characterize, and monitor urban land change","URL":"https://linkinghub.elsevier.com/retrieve/pii/S0034425720301097","volume":"242","author":[{"family":"Reba","given":"Meredith"},{"family":"Seto","given":"Karen C."}],"accessed":{"date-parts":[["2022",2,4]]},"issued":{"date-parts":[["2020",6]]}}},{"id":"FQI2EQvu/Cn9vwSEu","uris":["http://zotero.org/users/8906743/items/AYTVCY2C",["http://zotero.org/users/8906743/items/AYTVCY2C"]],"itemData":{"id":1070,"type":"article-journal","journalAbbreviation":"REmote Sensing in Ecology and Conservation","title":"Regional matters: On the usefulness of regional land-cover datasets in times of global change","author":[{"family":"Tulbure","given":"Mirela. G."},{"family":"Hostert","given":"Patrick"},{"family":"Kuemmerle","given":"Tobias"},{"family":"Broich","given":"Mark"}],"issued":{"date-parts":[["2022"]]}}}],"schema":"https://github.com/citation-style-language/schema/raw/master/csl-citation.json"} </w:instrText>
      </w:r>
      <w:r w:rsidR="00D93BD8" w:rsidRPr="000F3162">
        <w:rPr>
          <w:rFonts w:ascii="Times New Roman" w:eastAsia="Aptos" w:hAnsi="Times New Roman"/>
        </w:rPr>
        <w:fldChar w:fldCharType="separate"/>
      </w:r>
      <w:r w:rsidR="00D93BD8" w:rsidRPr="00C229C9">
        <w:rPr>
          <w:rFonts w:ascii="Times New Roman" w:hAnsi="Times New Roman"/>
        </w:rPr>
        <w:t>(Reba &amp; Seto, 2020; Tulbure et al., 2022)</w:t>
      </w:r>
      <w:r w:rsidR="00D93BD8" w:rsidRPr="000F3162">
        <w:rPr>
          <w:rFonts w:ascii="Times New Roman" w:eastAsia="Aptos" w:hAnsi="Times New Roman"/>
        </w:rPr>
        <w:fldChar w:fldCharType="end"/>
      </w:r>
      <w:r w:rsidRPr="000F3162">
        <w:rPr>
          <w:rFonts w:ascii="Times New Roman" w:eastAsia="Aptos" w:hAnsi="Times New Roman"/>
        </w:rPr>
        <w:t>. Thus, regionally optimized urban cover data are better suited for analyzing urban expansion patterns in West Africa than globally calibrated</w:t>
      </w:r>
      <w:bookmarkEnd w:id="12"/>
      <w:r w:rsidRPr="000F3162">
        <w:rPr>
          <w:rFonts w:ascii="Times New Roman" w:eastAsia="Aptos" w:hAnsi="Times New Roman"/>
        </w:rPr>
        <w:t xml:space="preserve"> data</w:t>
      </w:r>
      <w:r w:rsidR="00851BF6">
        <w:rPr>
          <w:rFonts w:ascii="Times New Roman" w:eastAsia="Aptos" w:hAnsi="Times New Roman"/>
        </w:rPr>
        <w:t xml:space="preserve"> or localized data with </w:t>
      </w:r>
      <w:r w:rsidR="008F7918">
        <w:rPr>
          <w:rFonts w:ascii="Times New Roman" w:eastAsia="Aptos" w:hAnsi="Times New Roman"/>
        </w:rPr>
        <w:t>inconsistent classification schemes</w:t>
      </w:r>
      <w:r w:rsidRPr="000F3162">
        <w:rPr>
          <w:rFonts w:ascii="Times New Roman" w:eastAsia="Aptos" w:hAnsi="Times New Roman"/>
        </w:rPr>
        <w:t xml:space="preserve">. </w:t>
      </w:r>
    </w:p>
    <w:p w14:paraId="092F6928" w14:textId="77777777" w:rsidR="00CE6992" w:rsidRDefault="00CE6992" w:rsidP="00CE565F">
      <w:pPr>
        <w:ind w:firstLine="360"/>
        <w:rPr>
          <w:rFonts w:ascii="Times New Roman" w:eastAsia="Aptos" w:hAnsi="Times New Roman"/>
          <w:i/>
          <w:iCs/>
          <w:lang w:bidi="ar-SA"/>
          <w14:ligatures w14:val="standardContextual"/>
        </w:rPr>
      </w:pPr>
    </w:p>
    <w:p w14:paraId="0B208B61" w14:textId="7FCB3B80" w:rsidR="000571FD" w:rsidRPr="00CE6992" w:rsidRDefault="00E6317A" w:rsidP="00CE6992">
      <w:pPr>
        <w:pStyle w:val="Heading2"/>
        <w:rPr>
          <w:rFonts w:eastAsia="Aptos"/>
        </w:rPr>
      </w:pPr>
      <w:bookmarkStart w:id="13" w:name="_Toc172288699"/>
      <w:r>
        <w:rPr>
          <w:rFonts w:eastAsia="Aptos"/>
        </w:rPr>
        <w:t xml:space="preserve">Mixed-method analysis of </w:t>
      </w:r>
      <w:r w:rsidR="008E1BAD">
        <w:rPr>
          <w:rFonts w:eastAsia="Aptos"/>
        </w:rPr>
        <w:t>urban</w:t>
      </w:r>
      <w:r w:rsidR="00310789">
        <w:rPr>
          <w:rFonts w:eastAsia="Aptos"/>
        </w:rPr>
        <w:t xml:space="preserve"> expansion</w:t>
      </w:r>
      <w:bookmarkEnd w:id="13"/>
    </w:p>
    <w:p w14:paraId="567947E8" w14:textId="3D02BEB8" w:rsidR="001378E9" w:rsidRPr="000F3162" w:rsidRDefault="001378E9" w:rsidP="001378E9">
      <w:pPr>
        <w:ind w:firstLine="360"/>
        <w:rPr>
          <w:rFonts w:ascii="Times New Roman" w:hAnsi="Times New Roman"/>
        </w:rPr>
      </w:pPr>
      <w:r w:rsidRPr="000F3162">
        <w:rPr>
          <w:rFonts w:ascii="Times New Roman" w:hAnsi="Times New Roman"/>
        </w:rPr>
        <w:t xml:space="preserve">Although satellite data is useful in identifying and quantifying urban expansion (infill and sprawl), it lacks </w:t>
      </w:r>
      <w:r w:rsidR="00343707">
        <w:rPr>
          <w:rFonts w:ascii="Times New Roman" w:hAnsi="Times New Roman"/>
        </w:rPr>
        <w:t xml:space="preserve">information on </w:t>
      </w:r>
      <w:r w:rsidR="00916CBF">
        <w:rPr>
          <w:rFonts w:ascii="Times New Roman" w:hAnsi="Times New Roman"/>
        </w:rPr>
        <w:t>individual-level</w:t>
      </w:r>
      <w:r w:rsidR="00236C9A">
        <w:rPr>
          <w:rFonts w:ascii="Times New Roman" w:hAnsi="Times New Roman"/>
        </w:rPr>
        <w:t xml:space="preserve"> </w:t>
      </w:r>
      <w:r w:rsidR="00916CBF">
        <w:rPr>
          <w:rFonts w:ascii="Times New Roman" w:hAnsi="Times New Roman"/>
        </w:rPr>
        <w:t>behavior and how that influences</w:t>
      </w:r>
      <w:r w:rsidRPr="000F3162">
        <w:rPr>
          <w:rFonts w:ascii="Times New Roman" w:hAnsi="Times New Roman"/>
        </w:rPr>
        <w:t xml:space="preserve"> sprawl and infill expansion across cities, necessitating </w:t>
      </w:r>
      <w:r w:rsidR="00CE7800">
        <w:rPr>
          <w:rFonts w:ascii="Times New Roman" w:hAnsi="Times New Roman"/>
        </w:rPr>
        <w:t>integrati</w:t>
      </w:r>
      <w:r w:rsidR="00EB7F2B">
        <w:rPr>
          <w:rFonts w:ascii="Times New Roman" w:hAnsi="Times New Roman"/>
        </w:rPr>
        <w:t>on</w:t>
      </w:r>
      <w:r w:rsidRPr="000F3162">
        <w:rPr>
          <w:rFonts w:ascii="Times New Roman" w:hAnsi="Times New Roman"/>
        </w:rPr>
        <w:t xml:space="preserve"> </w:t>
      </w:r>
      <w:r w:rsidR="00EB7F2B">
        <w:rPr>
          <w:rFonts w:ascii="Times New Roman" w:hAnsi="Times New Roman"/>
        </w:rPr>
        <w:t xml:space="preserve">with </w:t>
      </w:r>
      <w:r w:rsidRPr="000F3162">
        <w:rPr>
          <w:rFonts w:ascii="Times New Roman" w:hAnsi="Times New Roman"/>
        </w:rPr>
        <w:t xml:space="preserve">other data types. Several studies have complemented satellite data with field surveys, focus groups, and interviews to draw the sociocultural, economic, political, and institutional factors that cause urban expansion and its </w:t>
      </w:r>
      <w:r w:rsidRPr="000F3162">
        <w:rPr>
          <w:rFonts w:ascii="Times New Roman" w:hAnsi="Times New Roman"/>
        </w:rPr>
        <w:lastRenderedPageBreak/>
        <w:t xml:space="preserve">impacts at the neighborhood or individual city level </w:t>
      </w:r>
      <w:r w:rsidRPr="0024536D">
        <w:rPr>
          <w:rFonts w:ascii="Times New Roman" w:hAnsi="Times New Roman"/>
        </w:rPr>
        <w:fldChar w:fldCharType="begin"/>
      </w:r>
      <w:r w:rsidRPr="0024536D">
        <w:rPr>
          <w:rFonts w:ascii="Times New Roman" w:hAnsi="Times New Roman"/>
        </w:rPr>
        <w:instrText xml:space="preserve"> ADDIN ZOTERO_ITEM CSL_CITATION {"citationID":"6kyWKzwJ","properties":{"formattedCitation":"(Abass et al., 2020; Anane, 2021; Anane &amp; Cobbinah, 2022; Cobbinah et al., 2015)","plainCitation":"(Abass et al., 2020; Anane, 2021; Anane &amp; Cobbinah, 2022; Cobbinah et al., 2015)","noteIndex":0},"citationItems":[{"id":549,"uris":["http://zotero.org/users/8906743/items/FRAZTCP3"],"itemData":{"id":549,"type":"article-journal","abstract":"Urban area expansion has often been cited as a flood inducing factor globally. However, there is a dearth of research on how the phenomenon influences the occurrence of floods in Ghana. This paper examines urban sprawl-induced green space depletion and its attendant implications for urban flood incidence in a developing world context. Focusing on Kumasi, the study employed a combined use of geospatial techniques, key informant interviews and direct observations to explain the relationships between urban sprawl and flood occurrence. The study found that impermeable areas have expanded by 54% from 1986 to 2016 while permeable space corre­ spondingly declined by the same rate within the period due to unplanned and unregulated urban expansion. The high proportion of impermeable surface, caused by urban expansion, underlies the worsening flooding situation in Kumasi. But the myriad of other factors such as poor spatial planning, inadequate storm drain infrastructure, poor waste management practices, and law enforcement lax combine to increase the intensity and severity of the floods. Adopting and enforcing smart growth policies are key in addressing the uncontrolled urban expansion and its associated flood challenges. Besides, land use control through legislative enforcement and prioritizing greening by the city authorities and other key stakeholders are essential for effective flood control and mitigation in Kumasi.","container-title":"International Journal of Disaster Risk Reduction","DOI":"10.1016/j.ijdrr.2020.101915","ISSN":"22124209","journalAbbreviation":"International Journal of Disaster Risk Reduction","language":"en","page":"101915","source":"DOI.org (Crossref)","title":"Urban sprawl and green space depletion: Implications for flood incidence in Kumasi, Ghana","title-short":"Urban sprawl and green space depletion","URL":"https://linkinghub.elsevier.com/retrieve/pii/S2212420920314175","volume":"51","author":[{"family":"Abass","given":"Kabila"},{"family":"Buor","given":"Daniel"},{"family":"Afriyie","given":"Kwadwo"},{"family":"Dumedah","given":"Gift"},{"family":"Segbefi","given":"Alex Yao"},{"family":"Guodaar","given":"Lawrence"},{"family":"Garsonu","given":"Emmanuel Kofi"},{"family":"Adu-Gyamfi","given":"Samuel"},{"family":"Forkuor","given":"David"},{"family":"Ofosu","given":"Andrews"},{"family":"Mohammed","given":"Abass"},{"family":"Gyasi","given":"Razak M."}],"accessed":{"date-parts":[["2022",2,15]]},"issued":{"date-parts":[["2020",12]]}}},{"id":774,"uris":["http://zotero.org/users/8906743/items/GAKRQTET"],"itemData":{"id":774,"type":"article-journal","DOI":"10.13140/RG.2.2.21993.83047","language":"en","note":"publisher: Unpublished","source":"DOI.org (Datacite)","title":"Urban planning legislation and physical development in Ghana","URL":"http://rgdoi.net/10.13140/RG.2.2.21993.83047","author":[{"family":"Anane","given":"George Kwadwo"}],"accessed":{"date-parts":[["2023",8,23]]},"issued":{"date-parts":[["2021"]]}}},{"id":87,"uris":["http://zotero.org/users/8906743/items/V8PEW32P"],"itemData":{"id":87,"type":"article-journal","abstract":"This paper compares everyday land administration systems and local planning practices involving traditional authorities and local statutory planning officials in the transformation of peri-urban areas in Ghana. First, it analyses the processes and conflicts in local plan preparation for peri-urban transformation. Second, it examines the power relations between traditional authorities and statutory planning officials in peri-urban land use planning. It uses a qualitative research design involving in-depth interviews and secondary data analysis, and a comparative case studies of Abuakwa and Adomako peri-urban communities in Ghanaian cities of Kumasi and Sunyani respectively. Findings show that conflicting rationalities and power relations between formal and customary land use planning are likely to occur when one stakeholder significantly overshadows the role of the other. In Abuakwa, the dominance of traditional authorities in land use planning has rendered statutory planning agencies ineffective. Similarly, the overemphasis on Lands Commission’s role in land use planning activities in the Adomako case is producing conflicting rationalities both within and between statutory planning and tradi­ tional authorities. This paper argues that when roles are not defined in hybridized land use planning and management system, it is the peri-urban areas experiencing rapid transformation that suffer from haphazard, unplanned and non-inclusive development.","container-title":"Habitat International","DOI":"10.1016/j.habitatint.2021.102497","ISSN":"01973975","journalAbbreviation":"Habitat International","language":"en","page":"102497","source":"DOI.org (Crossref)","title":"Everyday politics of land use planning in peri-urbanisation","URL":"https://linkinghub.elsevier.com/retrieve/pii/S0197397521001867","volume":"120","author":[{"family":"Anane","given":"George Kwadwo"},{"family":"Cobbinah","given":"Patrick Brandful"}],"accessed":{"date-parts":[["2022",1,30]]},"issued":{"date-parts":[["2022",2]]}}},{"id":71,"uris":["http://zotero.org/users/8906743/items/Q64A3IFT"],"itemData":{"id":71,"type":"article-journal","abstract":"Sustainable development remains one of the most advocated development concepts worldwide, yet, there continues to be limited signs of progress towards its achievement in Africa. Recent studies identify rapid and unplanned urbanisation as a major threat. With Africa expected to become a home to nearly quarter (1.3 billion) of the world’s urban population in 2050, research into the ramiﬁcations of urbanisation on the functionality of the region’s urban environment is urgent and tenable. This paper ﬂeshes out and teases apart the implications of rapid urbanisation on sustainable development of Africa.","container-title":"Cities","DOI":"10.1016/j.cities.2015.03.013","ISSN":"02642751","journalAbbreviation":"Cities","language":"en","page":"62-72","source":"DOI.org (Crossref)","title":"Africa’s urbanisation: Implications for sustainable development","title-short":"Africa’s urbanisation","URL":"https://linkinghub.elsevier.com/retrieve/pii/S026427511500044X","volume":"47","author":[{"family":"Cobbinah","given":"Patrick Brandful"},{"family":"Erdiaw-Kwasie","given":"Michael Odei"},{"family":"Amoateng","given":"Paul"}],"accessed":{"date-parts":[["2022",1,30]]},"issued":{"date-parts":[["2015",9]]}}}],"schema":"https://github.com/citation-style-language/schema/raw/master/csl-citation.json"} </w:instrText>
      </w:r>
      <w:r w:rsidRPr="0024536D">
        <w:rPr>
          <w:rFonts w:ascii="Times New Roman" w:hAnsi="Times New Roman"/>
        </w:rPr>
        <w:fldChar w:fldCharType="separate"/>
      </w:r>
      <w:r w:rsidRPr="0024536D">
        <w:rPr>
          <w:rFonts w:ascii="Times New Roman" w:hAnsi="Times New Roman"/>
        </w:rPr>
        <w:t>(Abass et al., 2020; Anane, 2021; Anane &amp; Cobbinah, 2022; Cobbinah et al., 2015)</w:t>
      </w:r>
      <w:r w:rsidRPr="0024536D">
        <w:rPr>
          <w:rFonts w:ascii="Times New Roman" w:hAnsi="Times New Roman"/>
        </w:rPr>
        <w:fldChar w:fldCharType="end"/>
      </w:r>
      <w:r w:rsidRPr="000F3162">
        <w:rPr>
          <w:rFonts w:ascii="Times New Roman" w:hAnsi="Times New Roman"/>
        </w:rPr>
        <w:t xml:space="preserve">. The survey and interview data </w:t>
      </w:r>
      <w:r w:rsidR="00AD5FAF">
        <w:rPr>
          <w:rFonts w:ascii="Times New Roman" w:hAnsi="Times New Roman"/>
        </w:rPr>
        <w:t>moslty</w:t>
      </w:r>
      <w:r w:rsidRPr="000F3162">
        <w:rPr>
          <w:rFonts w:ascii="Times New Roman" w:hAnsi="Times New Roman"/>
        </w:rPr>
        <w:t xml:space="preserve"> </w:t>
      </w:r>
      <w:r w:rsidR="00AD5FAF">
        <w:rPr>
          <w:rFonts w:ascii="Times New Roman" w:hAnsi="Times New Roman"/>
        </w:rPr>
        <w:t>come</w:t>
      </w:r>
      <w:r w:rsidRPr="000F3162">
        <w:rPr>
          <w:rFonts w:ascii="Times New Roman" w:hAnsi="Times New Roman"/>
        </w:rPr>
        <w:t xml:space="preserve"> from urban stakeholders, including planners, chiefs, urban residents, and landowners with relevant knowledge of urban expansion. </w:t>
      </w:r>
      <w:r w:rsidR="00770318">
        <w:rPr>
          <w:rFonts w:ascii="Times New Roman" w:hAnsi="Times New Roman"/>
        </w:rPr>
        <w:t>P</w:t>
      </w:r>
      <w:r w:rsidR="00B12C02">
        <w:rPr>
          <w:rFonts w:ascii="Times New Roman" w:hAnsi="Times New Roman"/>
        </w:rPr>
        <w:t>revious studies integrating satellite data with quantitative surveys and qualitative interviews</w:t>
      </w:r>
      <w:r w:rsidR="00635CCA">
        <w:rPr>
          <w:rFonts w:ascii="Times New Roman" w:hAnsi="Times New Roman"/>
        </w:rPr>
        <w:t>, however,</w:t>
      </w:r>
      <w:r w:rsidRPr="000F3162">
        <w:rPr>
          <w:rFonts w:ascii="Times New Roman" w:hAnsi="Times New Roman"/>
        </w:rPr>
        <w:t xml:space="preserve"> have focused on individual primary cities</w:t>
      </w:r>
      <w:r w:rsidR="00343707">
        <w:rPr>
          <w:rFonts w:ascii="Times New Roman" w:hAnsi="Times New Roman"/>
        </w:rPr>
        <w:t xml:space="preserve">, limiting our understanding </w:t>
      </w:r>
      <w:r w:rsidR="00BC07EF">
        <w:rPr>
          <w:rFonts w:ascii="Times New Roman" w:hAnsi="Times New Roman"/>
        </w:rPr>
        <w:t xml:space="preserve">of the causes of urban expansion </w:t>
      </w:r>
      <w:r w:rsidR="00343707">
        <w:rPr>
          <w:rFonts w:ascii="Times New Roman" w:hAnsi="Times New Roman"/>
        </w:rPr>
        <w:t>across</w:t>
      </w:r>
      <w:r w:rsidR="005E26A4">
        <w:rPr>
          <w:rFonts w:ascii="Times New Roman" w:hAnsi="Times New Roman"/>
        </w:rPr>
        <w:t xml:space="preserve"> </w:t>
      </w:r>
      <w:r w:rsidR="000E77A1">
        <w:rPr>
          <w:rFonts w:ascii="Times New Roman" w:hAnsi="Times New Roman"/>
        </w:rPr>
        <w:t xml:space="preserve">multiple </w:t>
      </w:r>
      <w:r w:rsidR="005E26A4">
        <w:rPr>
          <w:rFonts w:ascii="Times New Roman" w:hAnsi="Times New Roman"/>
        </w:rPr>
        <w:t>cities</w:t>
      </w:r>
      <w:r w:rsidRPr="000F3162">
        <w:rPr>
          <w:rFonts w:ascii="Times New Roman" w:hAnsi="Times New Roman"/>
        </w:rPr>
        <w:t xml:space="preserve">. </w:t>
      </w:r>
    </w:p>
    <w:p w14:paraId="35195859" w14:textId="77777777" w:rsidR="00310789" w:rsidRDefault="00310789" w:rsidP="00310789">
      <w:pPr>
        <w:ind w:firstLine="360"/>
        <w:rPr>
          <w:rFonts w:ascii="Times New Roman" w:eastAsia="Aptos" w:hAnsi="Times New Roman"/>
          <w:i/>
          <w:iCs/>
          <w:lang w:bidi="ar-SA"/>
          <w14:ligatures w14:val="standardContextual"/>
        </w:rPr>
      </w:pPr>
    </w:p>
    <w:p w14:paraId="285F239A" w14:textId="66203EF1" w:rsidR="00310789" w:rsidRPr="00CE6992" w:rsidRDefault="001E2B66" w:rsidP="00310789">
      <w:pPr>
        <w:pStyle w:val="Heading2"/>
        <w:rPr>
          <w:rFonts w:eastAsia="Aptos"/>
        </w:rPr>
      </w:pPr>
      <w:bookmarkStart w:id="14" w:name="_Toc172288700"/>
      <w:r>
        <w:rPr>
          <w:rFonts w:eastAsia="Aptos"/>
        </w:rPr>
        <w:t>U</w:t>
      </w:r>
      <w:r w:rsidR="00310789">
        <w:rPr>
          <w:rFonts w:eastAsia="Aptos"/>
        </w:rPr>
        <w:t>rban expansion</w:t>
      </w:r>
      <w:r>
        <w:rPr>
          <w:rFonts w:eastAsia="Aptos"/>
        </w:rPr>
        <w:t xml:space="preserve"> modeling</w:t>
      </w:r>
      <w:bookmarkEnd w:id="14"/>
    </w:p>
    <w:p w14:paraId="569F055B" w14:textId="197E9E7F" w:rsidR="00164A08" w:rsidRPr="000F3162" w:rsidRDefault="00164A08" w:rsidP="00164A08">
      <w:pPr>
        <w:ind w:firstLine="360"/>
        <w:rPr>
          <w:rFonts w:ascii="Times New Roman" w:eastAsia="Aptos" w:hAnsi="Times New Roman"/>
          <w:color w:val="000000"/>
          <w:shd w:val="clear" w:color="auto" w:fill="FFFFFF"/>
        </w:rPr>
      </w:pPr>
      <w:r w:rsidRPr="000F3162">
        <w:rPr>
          <w:rFonts w:ascii="Times New Roman" w:hAnsi="Times New Roman"/>
        </w:rPr>
        <w:t xml:space="preserve">Satellite data and qualitative data are useful information in calibrating and parameterizing urban expansion models to better mimic future expansion. Most urban simulation models such as </w:t>
      </w:r>
      <w:r w:rsidRPr="000F3162">
        <w:rPr>
          <w:rFonts w:ascii="Times New Roman" w:eastAsia="Aptos" w:hAnsi="Times New Roman"/>
          <w:b/>
          <w:bCs/>
          <w:color w:val="000000"/>
          <w:shd w:val="clear" w:color="auto" w:fill="FFFFFF"/>
        </w:rPr>
        <w:t>FUT</w:t>
      </w:r>
      <w:r w:rsidRPr="000F3162">
        <w:rPr>
          <w:rFonts w:ascii="Times New Roman" w:eastAsia="Aptos" w:hAnsi="Times New Roman"/>
          <w:color w:val="000000"/>
          <w:shd w:val="clear" w:color="auto" w:fill="FFFFFF"/>
        </w:rPr>
        <w:t xml:space="preserve">ure </w:t>
      </w:r>
      <w:r w:rsidRPr="000F3162">
        <w:rPr>
          <w:rFonts w:ascii="Times New Roman" w:eastAsia="Aptos" w:hAnsi="Times New Roman"/>
          <w:b/>
          <w:bCs/>
          <w:color w:val="000000"/>
          <w:shd w:val="clear" w:color="auto" w:fill="FFFFFF"/>
        </w:rPr>
        <w:t>U</w:t>
      </w:r>
      <w:r w:rsidRPr="000F3162">
        <w:rPr>
          <w:rFonts w:ascii="Times New Roman" w:eastAsia="Aptos" w:hAnsi="Times New Roman"/>
          <w:color w:val="000000"/>
          <w:shd w:val="clear" w:color="auto" w:fill="FFFFFF"/>
        </w:rPr>
        <w:t>rban</w:t>
      </w:r>
      <w:r w:rsidR="00623BEF">
        <w:rPr>
          <w:rFonts w:ascii="Times New Roman" w:eastAsia="Aptos" w:hAnsi="Times New Roman"/>
          <w:color w:val="000000"/>
          <w:shd w:val="clear" w:color="auto" w:fill="FFFFFF"/>
        </w:rPr>
        <w:t>-</w:t>
      </w:r>
      <w:r w:rsidRPr="000F3162">
        <w:rPr>
          <w:rFonts w:ascii="Times New Roman" w:eastAsia="Aptos" w:hAnsi="Times New Roman"/>
          <w:b/>
          <w:bCs/>
          <w:color w:val="000000"/>
          <w:shd w:val="clear" w:color="auto" w:fill="FFFFFF"/>
        </w:rPr>
        <w:t>R</w:t>
      </w:r>
      <w:r w:rsidR="00674EBA">
        <w:rPr>
          <w:rFonts w:ascii="Times New Roman" w:eastAsia="Aptos" w:hAnsi="Times New Roman"/>
          <w:color w:val="000000"/>
          <w:shd w:val="clear" w:color="auto" w:fill="FFFFFF"/>
        </w:rPr>
        <w:t>e</w:t>
      </w:r>
      <w:r w:rsidRPr="000F3162">
        <w:rPr>
          <w:rFonts w:ascii="Times New Roman" w:eastAsia="Aptos" w:hAnsi="Times New Roman"/>
          <w:color w:val="000000"/>
          <w:shd w:val="clear" w:color="auto" w:fill="FFFFFF"/>
        </w:rPr>
        <w:t>gional and</w:t>
      </w:r>
      <w:r w:rsidR="00884A40">
        <w:rPr>
          <w:rFonts w:ascii="Times New Roman" w:eastAsia="Aptos" w:hAnsi="Times New Roman"/>
          <w:color w:val="000000"/>
          <w:shd w:val="clear" w:color="auto" w:fill="FFFFFF"/>
        </w:rPr>
        <w:t xml:space="preserve"> </w:t>
      </w:r>
      <w:r w:rsidR="00884A40" w:rsidRPr="00884A40">
        <w:rPr>
          <w:rFonts w:ascii="Times New Roman" w:eastAsia="Aptos" w:hAnsi="Times New Roman"/>
          <w:b/>
          <w:bCs/>
          <w:color w:val="000000"/>
          <w:shd w:val="clear" w:color="auto" w:fill="FFFFFF"/>
        </w:rPr>
        <w:t>E</w:t>
      </w:r>
      <w:r w:rsidR="00884A40">
        <w:rPr>
          <w:rFonts w:ascii="Times New Roman" w:eastAsia="Aptos" w:hAnsi="Times New Roman"/>
          <w:color w:val="000000"/>
          <w:shd w:val="clear" w:color="auto" w:fill="FFFFFF"/>
        </w:rPr>
        <w:t>nvironment</w:t>
      </w:r>
      <w:r w:rsidRPr="000F3162">
        <w:rPr>
          <w:rFonts w:ascii="Times New Roman" w:eastAsia="Aptos" w:hAnsi="Times New Roman"/>
          <w:color w:val="000000"/>
          <w:shd w:val="clear" w:color="auto" w:fill="FFFFFF"/>
        </w:rPr>
        <w:t xml:space="preserve"> </w:t>
      </w:r>
      <w:r w:rsidRPr="000F3162">
        <w:rPr>
          <w:rFonts w:ascii="Times New Roman" w:eastAsia="Aptos" w:hAnsi="Times New Roman"/>
          <w:b/>
          <w:bCs/>
          <w:color w:val="000000"/>
          <w:shd w:val="clear" w:color="auto" w:fill="FFFFFF"/>
        </w:rPr>
        <w:t>S</w:t>
      </w:r>
      <w:r w:rsidRPr="000F3162">
        <w:rPr>
          <w:rFonts w:ascii="Times New Roman" w:eastAsia="Aptos" w:hAnsi="Times New Roman"/>
          <w:color w:val="000000"/>
          <w:shd w:val="clear" w:color="auto" w:fill="FFFFFF"/>
        </w:rPr>
        <w:t>imulation</w:t>
      </w:r>
      <w:r w:rsidRPr="000F3162">
        <w:rPr>
          <w:rFonts w:ascii="Times New Roman" w:hAnsi="Times New Roman"/>
        </w:rPr>
        <w:t xml:space="preserve"> </w:t>
      </w:r>
      <w:r w:rsidRPr="0024536D">
        <w:rPr>
          <w:rFonts w:ascii="Times New Roman" w:hAnsi="Times New Roman"/>
        </w:rPr>
        <w:fldChar w:fldCharType="begin"/>
      </w:r>
      <w:r w:rsidRPr="0024536D">
        <w:rPr>
          <w:rFonts w:ascii="Times New Roman" w:hAnsi="Times New Roman"/>
        </w:rPr>
        <w:instrText xml:space="preserve"> ADDIN ZOTERO_ITEM CSL_CITATION {"citationID":"IH9eY7uZ","properties":{"formattedCitation":"(Meentemeyer et al., 2013)","plainCitation":"(Meentemeyer et al., 2013)","dontUpdate":true,"noteIndex":0},"citationItems":[{"id":15,"uris":["http://zotero.org/users/8906743/items/NJBSXY9D"],"itemData":{"id":15,"type":"article-journal","container-title":"Annals of the Association of American Geographers","DOI":"10.1080/00045608.2012.707591","ISSN":"0004-5608, 1467-8306","issue":"4","journalAbbreviation":"Annals of the Association of American Geographers","language":"en","page":"785-807","source":"DOI.org (Crossref)","title":"FUTURES: Multilevel Simulations of Emerging Urban–Rural Landscape Structure Using a Stochastic Patch-Growing Algorithm","title-short":"FUTURES","URL":"http://www.tandfonline.com/doi/abs/10.1080/00045608.2012.707591","volume":"103","author":[{"family":"Meentemeyer","given":"Ross K."},{"family":"Tang","given":"Wenwu"},{"family":"Dorning","given":"Monica A."},{"family":"Vogler","given":"John B."},{"family":"Cunniffe","given":"Nik J."},{"family":"Shoemaker","given":"Douglas A."}],"accessed":{"date-parts":[["2021",3,27]]},"issued":{"date-parts":[["2013",7]]}}}],"schema":"https://github.com/citation-style-language/schema/raw/master/csl-citation.json"} </w:instrText>
      </w:r>
      <w:r w:rsidRPr="0024536D">
        <w:rPr>
          <w:rFonts w:ascii="Times New Roman" w:hAnsi="Times New Roman"/>
        </w:rPr>
        <w:fldChar w:fldCharType="separate"/>
      </w:r>
      <w:r w:rsidRPr="0024536D">
        <w:rPr>
          <w:rFonts w:ascii="Times New Roman" w:hAnsi="Times New Roman"/>
        </w:rPr>
        <w:t xml:space="preserve">(Meentemeyer et al., 2013; </w:t>
      </w:r>
      <w:r w:rsidRPr="0024536D">
        <w:rPr>
          <w:rFonts w:ascii="Times New Roman" w:hAnsi="Times New Roman"/>
        </w:rPr>
        <w:fldChar w:fldCharType="end"/>
      </w:r>
      <w:r w:rsidRPr="0024536D">
        <w:rPr>
          <w:rFonts w:ascii="Times New Roman" w:hAnsi="Times New Roman"/>
        </w:rPr>
        <w:t>FUTUR</w:t>
      </w:r>
      <w:r w:rsidRPr="000F3162">
        <w:rPr>
          <w:rFonts w:ascii="Times New Roman" w:hAnsi="Times New Roman"/>
        </w:rPr>
        <w:t xml:space="preserve">ES); </w:t>
      </w:r>
      <w:r w:rsidR="00BF1C83" w:rsidRPr="00BF1C83">
        <w:rPr>
          <w:rFonts w:ascii="Times New Roman" w:hAnsi="Times New Roman"/>
          <w:b/>
          <w:bCs/>
        </w:rPr>
        <w:t>S</w:t>
      </w:r>
      <w:r w:rsidRPr="000F3162">
        <w:rPr>
          <w:rFonts w:ascii="Times New Roman" w:hAnsi="Times New Roman"/>
        </w:rPr>
        <w:t xml:space="preserve">lope, </w:t>
      </w:r>
      <w:r w:rsidR="00BF1C83" w:rsidRPr="00BF1C83">
        <w:rPr>
          <w:rFonts w:ascii="Times New Roman" w:hAnsi="Times New Roman"/>
          <w:b/>
          <w:bCs/>
        </w:rPr>
        <w:t>L</w:t>
      </w:r>
      <w:r w:rsidR="00BF1C83">
        <w:rPr>
          <w:rFonts w:ascii="Times New Roman" w:hAnsi="Times New Roman"/>
        </w:rPr>
        <w:t>a</w:t>
      </w:r>
      <w:r w:rsidRPr="000F3162">
        <w:rPr>
          <w:rFonts w:ascii="Times New Roman" w:hAnsi="Times New Roman"/>
        </w:rPr>
        <w:t xml:space="preserve">nd use, </w:t>
      </w:r>
      <w:r w:rsidR="00BF1C83" w:rsidRPr="00BF1C83">
        <w:rPr>
          <w:rFonts w:ascii="Times New Roman" w:hAnsi="Times New Roman"/>
          <w:b/>
          <w:bCs/>
        </w:rPr>
        <w:t>E</w:t>
      </w:r>
      <w:r w:rsidRPr="000F3162">
        <w:rPr>
          <w:rFonts w:ascii="Times New Roman" w:hAnsi="Times New Roman"/>
        </w:rPr>
        <w:t xml:space="preserve">xclusion, </w:t>
      </w:r>
      <w:r w:rsidR="00BF1C83" w:rsidRPr="00BF1C83">
        <w:rPr>
          <w:rFonts w:ascii="Times New Roman" w:hAnsi="Times New Roman"/>
          <w:b/>
          <w:bCs/>
        </w:rPr>
        <w:t>U</w:t>
      </w:r>
      <w:r w:rsidRPr="000F3162">
        <w:rPr>
          <w:rFonts w:ascii="Times New Roman" w:hAnsi="Times New Roman"/>
        </w:rPr>
        <w:t xml:space="preserve">rban extent, </w:t>
      </w:r>
      <w:r w:rsidR="00BF1C83" w:rsidRPr="00BB73B2">
        <w:rPr>
          <w:rFonts w:ascii="Times New Roman" w:hAnsi="Times New Roman"/>
          <w:b/>
          <w:bCs/>
        </w:rPr>
        <w:t>T</w:t>
      </w:r>
      <w:r w:rsidRPr="000F3162">
        <w:rPr>
          <w:rFonts w:ascii="Times New Roman" w:hAnsi="Times New Roman"/>
        </w:rPr>
        <w:t xml:space="preserve">ransportation, and </w:t>
      </w:r>
      <w:r w:rsidR="00BF1C83" w:rsidRPr="00BB73B2">
        <w:rPr>
          <w:rFonts w:ascii="Times New Roman" w:hAnsi="Times New Roman"/>
          <w:b/>
          <w:bCs/>
        </w:rPr>
        <w:t>H</w:t>
      </w:r>
      <w:r w:rsidRPr="000F3162">
        <w:rPr>
          <w:rFonts w:ascii="Times New Roman" w:hAnsi="Times New Roman"/>
        </w:rPr>
        <w:t xml:space="preserve">ill shade </w:t>
      </w:r>
      <w:r w:rsidRPr="0024536D">
        <w:rPr>
          <w:rFonts w:ascii="Times New Roman" w:hAnsi="Times New Roman"/>
        </w:rPr>
        <w:fldChar w:fldCharType="begin"/>
      </w:r>
      <w:r w:rsidRPr="0024536D">
        <w:rPr>
          <w:rFonts w:ascii="Times New Roman" w:hAnsi="Times New Roman"/>
        </w:rPr>
        <w:instrText xml:space="preserve"> ADDIN ZOTERO_ITEM CSL_CITATION {"citationID":"nUOMRay7","properties":{"formattedCitation":"(Clarke et al., 1997)","plainCitation":"(Clarke et al., 1997)","dontUpdate":true,"noteIndex":0},"citationItems":[{"id":602,"uris":["http://zotero.org/users/8906743/items/LRQFRKTJ"],"itemData":{"id":602,"type":"article-journal","abstract":"In this paper we describe a cellular automaton (CA) simulation model developed to predict urban growth as part of a project for estimating the regional and broader impact of urbanization on the San Francisco Bay area's climate. The rules of the model are more complex than those of a typical CA and involve the use of multiple data sources, including topography, road networks, and existing settlement distributions, and their modification over time. In addition, the control parameters of the model are allowed to self-modify: that is, the CA adapts itself to the circumstances it generates, in particular, during periods of rapid growth or stagnation. In addition, the model was written to allow the accumulation of probabilistic estimates based on Monte Carlo methods. Calibration of the model has been accomplished by the use of historical maps to compare model predictions of urbanization, based solely upon the distribution in year 1900, with observed data for years 1940, 1954, 1962, 1974, and 1990. The complexity of this model has made calibration a particularly demanding step. Lessons learned about the methods, measures, and strategies developed to calibrate the model may be of use in other environmental modeling contexts. With the calibration complete, the model is being used to generate a set of future scenarios for the San Francisco Bay area along with their probabilities based on the Monte Carlo version of the model. Animated dynamic mapping of the simulations will be used to allow visualization of the impact of future urban growth.","container-title":"Environment and Planning B: Planning and Design","DOI":"10.1068/b240247","ISSN":"0265-8135, 1472-3417","issue":"2","journalAbbreviation":"Environ. Plann. B","language":"en","page":"247-261","source":"DOI.org (Crossref)","title":"A self-modifying cellular automaton model of historical urbanization in the San Francisco Bay area","URL":"http://epb.sagepub.com/lookup/doi/10.1068/b240247","volume":"24","author":[{"family":"Clarke","given":"K C"},{"family":"Hoppen","given":"S"},{"family":"Gaydos","given":"L"}],"accessed":{"date-parts":[["2022",3,7]]},"issued":{"date-parts":[["1997"]]}}}],"schema":"https://github.com/citation-style-language/schema/raw/master/csl-citation.json"} </w:instrText>
      </w:r>
      <w:r w:rsidRPr="0024536D">
        <w:rPr>
          <w:rFonts w:ascii="Times New Roman" w:hAnsi="Times New Roman"/>
        </w:rPr>
        <w:fldChar w:fldCharType="separate"/>
      </w:r>
      <w:r w:rsidRPr="0024536D">
        <w:rPr>
          <w:rFonts w:ascii="Times New Roman" w:hAnsi="Times New Roman"/>
        </w:rPr>
        <w:t>(Clarke et al., 1997</w:t>
      </w:r>
      <w:r w:rsidRPr="0024536D">
        <w:rPr>
          <w:rFonts w:ascii="Times New Roman" w:hAnsi="Times New Roman"/>
        </w:rPr>
        <w:fldChar w:fldCharType="end"/>
      </w:r>
      <w:r w:rsidRPr="0024536D">
        <w:rPr>
          <w:rFonts w:ascii="Times New Roman" w:hAnsi="Times New Roman"/>
        </w:rPr>
        <w:t xml:space="preserve">; </w:t>
      </w:r>
      <w:r w:rsidRPr="000F3162">
        <w:rPr>
          <w:rFonts w:ascii="Times New Roman" w:hAnsi="Times New Roman"/>
        </w:rPr>
        <w:t xml:space="preserve">SLEUTH), and future land use simulation </w:t>
      </w:r>
      <w:r w:rsidRPr="0024536D">
        <w:rPr>
          <w:rFonts w:ascii="Times New Roman" w:hAnsi="Times New Roman"/>
        </w:rPr>
        <w:fldChar w:fldCharType="begin"/>
      </w:r>
      <w:r w:rsidRPr="0024536D">
        <w:rPr>
          <w:rFonts w:ascii="Times New Roman" w:hAnsi="Times New Roman"/>
        </w:rPr>
        <w:instrText xml:space="preserve"> ADDIN ZOTERO_ITEM CSL_CITATION {"citationID":"jJeeQsbV","properties":{"formattedCitation":"(Liu et al., 2017)","plainCitation":"(Liu et al., 2017)","dontUpdate":true,"noteIndex":0},"citationItems":[{"id":20,"uris":["http://zotero.org/users/8906743/items/QSGZPQ48"],"itemData":{"id":20,"type":"article-journal","abstract":"Land use and land cover change (LUCC) simulation models are eﬀective and reproducible tools for analyzing both the causes and consequences of future landscape dynamics under various scenarios. Current simulation models primarily focus on the evolution of speciﬁc land use types under the inﬂuence of human activities, but they rarely consider background climatic eﬀects. However, these background climate changes signiﬁcantly aﬀect the landscape dynamics and should be incorporated into long-term LUCC simulations under various humanclimate-included scenarios. In this paper, we propose a future land use simulation (FLUS) model that explicitly simulates the long-term spatial trajectories of multiple LUCCs. The top-down system dynamics and bottom-up cellular automata were interactively coupled during the projection period, which improved the model’s ability to accurately simulate future land use patterns. A self-adaptive inertia and competition mechanism was developed within the CA model to process the complex competitions and interactions between the diﬀerent land use types. The proposed model was applied to an LUCC simulation in China from 2000 to 2010. The results show promising grid-to-grid agreement compared to actual land use, and the simulation accuracy is higher than other wellaccepted models, such as CLUE-S and CA models. The model was further applied to the simulation of four scenarios from 2010 to 2050 that depict diﬀerent development strategies by considering various socio-economic and natural climatic factors. The simulation results and ﬁndings demonstrate that the proposed model is effective for future LUCC simulation under variously designed scenarios. FLUS is available for free download at http://www.geosimulation.cn/FLUS.html.","container-title":"Landscape and Urban Planning","DOI":"10.1016/j.landurbplan.2017.09.019","ISSN":"01692046","journalAbbreviation":"Landscape and Urban Planning","language":"en","page":"94-116","source":"DOI.org (Crossref)","title":"A future land use simulation model (FLUS) for simulating multiple land use scenarios by coupling human and natural effects","URL":"https://linkinghub.elsevier.com/retrieve/pii/S0169204617302396","volume":"168","author":[{"family":"Liu","given":"Xiaoping"},{"family":"Liang","given":"Xun"},{"family":"Li","given":"Xia"},{"family":"Xu","given":"Xiaocong"},{"family":"Ou","given":"Jinpei"},{"family":"Chen","given":"Yimin"},{"family":"Li","given":"Shaoying"},{"family":"Wang","given":"Shaojian"},{"family":"Pei","given":"Fengsong"}],"accessed":{"date-parts":[["2022",3,7]]},"issued":{"date-parts":[["2017",12]]}}}],"schema":"https://github.com/citation-style-language/schema/raw/master/csl-citation.json"} </w:instrText>
      </w:r>
      <w:r w:rsidRPr="0024536D">
        <w:rPr>
          <w:rFonts w:ascii="Times New Roman" w:hAnsi="Times New Roman"/>
        </w:rPr>
        <w:fldChar w:fldCharType="separate"/>
      </w:r>
      <w:r w:rsidRPr="0024536D">
        <w:rPr>
          <w:rFonts w:ascii="Times New Roman" w:hAnsi="Times New Roman"/>
        </w:rPr>
        <w:t>(Liu et al., 2017</w:t>
      </w:r>
      <w:r w:rsidRPr="0024536D">
        <w:rPr>
          <w:rFonts w:ascii="Times New Roman" w:hAnsi="Times New Roman"/>
        </w:rPr>
        <w:fldChar w:fldCharType="end"/>
      </w:r>
      <w:r w:rsidRPr="000F3162">
        <w:rPr>
          <w:rFonts w:ascii="Times New Roman" w:hAnsi="Times New Roman"/>
        </w:rPr>
        <w:t xml:space="preserve">; FLUS) require historical urban data from satellites to extrapolate expansion rates and patterns into the </w:t>
      </w:r>
      <w:r>
        <w:rPr>
          <w:rFonts w:ascii="Times New Roman" w:hAnsi="Times New Roman"/>
        </w:rPr>
        <w:t>future</w:t>
      </w:r>
      <w:r w:rsidRPr="000F3162">
        <w:rPr>
          <w:rFonts w:ascii="Times New Roman" w:hAnsi="Times New Roman"/>
        </w:rPr>
        <w:t xml:space="preserve">. Qualitative data are usually time-consuming and costly to </w:t>
      </w:r>
      <w:r w:rsidR="00416BE2">
        <w:rPr>
          <w:rFonts w:ascii="Times New Roman" w:hAnsi="Times New Roman"/>
        </w:rPr>
        <w:t>collect and analy</w:t>
      </w:r>
      <w:r w:rsidR="00B20F85">
        <w:rPr>
          <w:rFonts w:ascii="Times New Roman" w:hAnsi="Times New Roman"/>
        </w:rPr>
        <w:t>ze over large areas</w:t>
      </w:r>
      <w:r w:rsidRPr="000F3162">
        <w:rPr>
          <w:rFonts w:ascii="Times New Roman" w:hAnsi="Times New Roman"/>
        </w:rPr>
        <w:t xml:space="preserve">, and privacy issues and national sovereignty guidelines limit sharing across multiple groups and countries </w:t>
      </w:r>
      <w:r w:rsidRPr="0024536D">
        <w:rPr>
          <w:rFonts w:ascii="Times New Roman" w:hAnsi="Times New Roman"/>
        </w:rPr>
        <w:fldChar w:fldCharType="begin"/>
      </w:r>
      <w:r w:rsidRPr="0024536D">
        <w:rPr>
          <w:rFonts w:ascii="Times New Roman" w:hAnsi="Times New Roman"/>
        </w:rPr>
        <w:instrText xml:space="preserve"> ADDIN ZOTERO_ITEM CSL_CITATION {"citationID":"UjHZt6um","properties":{"formattedCitation":"(Alexander et al., 2020; Carroll et al., 2021)","plainCitation":"(Alexander et al., 2020; Carroll et al., 2021)","noteIndex":0},"citationItems":[{"id":835,"uris":["http://zotero.org/users/8906743/items/HUQ5K7BY"],"itemData":{"id":835,"type":"article-journal","abstract":"Socio–environmental synthesis as a research approach contributes to broader sustainability policy and practice by reusing data from disparate disciplines in innovative ways. Synthesizing diverse data sources and types of evidence can help to better conceptualize, investigate and address increasingly complex socio–environmental problems. However, sharing qualitative data for re-use remains uncommon when compared to sharing quantitative data. We argue that qualitative data present untapped opportunities for sustainability science, and discuss practical pathways to facilitate and realize the benefits from sharing and reusing qualitative data. However, these opportunities and benefits are also hindered by practical, ethical and epistemological challenges. To address these challenges and accelerate qualitative data sharing, we outline enabling conditions and suggest actions for researchers, institutions, funders, data repository managers and publishers.","container-title":"Nature Sustainability","DOI":"10.1038/s41893-019-0434-8","ISSN":"2398-9629","issue":"2","journalAbbreviation":"Nat Sustain","language":"en","license":"2019 Springer Nature Limited","note":"number: 2\npublisher: Nature Publishing Group","page":"81-88","source":"www.nature.com","title":"Qualitative data sharing and synthesis for sustainability science","URL":"https://www.nature.com/articles/s41893-019-0434-8","volume":"3","author":[{"family":"Alexander","given":"Steven M."},{"family":"Jones","given":"Kristal"},{"family":"Bennett","given":"Nathan J."},{"family":"Budden","given":"Amber"},{"family":"Cox","given":"Michael"},{"family":"Crosas","given":"Mercè"},{"family":"Game","given":"Edward T."},{"family":"Geary","given":"Janis"},{"family":"Hardy","given":"R. Dean"},{"family":"Johnson","given":"Jay T."},{"family":"Karcher","given":"Sebastian"},{"family":"Motzer","given":"Nicole"},{"family":"Pittman","given":"Jeremy"},{"family":"Randell","given":"Heather"},{"family":"Silva","given":"Julie A."},{"family":"Silva","given":"Patricia Pinto","non-dropping-particle":"da"},{"family":"Strasser","given":"Carly"},{"family":"Strawhacker","given":"Colleen"},{"family":"Stuhl","given":"Andrew"},{"family":"Weber","given":"Nic"}],"accessed":{"date-parts":[["2022",10,26]]},"issued":{"date-parts":[["2020",2]]}}},{"id":315,"uris":["http://zotero.org/users/8906743/items/KHRNIL8U"],"itemData":{"id":315,"type":"article-journal","abstract":"As big data, open data, and open science advance to increase access to complex and large datasets for innovation, discovery, and decision-making, Indigenous Peoples’ rights to control and access their data within these data environments remain limited. Operationalizing the FAIR Principles for scientific data with the CARE Principles for Indigenous Data Governance enhances machine actionability and brings people and purpose to the fore to resolve Indigenous Peoples’ rights to and interests in their data across the data lifecycle.","container-title":"Scientific Data","DOI":"10.1038/s41597-021-00892-0","ISSN":"2052-4463","issue":"1","journalAbbreviation":"Sci Data","language":"en","license":"2021 The Author(s)","note":"number: 1\npublisher: Nature Publishing Group","page":"108","source":"www.nature.com","title":"Operationalizing the CARE and FAIR Principles for Indigenous data futures","URL":"https://www.nature.com/articles/s41597-021-00892-0","volume":"8","author":[{"family":"Carroll","given":"Stephanie Russo"},{"family":"Herczog","given":"Edit"},{"family":"Hudson","given":"Maui"},{"family":"Russell","given":"Keith"},{"family":"Stall","given":"Shelley"}],"accessed":{"date-parts":[["2022",8,30]]},"issued":{"date-parts":[["2021",4,16]]}}}],"schema":"https://github.com/citation-style-language/schema/raw/master/csl-citation.json"} </w:instrText>
      </w:r>
      <w:r w:rsidRPr="0024536D">
        <w:rPr>
          <w:rFonts w:ascii="Times New Roman" w:hAnsi="Times New Roman"/>
        </w:rPr>
        <w:fldChar w:fldCharType="separate"/>
      </w:r>
      <w:r w:rsidRPr="0024536D">
        <w:rPr>
          <w:rFonts w:ascii="Times New Roman" w:hAnsi="Times New Roman"/>
        </w:rPr>
        <w:t>(Alexander et al., 2020; Carroll et al., 2021)</w:t>
      </w:r>
      <w:r w:rsidRPr="0024536D">
        <w:rPr>
          <w:rFonts w:ascii="Times New Roman" w:hAnsi="Times New Roman"/>
        </w:rPr>
        <w:fldChar w:fldCharType="end"/>
      </w:r>
      <w:r w:rsidRPr="000F3162">
        <w:rPr>
          <w:rFonts w:ascii="Times New Roman" w:hAnsi="Times New Roman"/>
        </w:rPr>
        <w:t xml:space="preserve">. Some models, such as InformalCity </w:t>
      </w:r>
      <w:r w:rsidRPr="0024536D">
        <w:rPr>
          <w:rFonts w:ascii="Times New Roman" w:hAnsi="Times New Roman"/>
        </w:rPr>
        <w:fldChar w:fldCharType="begin"/>
      </w:r>
      <w:r w:rsidRPr="0024536D">
        <w:rPr>
          <w:rFonts w:ascii="Times New Roman" w:hAnsi="Times New Roman"/>
        </w:rPr>
        <w:instrText xml:space="preserve"> ADDIN ZOTERO_ITEM CSL_CITATION {"citationID":"8qteHooL","properties":{"formattedCitation":"(Agyemang &amp; Silva, 2019)","plainCitation":"(Agyemang &amp; Silva, 2019)","dontUpdate":true,"noteIndex":0},"citationItems":[{"id":95,"uris":["http://zotero.org/users/8906743/items/2U7P8JHP"],"itemData":{"id":95,"type":"article-journal","archive_location":"WOS:000464479200002","container-title":"Applied Geography","DOI":"10.1016/j.apgeog.2019.02.011","ISSN":"0143-6228","journalAbbreviation":"Applied Geography","page":"15-24","title":"Simulating the urban growth of a predominantly informal Ghanaian city-region with a cellular automata model: Implications for urban planning and policy","volume":"105","author":[{"family":"Agyemang","given":"Felix S. K."},{"family":"Silva","given":"Elisabete"}],"issued":{"date-parts":[["2019",4]]}}}],"schema":"https://github.com/citation-style-language/schema/raw/master/csl-citation.json"} </w:instrText>
      </w:r>
      <w:r w:rsidRPr="0024536D">
        <w:rPr>
          <w:rFonts w:ascii="Times New Roman" w:hAnsi="Times New Roman"/>
        </w:rPr>
        <w:fldChar w:fldCharType="separate"/>
      </w:r>
      <w:r w:rsidRPr="0024536D">
        <w:rPr>
          <w:rFonts w:ascii="Times New Roman" w:hAnsi="Times New Roman"/>
        </w:rPr>
        <w:t>(Agyemang &amp; Silva, 2019</w:t>
      </w:r>
      <w:r w:rsidRPr="0024536D">
        <w:rPr>
          <w:rFonts w:ascii="Times New Roman" w:hAnsi="Times New Roman"/>
        </w:rPr>
        <w:fldChar w:fldCharType="end"/>
      </w:r>
      <w:r w:rsidRPr="0024536D">
        <w:rPr>
          <w:rFonts w:ascii="Times New Roman" w:hAnsi="Times New Roman"/>
        </w:rPr>
        <w:t>;</w:t>
      </w:r>
      <w:r w:rsidRPr="000F3162">
        <w:rPr>
          <w:rFonts w:ascii="Times New Roman" w:hAnsi="Times New Roman"/>
        </w:rPr>
        <w:t xml:space="preserve"> TI-City) and ASSURE</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{"citationID":"ILHXu5EY","properties":{"formattedCitation":"(Vermeiren et al., 2016)","plainCitation":"(Vermeiren et al., 2016)","noteIndex":0},"citationItems":[{"id":634,"uris":["http://zotero.org/users/8906743/items/AMLREX5P"],"itemData":{"id":634,"type":"article-journal","archive_location":"WOS:000383667800004","container-title":"International Journal of Geographical Information Science","DOI":"10.1080/13658816.2016.1177641","ISSN":"1365-8816","issue":"12","page":"2377-2400","title":"ASSURE: a model for the simulation of urban expansion and intra-urban social segregation","volume":"30","author":[{"family":"Vermeiren","given":"Karolien"},{"family":"Vanmaercke","given":"Matthias"},{"family":"Beckers","given":"Joris"},{"family":"Van Rompaey","given":"Anton"}],"issued":{"date-parts":[["2016"]]}}}],"schema":"https://github.com/citation-style-language/schema/raw/master/csl-citation.json"} </w:instrText>
      </w:r>
      <w:r>
        <w:rPr>
          <w:rFonts w:ascii="Times New Roman" w:hAnsi="Times New Roman"/>
        </w:rPr>
        <w:fldChar w:fldCharType="separate"/>
      </w:r>
      <w:r w:rsidRPr="00313FF8">
        <w:rPr>
          <w:rFonts w:ascii="Times New Roman" w:hAnsi="Times New Roman"/>
        </w:rPr>
        <w:t>(Vermeiren et al., 2016)</w:t>
      </w:r>
      <w:r>
        <w:rPr>
          <w:rFonts w:ascii="Times New Roman" w:hAnsi="Times New Roman"/>
        </w:rPr>
        <w:fldChar w:fldCharType="end"/>
      </w:r>
      <w:r w:rsidRPr="000F3162">
        <w:rPr>
          <w:rFonts w:ascii="Times New Roman" w:hAnsi="Times New Roman"/>
        </w:rPr>
        <w:t>, require qualitative information, such as locational decisions, sources of income, and religious affiliations to fit the models</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{"citationID":"jtqODgRq","properties":{"formattedCitation":"(An, 2012)","plainCitation":"(An, 2012)","noteIndex":0},"citationItems":[{"id":834,"uris":["http://zotero.org/users/8906743/items/AJXMP8XZ"],"itemData":{"id":834,"type":"article-journal","abstract":"Coupled human and natural systems (CHANS) manifest various complexities such as heterogeneity, nonlinearity, feedback, and emergence. Humans play a critical role in affecting such systems and in giving rise to various environmental consequences, which may in turn affect future human decisions and behavior. In light of complexity theory and its application in CHANS, this paper reviews various decision models used in agent based simulations of CHANS dynamics, discussing their strengths and weaknesses. This paper concludes by advocating development of more process-based decision models as well as protocols or architectures that facilitate better modeling of human decisions in various CHANS.","collection-title":"Modeling Human Decisions","container-title":"Ecological Modelling","DOI":"10.1016/j.ecolmodel.2011.07.010","ISSN":"0304-3800","journalAbbreviation":"Ecological Modelling","language":"en","page":"25-36","source":"ScienceDirect","title":"Modeling human decisions in coupled human and natural systems: Review of agent-based models","title-short":"Modeling human decisions in coupled human and natural systems","URL":"https://www.sciencedirect.com/science/article/pii/S0304380011003802","volume":"229","author":[{"family":"An","given":"Li"}],"accessed":{"date-parts":[["2022",10,26]]},"issued":{"date-parts":[["2012",3,24]]}}}],"schema":"https://github.com/citation-style-language/schema/raw/master/csl-citation.json"} </w:instrText>
      </w:r>
      <w:r>
        <w:rPr>
          <w:rFonts w:ascii="Times New Roman" w:hAnsi="Times New Roman"/>
        </w:rPr>
        <w:fldChar w:fldCharType="separate"/>
      </w:r>
      <w:r w:rsidRPr="00313FF8">
        <w:rPr>
          <w:rFonts w:ascii="Times New Roman" w:hAnsi="Times New Roman"/>
        </w:rPr>
        <w:t>(An, 2012)</w:t>
      </w:r>
      <w:r>
        <w:rPr>
          <w:rFonts w:ascii="Times New Roman" w:hAnsi="Times New Roman"/>
        </w:rPr>
        <w:fldChar w:fldCharType="end"/>
      </w:r>
      <w:r w:rsidR="00347ECF">
        <w:rPr>
          <w:rFonts w:ascii="Times New Roman" w:hAnsi="Times New Roman"/>
        </w:rPr>
        <w:t>. Thus, satellite data and qualitative information are useful in calibrating and validating urban simulation models. These</w:t>
      </w:r>
      <w:r w:rsidRPr="000F3162">
        <w:rPr>
          <w:rFonts w:ascii="Times New Roman" w:hAnsi="Times New Roman"/>
        </w:rPr>
        <w:t xml:space="preserve"> models can provide new insights into the patterns of future urban expansion, which can further support decision-making and planning across countries. </w:t>
      </w:r>
    </w:p>
    <w:p w14:paraId="358E2FBB" w14:textId="77777777" w:rsidR="00903C0B" w:rsidRPr="00103457" w:rsidRDefault="00903C0B" w:rsidP="00903C0B">
      <w:pPr>
        <w:ind w:firstLine="360"/>
        <w:rPr>
          <w:rFonts w:ascii="Times New Roman" w:eastAsia="Aptos" w:hAnsi="Times New Roman"/>
          <w:color w:val="000000"/>
          <w:shd w:val="clear" w:color="auto" w:fill="FFFFFF"/>
          <w:lang w:bidi="ar-SA"/>
          <w14:ligatures w14:val="standardContextual"/>
        </w:rPr>
      </w:pPr>
    </w:p>
    <w:p w14:paraId="5DF1C1E0" w14:textId="77777777" w:rsidR="00103457" w:rsidRPr="00103457" w:rsidRDefault="00103457" w:rsidP="00903C0B">
      <w:pPr>
        <w:pStyle w:val="Heading2"/>
      </w:pPr>
      <w:bookmarkStart w:id="15" w:name="_Toc172288701"/>
      <w:r w:rsidRPr="00103457">
        <w:lastRenderedPageBreak/>
        <w:t>Purpose of dissertation and overview of chapters</w:t>
      </w:r>
      <w:bookmarkEnd w:id="15"/>
    </w:p>
    <w:p w14:paraId="098556C9" w14:textId="6C452909" w:rsidR="00B152DF" w:rsidRPr="000F3162" w:rsidRDefault="00B152DF" w:rsidP="00B152DF">
      <w:pPr>
        <w:ind w:firstLine="360"/>
        <w:rPr>
          <w:rFonts w:ascii="Times New Roman" w:eastAsia="Aptos" w:hAnsi="Times New Roman"/>
        </w:rPr>
      </w:pPr>
      <w:r w:rsidRPr="000F3162">
        <w:rPr>
          <w:rFonts w:ascii="Times New Roman" w:eastAsia="Aptos" w:hAnsi="Times New Roman"/>
        </w:rPr>
        <w:t>The purpose of this dissertation is three-fold: 1) to quantify the historical expansion of cities from 2001 – 2020 using regional calibrated impervious data for West Africa; 2) to understand the causes of urban expansion in</w:t>
      </w:r>
      <w:r w:rsidR="00E2003E">
        <w:rPr>
          <w:rFonts w:ascii="Times New Roman" w:eastAsia="Aptos" w:hAnsi="Times New Roman"/>
        </w:rPr>
        <w:t xml:space="preserve"> West Africa</w:t>
      </w:r>
      <w:r w:rsidRPr="000F3162">
        <w:rPr>
          <w:rFonts w:ascii="Times New Roman" w:eastAsia="Aptos" w:hAnsi="Times New Roman"/>
        </w:rPr>
        <w:t xml:space="preserve">; and 3) to project the future urban expansion of cities from 2020 – 2050.  There is no consistent regional </w:t>
      </w:r>
      <w:r w:rsidR="00786E98">
        <w:rPr>
          <w:rFonts w:ascii="Times New Roman" w:eastAsia="Aptos" w:hAnsi="Times New Roman"/>
        </w:rPr>
        <w:t xml:space="preserve">urban </w:t>
      </w:r>
      <w:r w:rsidRPr="000F3162">
        <w:rPr>
          <w:rFonts w:ascii="Times New Roman" w:eastAsia="Aptos" w:hAnsi="Times New Roman"/>
        </w:rPr>
        <w:t>impervious data that researchers</w:t>
      </w:r>
      <w:r w:rsidR="00F0723A">
        <w:rPr>
          <w:rFonts w:ascii="Times New Roman" w:eastAsia="Aptos" w:hAnsi="Times New Roman"/>
        </w:rPr>
        <w:t xml:space="preserve">, </w:t>
      </w:r>
      <w:r w:rsidRPr="000F3162">
        <w:rPr>
          <w:rFonts w:ascii="Times New Roman" w:eastAsia="Aptos" w:hAnsi="Times New Roman"/>
        </w:rPr>
        <w:t>modelers</w:t>
      </w:r>
      <w:r w:rsidR="00F0723A">
        <w:rPr>
          <w:rFonts w:ascii="Times New Roman" w:eastAsia="Aptos" w:hAnsi="Times New Roman"/>
        </w:rPr>
        <w:t xml:space="preserve">, and interested stakeholders </w:t>
      </w:r>
      <w:r w:rsidRPr="000F3162">
        <w:rPr>
          <w:rFonts w:ascii="Times New Roman" w:eastAsia="Aptos" w:hAnsi="Times New Roman"/>
        </w:rPr>
        <w:t xml:space="preserve">can use to conduct a comparative analysis of urban expansion across all cities and multiple countries. This research provides the first regional </w:t>
      </w:r>
      <w:r w:rsidRPr="000F3162">
        <w:rPr>
          <w:rFonts w:ascii="Times New Roman" w:hAnsi="Times New Roman"/>
        </w:rPr>
        <w:t xml:space="preserve">annual impervious cover dataset that captures all sizes of cities in the WAUS, and future studies can use the </w:t>
      </w:r>
      <w:r w:rsidR="00BF5373">
        <w:rPr>
          <w:rFonts w:ascii="Times New Roman" w:hAnsi="Times New Roman"/>
        </w:rPr>
        <w:t xml:space="preserve">data </w:t>
      </w:r>
      <w:r w:rsidRPr="000F3162">
        <w:rPr>
          <w:rFonts w:ascii="Times New Roman" w:hAnsi="Times New Roman"/>
        </w:rPr>
        <w:t>process</w:t>
      </w:r>
      <w:r w:rsidR="00BF5373">
        <w:rPr>
          <w:rFonts w:ascii="Times New Roman" w:hAnsi="Times New Roman"/>
        </w:rPr>
        <w:t>ing methods</w:t>
      </w:r>
      <w:r w:rsidRPr="000F3162">
        <w:rPr>
          <w:rFonts w:ascii="Times New Roman" w:hAnsi="Times New Roman"/>
        </w:rPr>
        <w:t xml:space="preserve"> to extend the data to other urbanization hotspots and project their changes. This research also provides the first comprehensive analysis of all cities</w:t>
      </w:r>
      <w:r w:rsidR="0045207E">
        <w:rPr>
          <w:rFonts w:ascii="Times New Roman" w:hAnsi="Times New Roman"/>
        </w:rPr>
        <w:t>'</w:t>
      </w:r>
      <w:r w:rsidRPr="000F3162">
        <w:rPr>
          <w:rFonts w:ascii="Times New Roman" w:hAnsi="Times New Roman"/>
        </w:rPr>
        <w:t xml:space="preserve"> expansion in Ghana, Togo, Benin, and Nigeria, and the results can support national and regional planning efforts to maximize the positive impacts of urbanization and limit the </w:t>
      </w:r>
      <w:r w:rsidR="00EA464C">
        <w:rPr>
          <w:rFonts w:ascii="Times New Roman" w:hAnsi="Times New Roman"/>
        </w:rPr>
        <w:t xml:space="preserve">negative </w:t>
      </w:r>
      <w:r w:rsidRPr="000F3162">
        <w:rPr>
          <w:rFonts w:ascii="Times New Roman" w:hAnsi="Times New Roman"/>
        </w:rPr>
        <w:t>impacts of sprawl expansion on livelihood sources and environmental change. Rather than focus on a few individual primary cities that mostly provide a localized understanding of urban expansion, this research emphasizes the need to study the entire urban system since cities are increasingly interconnected and the impacts of changes are much broader. Overall, the</w:t>
      </w:r>
      <w:r w:rsidRPr="000F3162">
        <w:rPr>
          <w:rFonts w:ascii="Times New Roman" w:eastAsia="Aptos" w:hAnsi="Times New Roman"/>
        </w:rPr>
        <w:t xml:space="preserve"> knowledge from this dissertation can support regional urban planning efforts and help countries assess their progress towards realizing the United Nations New Urban Agenda, African Urban Agenda 2063, and Sustainable Development Goals centered on cities.</w:t>
      </w:r>
    </w:p>
    <w:p w14:paraId="5B5F1CDB" w14:textId="068EEF7A" w:rsidR="00B152DF" w:rsidRPr="000F3162" w:rsidRDefault="00B152DF" w:rsidP="00CE573E">
      <w:pPr>
        <w:ind w:firstLine="360"/>
        <w:rPr>
          <w:rFonts w:ascii="Times New Roman" w:eastAsia="Aptos" w:hAnsi="Times New Roman"/>
        </w:rPr>
      </w:pPr>
      <w:r w:rsidRPr="000F3162">
        <w:rPr>
          <w:rFonts w:ascii="Times New Roman" w:eastAsia="Aptos" w:hAnsi="Times New Roman"/>
        </w:rPr>
        <w:t xml:space="preserve">Regional optimized impervious data with high enough spatial resolution </w:t>
      </w:r>
      <w:r>
        <w:rPr>
          <w:rFonts w:ascii="Times New Roman" w:eastAsia="Aptos" w:hAnsi="Times New Roman"/>
        </w:rPr>
        <w:t>(30 meters) can enable us to better</w:t>
      </w:r>
      <w:r w:rsidRPr="000F3162">
        <w:rPr>
          <w:rFonts w:ascii="Times New Roman" w:eastAsia="Aptos" w:hAnsi="Times New Roman"/>
        </w:rPr>
        <w:t xml:space="preserve"> understand how </w:t>
      </w:r>
      <w:r w:rsidR="007A6AEE">
        <w:rPr>
          <w:rFonts w:ascii="Times New Roman" w:eastAsia="Aptos" w:hAnsi="Times New Roman"/>
        </w:rPr>
        <w:t>cities</w:t>
      </w:r>
      <w:r w:rsidRPr="000F3162">
        <w:rPr>
          <w:rFonts w:ascii="Times New Roman" w:eastAsia="Aptos" w:hAnsi="Times New Roman"/>
        </w:rPr>
        <w:t xml:space="preserve"> of varying population sizes contribute to urban expansion in the West African urban system</w:t>
      </w:r>
      <w:r w:rsidR="00DB3417">
        <w:rPr>
          <w:rFonts w:ascii="Times New Roman" w:eastAsia="Aptos" w:hAnsi="Times New Roman"/>
        </w:rPr>
        <w:t xml:space="preserve"> </w:t>
      </w:r>
      <w:r w:rsidR="00DB3417" w:rsidRPr="0024536D">
        <w:rPr>
          <w:rFonts w:ascii="Times New Roman" w:eastAsia="Aptos" w:hAnsi="Times New Roman"/>
        </w:rPr>
        <w:fldChar w:fldCharType="begin"/>
      </w:r>
      <w:r w:rsidR="00DB3417">
        <w:rPr>
          <w:rFonts w:ascii="Times New Roman" w:eastAsia="Aptos" w:hAnsi="Times New Roman"/>
        </w:rPr>
        <w:instrText xml:space="preserve"> ADDIN ZOTERO_ITEM CSL_CITATION {"citationID":"OVq8MsPL","properties":{"formattedCitation":"(Chai &amp; Seto, 2019; Tulbure et al., 2022; Xu et al., 2019)","plainCitation":"(Chai &amp; Seto, 2019; Tulbure et al., 2022; Xu et al., 2019)","noteIndex":0},"citationItems":[{"id":447,"uris":["http://zotero.org/users/8906743/items/BGWHKAXP"],"itemData":{"id":447,"type":"article-journal","abstract":"Sustainable Development Goals (SDG) require sustainable urban development and management for better human life quality. Small urban settlements—those with fewer than 500,000 people—are home to 26.5% of the world’s population. Yet, relatively little research attention has been paid to understanding the structure and dynamics of these smaller cities. In this paper, we propose a new concept, micro-urbanization, to fill this knowledge gap, and develop a methodology to characterize and map it using dense remote sensing time series data and landscape pattern metrics. We define micro-urbanization as a process of urban land change that has five primary characteristics: small, patchy, far from main urban areas, with limited geographic connection with existing urban areas and low urban intensity. We apply the method to two rapidly urbanizing countries in Africa, Nigeria and the Democratic Republic of the Congo. Results show that the methodology is capable of detecting micro-urbanization with relatively high spatial and temporal accuracy.","container-title":"Landscape and Urban Planning","DOI":"10.1016/j.landurbplan.2019.103595","ISSN":"01692046","journalAbbreviation":"Landscape and Urban Planning","language":"en","page":"103595","source":"DOI.org (Crossref)","title":"Conceptualizing and characterizing micro-urbanization: A new perspective applied to Africa","title-short":"Conceptualizing and characterizing micro-urbanization","URL":"https://linkinghub.elsevier.com/retrieve/pii/S0169204619300775","volume":"190","author":[{"family":"Chai","given":"Baohui"},{"family":"Seto","given":"Karen C."}],"accessed":{"date-parts":[["2022",2,4]]},"issued":{"date-parts":[["2019",10]]}}},{"id":"FQI2EQvu/Cn9vwSEu","uris":["http://zotero.org/users/8906743/items/AYTVCY2C",["http://zotero.org/users/8906743/items/AYTVCY2C"]],"itemData":{"id":"FQI2EQvu/Cn9vwSEu","type":"article-journal","journalAbbreviation":"REmote Sensing in Ecology and Conservation","title":"Regional matters: On the usefulness of regional land-cover datasets in times of global change","author":[{"family":"Tulbure","given":"Mirela. G."},{"family":"Hostert","given":"Patrick"},{"family":"Kuemmerle","given":"Tobias"},{"family":"Broich","given":"Mark"}],"issued":{"date-parts":[["2022"]]}}},{"id":60,"uris":["http://zotero.org/users/8906743/items/GN2WL2FH"],"itemData":{"id":60,"type":"article-journal","abstract":"Africa has been experiencing rapid urbanization, yet limited studies have systematically investigated urban growth dynamics across African cities. Using 25 cities as cases, we quantiﬁed urban growth and form changes in Africa via spatiotemporal analysis of urban land densities in concentric rings over three time points (1990, 2000, and 2014). The results show that African cities have rapidly grown both in population and built-up areas, which increased by about 4% and more than 5% per annum, respectively. Urban land density (deﬁned as the proportion of the built-up area to the buildable area) in each concentric ring decreases from the city center to the urban periphery with diverse patterns among cities. Comparatively, small cities have a lower urban land density and a more dispersed urban form than medium-sized and large cities in Africa. The international comparisons between cities with over one million population in Africa, Asia (e.g., China and India), Europe, and North America (i.e., the United States) reveal that African cities have a relatively less compact urban form. Implications of these ﬁndings for the future of African cities are further proffered.","container-title":"Journal of Cleaner Production","DOI":"10.1016/j.jclepro.2019.03.276","ISSN":"09596526","journalAbbreviation":"Journal of Cleaner Production","language":"en","page":"802-810","source":"DOI.org (Crossref)","title":"Urban expansion and form changes across African cities with a global outlook: Spatiotemporal analysis of urban land densities","title-short":"Urban expansion and form changes across African cities with a global outlook","URL":"https://linkinghub.elsevier.com/retrieve/pii/S0959652619309862","volume":"224","author":[{"family":"Xu","given":"Gang"},{"family":"Dong","given":"Ting"},{"family":"Cobbinah","given":"Patrick Brandful"},{"family":"Jiao","given":"Limin"},{"family":"Sumari","given":"Neema S."},{"family":"Chai","given":"Baohui"},{"family":"Liu","given":"Yaolin"}],"accessed":{"date-parts":[["2020",4,12]]},"issued":{"date-parts":[["2019",7]]}}}],"schema":"https://github.com/citation-style-language/schema/raw/master/csl-citation.json"} </w:instrText>
      </w:r>
      <w:r w:rsidR="00DB3417" w:rsidRPr="0024536D">
        <w:rPr>
          <w:rFonts w:ascii="Times New Roman" w:eastAsia="Aptos" w:hAnsi="Times New Roman"/>
        </w:rPr>
        <w:fldChar w:fldCharType="separate"/>
      </w:r>
      <w:r w:rsidR="00DB3417" w:rsidRPr="00C229C9">
        <w:rPr>
          <w:rFonts w:ascii="Times New Roman" w:hAnsi="Times New Roman"/>
        </w:rPr>
        <w:t>(Chai &amp; Seto, 2019; Tulbure et al., 2022; Xu et al., 2019)</w:t>
      </w:r>
      <w:r w:rsidR="00DB3417" w:rsidRPr="0024536D">
        <w:rPr>
          <w:rFonts w:ascii="Times New Roman" w:eastAsia="Aptos" w:hAnsi="Times New Roman"/>
        </w:rPr>
        <w:fldChar w:fldCharType="end"/>
      </w:r>
      <w:r w:rsidRPr="000F3162">
        <w:rPr>
          <w:rFonts w:ascii="Times New Roman" w:eastAsia="Aptos" w:hAnsi="Times New Roman"/>
        </w:rPr>
        <w:t xml:space="preserve">. Most urban expansion studies have continued to focus on individual cities or a subset of </w:t>
      </w:r>
      <w:r w:rsidRPr="000F3162">
        <w:rPr>
          <w:rFonts w:ascii="Times New Roman" w:eastAsia="Aptos" w:hAnsi="Times New Roman"/>
        </w:rPr>
        <w:lastRenderedPageBreak/>
        <w:t>cities, often due to the lack of regional impervious data and limitations of global urban cover products. However, cities are interconnected, and changes extend beyond individual boundaries.</w:t>
      </w:r>
      <w:r w:rsidR="00CE573E">
        <w:rPr>
          <w:rFonts w:ascii="Times New Roman" w:eastAsia="Aptos" w:hAnsi="Times New Roman"/>
        </w:rPr>
        <w:t xml:space="preserve"> </w:t>
      </w:r>
      <w:r w:rsidRPr="000F3162">
        <w:rPr>
          <w:rFonts w:ascii="Times New Roman" w:eastAsia="Aptos" w:hAnsi="Times New Roman"/>
        </w:rPr>
        <w:t>There are only a few primary cities,</w:t>
      </w:r>
      <w:r w:rsidR="007A6AEE">
        <w:rPr>
          <w:rFonts w:ascii="Times New Roman" w:eastAsia="Aptos" w:hAnsi="Times New Roman"/>
        </w:rPr>
        <w:t xml:space="preserve"> and</w:t>
      </w:r>
      <w:r w:rsidRPr="000F3162">
        <w:rPr>
          <w:rFonts w:ascii="Times New Roman" w:eastAsia="Aptos" w:hAnsi="Times New Roman"/>
        </w:rPr>
        <w:t xml:space="preserve"> many geographically dispersed secondary cities </w:t>
      </w:r>
      <w:r w:rsidR="00414E2A">
        <w:rPr>
          <w:rFonts w:ascii="Times New Roman" w:eastAsia="Aptos" w:hAnsi="Times New Roman"/>
        </w:rPr>
        <w:t xml:space="preserve">are </w:t>
      </w:r>
      <w:r w:rsidR="007A6AEE">
        <w:rPr>
          <w:rFonts w:ascii="Times New Roman" w:eastAsia="Aptos" w:hAnsi="Times New Roman"/>
        </w:rPr>
        <w:t xml:space="preserve">likely </w:t>
      </w:r>
      <w:r w:rsidRPr="000F3162">
        <w:rPr>
          <w:rFonts w:ascii="Times New Roman" w:eastAsia="Aptos" w:hAnsi="Times New Roman"/>
        </w:rPr>
        <w:t xml:space="preserve">located closer to sensitive ecosystems and prime agricultural lands. Understanding the expansion dynamics of the entire urban system is necessary to inform sustainable urban expansion policies in West Africa. Therefore, chapter two centers on using the Landsat archive to generate urban cover data to quantify and describe the amounts and rates of infill and sprawl expansion across cities of different sizes in Ghana, Togo, Benin, and Nigeria. </w:t>
      </w:r>
      <w:r w:rsidR="0083203F">
        <w:rPr>
          <w:rFonts w:ascii="Times New Roman" w:eastAsia="Aptos" w:hAnsi="Times New Roman"/>
        </w:rPr>
        <w:t>It also analy</w:t>
      </w:r>
      <w:r w:rsidR="00F83F74">
        <w:rPr>
          <w:rFonts w:ascii="Times New Roman" w:eastAsia="Aptos" w:hAnsi="Times New Roman"/>
        </w:rPr>
        <w:t xml:space="preserve">zes how the location of smaller cities in </w:t>
      </w:r>
      <w:r w:rsidR="008C0D8D">
        <w:rPr>
          <w:rFonts w:ascii="Times New Roman" w:eastAsia="Aptos" w:hAnsi="Times New Roman"/>
        </w:rPr>
        <w:t xml:space="preserve">the </w:t>
      </w:r>
      <w:r w:rsidR="00116A18">
        <w:rPr>
          <w:rFonts w:ascii="Times New Roman" w:eastAsia="Aptos" w:hAnsi="Times New Roman"/>
        </w:rPr>
        <w:t xml:space="preserve">urban </w:t>
      </w:r>
      <w:r w:rsidR="008C0D8D">
        <w:rPr>
          <w:rFonts w:ascii="Times New Roman" w:eastAsia="Aptos" w:hAnsi="Times New Roman"/>
        </w:rPr>
        <w:t>networks influences</w:t>
      </w:r>
      <w:r w:rsidR="0034538C">
        <w:rPr>
          <w:rFonts w:ascii="Times New Roman" w:eastAsia="Aptos" w:hAnsi="Times New Roman"/>
        </w:rPr>
        <w:t xml:space="preserve"> their expansion rates. </w:t>
      </w:r>
      <w:r w:rsidRPr="000F3162">
        <w:rPr>
          <w:rFonts w:ascii="Times New Roman" w:eastAsia="Aptos" w:hAnsi="Times New Roman"/>
        </w:rPr>
        <w:t xml:space="preserve">This chapter has been published in </w:t>
      </w:r>
      <w:r w:rsidRPr="006719BD">
        <w:rPr>
          <w:rFonts w:ascii="Times New Roman" w:eastAsia="Aptos" w:hAnsi="Times New Roman"/>
          <w:i/>
          <w:iCs/>
        </w:rPr>
        <w:t>Sustainable Cities and Society</w:t>
      </w:r>
      <w:r w:rsidRPr="000F3162">
        <w:rPr>
          <w:rFonts w:ascii="Times New Roman" w:eastAsia="Aptos" w:hAnsi="Times New Roman"/>
        </w:rPr>
        <w:t>, and it is co-authored by Michael C. Wimberly.</w:t>
      </w:r>
    </w:p>
    <w:p w14:paraId="6AE2F478" w14:textId="7C94E95A" w:rsidR="00B152DF" w:rsidRPr="000F3162" w:rsidRDefault="00B152DF" w:rsidP="00B152DF">
      <w:pPr>
        <w:ind w:firstLine="360"/>
        <w:rPr>
          <w:rFonts w:ascii="Times New Roman" w:eastAsia="Aptos" w:hAnsi="Times New Roman"/>
        </w:rPr>
      </w:pPr>
      <w:r w:rsidRPr="000F3162">
        <w:rPr>
          <w:rFonts w:ascii="Times New Roman" w:eastAsia="Aptos" w:hAnsi="Times New Roman"/>
        </w:rPr>
        <w:t xml:space="preserve">Mixed-method research, including </w:t>
      </w:r>
      <w:r w:rsidR="00682C24">
        <w:rPr>
          <w:rFonts w:ascii="Times New Roman" w:eastAsia="Aptos" w:hAnsi="Times New Roman"/>
        </w:rPr>
        <w:t>quantitative and qualitative data,</w:t>
      </w:r>
      <w:r w:rsidRPr="000F3162">
        <w:rPr>
          <w:rFonts w:ascii="Times New Roman" w:eastAsia="Aptos" w:hAnsi="Times New Roman"/>
        </w:rPr>
        <w:t xml:space="preserve"> can enable us to better understand the factors influencing sprawl and infill expansion in primary and secondary cities. In West Africa, urban expansion is caused by an interrelated set of natural urban evolution, land speculation, and blight factors</w:t>
      </w:r>
      <w:r w:rsidR="001D6BE4">
        <w:rPr>
          <w:rFonts w:ascii="Times New Roman" w:eastAsia="Aptos" w:hAnsi="Times New Roman"/>
        </w:rPr>
        <w:t xml:space="preserve"> </w:t>
      </w:r>
      <w:r w:rsidR="001D6BE4" w:rsidRPr="0024536D">
        <w:rPr>
          <w:rFonts w:ascii="Times New Roman" w:eastAsia="Aptos" w:hAnsi="Times New Roman"/>
        </w:rPr>
        <w:fldChar w:fldCharType="begin"/>
      </w:r>
      <w:r w:rsidR="001D6BE4" w:rsidRPr="0024536D">
        <w:rPr>
          <w:rFonts w:ascii="Times New Roman" w:eastAsia="Aptos" w:hAnsi="Times New Roman"/>
        </w:rPr>
        <w:instrText xml:space="preserve"> ADDIN ZOTERO_ITEM CSL_CITATION {"citationID":"Wnsnsczl","properties":{"formattedCitation":"(Cobbinah &amp; Aboagye, 2017; Owusu, 2013)","plainCitation":"(Cobbinah &amp; Aboagye, 2017; Owusu, 2013)","noteIndex":0},"citationItems":[{"id":72,"uris":["http://zotero.org/users/8906743/items/FL33N53L"],"itemData":{"id":72,"type":"article-journal","container-title":"Land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id":"FQI2EQvu/ioJLbJN6","uris":["http://zotero.org/users/8906743/items/LNPJBWM7",["http://zotero.org/users/8906743/items/LNPJBWM7"]],"itemData":{"id":"FQI2EQvu/ioJLbJN6","type":"article-journal","abstract":"Accra, Ghana’s largest metropolis, exhibits unique features in terms of low densities in central locations due to large number of under-used plots, except inner-city informal residential areas. Over the last three decades, the metropolis has grown to encompass it surround district, now referred to as the Greater Accra Metropolitan Area. The massive sprawl has largely occurred in the west and east of the city, where growth rates of over 30% per annum have been recorded. This paper examines factors underlying the massive expansion of Accra, and the urban containment strategy to curtail the sprawl. It concludes that though many factors account for the sprawl, the key is the weak public control over land and the resultant poor spatial planning. As such, any urban containment strategy is unlikely to succeed within the context of the existing land management system where land is held privately under customary institutions while planning remains a public functions for local governments.","language":"en","page":"17","source":"Zotero","title":"Coping with Urban Sprawl: A Critical Discussion of the Urban Containment Strategy in a Developing Country City, Accra","author":[{"family":"Owusu","given":"George"}],"issued":{"date-parts":[["2013"]]}}}],"schema":"https://github.com/citation-style-language/schema/raw/master/csl-citation.json"} </w:instrText>
      </w:r>
      <w:r w:rsidR="001D6BE4" w:rsidRPr="0024536D">
        <w:rPr>
          <w:rFonts w:ascii="Times New Roman" w:eastAsia="Aptos" w:hAnsi="Times New Roman"/>
        </w:rPr>
        <w:fldChar w:fldCharType="separate"/>
      </w:r>
      <w:r w:rsidR="001D6BE4" w:rsidRPr="0024536D">
        <w:rPr>
          <w:rFonts w:ascii="Times New Roman" w:hAnsi="Times New Roman"/>
        </w:rPr>
        <w:t>(Cobbinah &amp; Aboagye, 2017; Owusu, 2013)</w:t>
      </w:r>
      <w:r w:rsidR="001D6BE4" w:rsidRPr="0024536D">
        <w:rPr>
          <w:rFonts w:ascii="Times New Roman" w:eastAsia="Aptos" w:hAnsi="Times New Roman"/>
        </w:rPr>
        <w:fldChar w:fldCharType="end"/>
      </w:r>
      <w:r w:rsidR="001D6BE4">
        <w:rPr>
          <w:rFonts w:ascii="Times New Roman" w:eastAsia="Aptos" w:hAnsi="Times New Roman"/>
        </w:rPr>
        <w:t>.</w:t>
      </w:r>
      <w:r w:rsidRPr="000F3162">
        <w:rPr>
          <w:rFonts w:ascii="Times New Roman" w:eastAsia="Aptos" w:hAnsi="Times New Roman"/>
        </w:rPr>
        <w:t xml:space="preserve"> Most studies have posited that expansion is a natural process that infills and sprawls as the urban population grows </w:t>
      </w:r>
      <w:r w:rsidRPr="000F3162">
        <w:rPr>
          <w:rFonts w:ascii="Times New Roman" w:eastAsia="Aptos" w:hAnsi="Times New Roman"/>
        </w:rPr>
        <w:fldChar w:fldCharType="begin"/>
      </w:r>
      <w:r>
        <w:rPr>
          <w:rFonts w:ascii="Times New Roman" w:eastAsia="Aptos" w:hAnsi="Times New Roman"/>
        </w:rPr>
        <w:instrText xml:space="preserve"> ADDIN ZOTERO_ITEM CSL_CITATION {"citationID":"aT0aaJaZ","properties":{"formattedCitation":"(Abass et al., 2019; Owusu, 2013)","plainCitation":"(Abass et al., 2019; Owusu, 2013)","noteIndex":0},"citationItems":[{"id":554,"uris":["http://zotero.org/users/8906743/items/Z7QQ6DJW",["http://zotero.org/users/8906743/items/Z7QQ6DJW"]],"itemData":{"id":554,"type":"article-journal","abstract":"This paper examines the struggle for existence of contrasting spaces within an urban milieu drawing on experiences from Ghana. By analysing remotely sensed images and review of relevant literature, the dynamics of change in the urban green–grey landscape were examined. While the grey (impermeable) space has increased from 23.3% to 77.6% between 1986 and 2016, green (permeable) space has declined from 76.7% to 24.4% within the same period. Rapidly growing and sprawling city, operating within a weak institutional framework, underlies the changes in land use/land cover in the Metropolis. This trend poses potential socio-environmental threat to the immediate city environment and even beyond. We recommend prioritising greening of the city by Kumasi Metropolitan Authority with the involvement and support of all stakeholders. This demands public education and eﬀective functioning of institutions through adequate resourcing, collaboration and coordination within the broad framework of the new Land Use and Spatial Planning Act (Act 925).","container-title":"Landscape Research","DOI":"10.1080/01426397.2018.1552251","ISSN":"0142-6397, 1469-9710","issue":"8","journalAbbreviation":"Landscape Research","language":"en","page":"909-921","source":"DOI.org (Crossref)","title":"From green to grey: the dynamics of land use/land cover change in urban Ghana","title-short":"From green to grey","URL":"https://www.tandfonline.com/doi/full/10.1080/01426397.2018.1552251","volume":"44","author":[{"family":"Abass","given":"Kabila"},{"family":"Afriyie","given":"Kwadwo"},{"family":"Gyasi","given":"Razak M."}],"accessed":{"date-parts":[["2022",2,4]]},"issued":{"date-parts":[["2019",11,17]]}}},{"id":"FQI2EQvu/ioJLbJN6","uris":["http://zotero.org/users/8906743/items/LNPJBWM7",["http://zotero.org/users/8906743/items/LNPJBWM7"]],"itemData":{"id":1088,"type":"article-journal","abstract":"Accra, Ghana’s largest metropolis, exhibits unique features in terms of low densities in central locations due to large number of under-used plots, except inner-city informal residential areas. Over the last three decades, the metropolis has grown to encompass it surround district, now referred to as the Greater Accra Metropolitan Area. The massive sprawl has largely occurred in the west and east of the city, where growth rates of over 30% per annum have been recorded. This paper examines factors underlying the massive expansion of Accra, and the urban containment strategy to curtail the sprawl. It concludes that though many factors account for the sprawl, the key is the weak public control over land and the resultant poor spatial planning. As such, any urban containment strategy is unlikely to succeed within the context of the existing land management system where land is held privately under customary institutions while planning remains a public functions for local governments.","language":"en","page":"17","source":"Zotero","title":"Coping with Urban Sprawl: A Critical Discussion of the Urban Containment Strategy in a Developing Country City, Accra","author":[{"family":"Owusu","given":"George"}],"issued":{"date-parts":[["2013"]]}}}],"schema":"https://github.com/citation-style-language/schema/raw/master/csl-citation.json"}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(Abass et al., 2019; Owusu, 2013)</w:t>
      </w:r>
      <w:r w:rsidRPr="000F3162">
        <w:rPr>
          <w:rFonts w:ascii="Times New Roman" w:eastAsia="Aptos" w:hAnsi="Times New Roman"/>
        </w:rPr>
        <w:fldChar w:fldCharType="end"/>
      </w:r>
      <w:r w:rsidRPr="000F3162">
        <w:rPr>
          <w:rFonts w:ascii="Times New Roman" w:eastAsia="Aptos" w:hAnsi="Times New Roman"/>
        </w:rPr>
        <w:t xml:space="preserve">. In some cities, the flight from blighted, unattractive areas due to higher taxes, housing rents, crime rates, and crumbling infrastructure in inner cities has caused people to develop beyond existing urban boundaries preferentially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{"citationID":"ddQGObrP","properties":{"formattedCitation":"(Cobbinah &amp; Aboagye, 2017)","plainCitation":"(Cobbinah &amp; Aboagye, 2017)","noteIndex":0},"citationItems":[{"id":72,"uris":["http://zotero.org/users/8906743/items/FL33N53L"],"itemData":{"id":72,"type":"article-journal","container-title":"Land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(Cobbinah &amp; Aboagye, 2017)</w:t>
      </w:r>
      <w:r w:rsidRPr="000F3162">
        <w:rPr>
          <w:rFonts w:ascii="Times New Roman" w:eastAsia="Aptos" w:hAnsi="Times New Roman"/>
        </w:rPr>
        <w:fldChar w:fldCharType="end"/>
      </w:r>
      <w:r w:rsidRPr="000F3162">
        <w:rPr>
          <w:rFonts w:ascii="Times New Roman" w:eastAsia="Aptos" w:hAnsi="Times New Roman"/>
        </w:rPr>
        <w:t xml:space="preserve">. Other studies found that weak land markets result in landowners holding onto lands in and around cities in expectations for land values to increase, meaning developers needing land to develop housing look beyond existing urban footprints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{"citationID":"uWg8lt4p","properties":{"formattedCitation":"(Afriyie et al., 2020; Kleemann et al., 2017; Kpienbaareh &amp; Luginaah, 2020; Yiran et al., 2020)","plainCitation":"(Afriyie et al., 2020; Kleemann et al., 2017; Kpienbaareh &amp; Luginaah, 2020; Yiran et al., 2020)","noteIndex":0},"citationItems":[{"id":542,"uris":["http://zotero.org/users/8906743/items/TWAFS5ME",["http://zotero.org/users/8906743/items/TWAFS5ME"]],"itemData":{"id":542,"type":"article-journal","abstract":"The paper examines agricultural livelihood eﬀects of urban sprawl and farmers' response in peri-urban Kumasi, Ghana, involving in-depth interviews with sixty farmers (n = 60) and four key informants (n = 4). Greater Kumasi has expanded spatially over time resulting in arable land reduction in the peri-urban interface and aﬀecting households in varying ways. This has evoked diﬀerent responses from aﬀected farmers including agricultural intensiﬁcation, extensiﬁcation, diversiﬁcation and adoption of oﬀ-farm livelihood strategies. While some households made livelihood gains in their response, and some livelihood losses, others neither gained nor lost. A mix of livelihood assets, but more importantly human and social capital, were identiﬁed as key determinants of the outcomes of households’ livelihood strategies employed. To protect arable land from urban encroachment and reduce peri-urban households’ vulnerabilities the following policy interventions are noteworthy: eﬀective spatial planning through institutional strengthening, legislative enforcement and widening market for agricultural goods and expanding non-farm jobs.","container-title":"International Journal of Urban Sustainable Development","DOI":"10.1080/19463138.2019.1691560","ISSN":"1946-3138, 1946-3146","issue":"2","journalAbbreviation":"International Journal of Urban Sustainable Development","language":"en","page":"202-218","source":"DOI.org (Crossref)","title":"Urban sprawl and agricultural livelihood response in peri-urban Ghana","URL":"https://www.tandfonline.com/doi/full/10.1080/19463138.2019.1691560","volume":"12","author":[{"family":"Afriyie","given":"Kwadwo"},{"family":"Abass","given":"Kabila"},{"family":"Adjei","given":"Prince Osei-Wusu"}],"accessed":{"date-parts":[["2022",2,15]]},"issued":{"date-parts":[["2020",5,3]]}}},{"id":404,"uris":["http://zotero.org/users/8906743/items/S4VBAIIE"],"itemData":{"id":404,"type":"article-journal","abstract":"Land use and land cover change (LULCC) is the result of complex human-environmental interactions. The high interdependencies in social-ecological systems make it difﬁcult to identify the main drivers. However, knowledge of key drivers of LULCC, including indirect (underlying) drivers which cannot be easily determined by spatial or economic analyses, is essential for land use planning and especially important in developing countries. We used a mixed-method approach in order to detect drivers of LULCC in the Upper East Region of northern Ghana by different qualitative and quantitative methods which were compared in a conﬁdence level analysis. Viewpoints from experts help to answer why the land use is changing, since many triggering effects, especially non-spatial and indirect drivers of LULCC, are not measurable by other methodological approaches. Geo-statistical or economic analyses add to validate the relevance of the expert-based results. First, we conducted in-depth interviews and developed a list of 34 direct and indirect drivers of LULCC. Subsequently, a group of experts was asked in a questionnaire to select the most important drivers by using a Likert scale. This information was complemented by remote sensing analysis. Finally, the driver analysis was compared to information from literature. Based on these analyses there is a very high conﬁdence that population growth, especially in rural areas, is a major driver of LULCC. Further, current farming practice, bush ﬁres, livestock, the road network and climate variability were the main direct drivers while the ﬁnancial capital of farmers and customary norms regarding land tenure were listed as important indirect drivers with high conﬁdence. Many of these driving forces, such as labour shortage and migration, are furthermore interdependent. Governmental laws, credits, the service by extension ofﬁcers, conservational agriculture and foreign agricultural medium-scale investments are currently not driving land use changes. We conclude that the mixed-method approach improves the conﬁdence of ﬁndings and the selection of most important drivers for modelling LULCC, especially in developing countries.","container-title":"Journal of Environmental Management","DOI":"10.1016/j.jenvman.2017.01.053","ISSN":"03014797","journalAbbreviation":"Journal of Environmental Management","language":"en","page":"411-442","source":"DOI.org (Crossref)","title":"Assessing driving forces of land use and land cover change by a mixed-method approach in north-eastern Ghana, West Africa","URL":"https://linkinghub.elsevier.com/retrieve/pii/S0301479717300713","volume":"196","author":[{"family":"Kleemann","given":"Janina"},{"family":"Baysal","given":"Gülendam"},{"family":"Bulley","given":"Henry N.N."},{"family":"Fürst","given":"Christine"}],"accessed":{"date-parts":[["2022",2,4]]},"issued":{"date-parts":[["2017",7]]}}},{"id":546,"uris":["http://zotero.org/users/8906743/items/DELY78C4",["http://zotero.org/users/8906743/items/DELY78C4"]],"itemData":{"id":546,"type":"article-journal","abstract":"In Ghana, studies on urban sprawl have focused on the use of conventional survey maps and qualitative descriptions that mask policy-relevant information for planning. We apply remote sensing data and spatial statistics to examine the Spatio-temporal dynamics in the internal structure of two cities. We ﬁnd that the total area of the urban fabric in Wa increased from 11.365ha ± 0.413ha in 1986 to 1, 775.848ha ± 52.094ha in 2017, while Tamale’s increased from 715.425ha ± 5.969ha in 1984 to 6,890.177ha ± 208.105ha in 2017. The results also revealed contiguity in urban clusters. We discuss the implications of our ﬁndings within the context of spatial planning in Ghana.","container-title":"African Geographical Review","DOI":"10.1080/19376812.2019.1677482","ISSN":"1937-6812, 2163-2642","issue":"3","journalAbbreviation":"African Geographical Review","language":"en","page":"189-207","source":"DOI.org (Crossref)","title":"Modeling the internal structure, dynamics and trends of urban sprawl in Ghanaian cities using remote sensing, spatial metrics and spatial analysis","URL":"https://www.tandfonline.com/doi/full/10.1080/19376812.2019.1677482","volume":"39","author":[{"family":"Kpienbaareh","given":"Daniel"},{"family":"Luginaah","given":"Isaac"}],"accessed":{"date-parts":[["2022",2,15]]},"issued":{"date-parts":[["2020",7,2]]}}},{"id":59,"uris":["http://zotero.org/users/8906743/items/862CHWJC"],"itemData":{"id":59,"type":"article-journal","abstract":"Urban sprawl has gained popularity in academic discourse in recent times, but the majority of the research was conducted in developed countries. There is a marginal body of works on the character and nature of urban sprawl in Sub-Saharan Africa (SSA), although the region is experiencing one of the fastest rates of sprawl. Urbanisation in SSA is very rapid, and in addition to the emerging challenges of globalisation, climate change and poverty, SSA cities have an enormous task to manage urban sprawl. This paper reviews the literature on urban sprawl in SSA to identify research gaps and propose a research agenda. Published articles from five Anglophone countries in three of the four regional blocks in SSA were selected. The literature was organised into the causes and effects of urban sprawl and showed that the previous research on th</w:instrText>
      </w:r>
      <w:r w:rsidRPr="000F3162">
        <w:rPr>
          <w:rFonts w:ascii="Times New Roman" w:eastAsia="Aptos" w:hAnsi="Times New Roman"/>
          <w:lang w:val="fr-FR"/>
        </w:rPr>
        <w:instrText xml:space="preserve">e subject focused mainly on its environmental impacts. Few studies have looked at the effects of sprawl on rural livelihoods, agriculture and food security considering the challenges of global climate change and poverty. Other studies have used Remote Sensing and Geographic Information Systems, but these were conducted largely for change detection. The paper recommends the deployment of a more comprehensive methodology incorporating remote sensing/GIS with ethnographic methods to capture better the complexity and impacts of urban sprawl in SSA. Additionally, further research attention must be paid to the effects of urban sprawl on rural livelihoods and overall sprawl-induced agrarian change.","container-title":"Ghana Journal of Geography","DOI":"10.4314/gjg.v12i1.1","ISSN":"0855-9414","issue":"1","journalAbbreviation":"Ghana J. Geography","language":"en","page":"1-28","source":"DOI.org (Crossref)","title":"Urban Sprawl in sub-Saharan Africa: A review of the literature in selected countries","title-short":"Urban Sprawl in sub-Saharan Africa","URL":"https://www.ajol.info/index.php/gjg/article/view/198012","volume":"12","author":[{"family":"Yiran","given":"Gerald Albert Baeribameng"},{"family":"Ablo","given":"Austin Dziwornu"},{"family":"Asem","given":"Freda Elikplim"},{"family":"Owusu","given":"George"}],"accessed":{"date-parts":[["2022",2,4]]},"issued":{"date-parts":[["2020",7,25]]}}}],"schema":"https://github.com/citation-style-language/schema/raw/master/csl-citation.json"}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lang w:val="fr-FR"/>
        </w:rPr>
        <w:t>(Afriyie et al., 2020; Kleemann et al., 2017; Kpienbaareh &amp; Luginaah, 2020; Yiran et al., 2020)</w:t>
      </w:r>
      <w:r w:rsidRPr="000F3162">
        <w:rPr>
          <w:rFonts w:ascii="Times New Roman" w:eastAsia="Aptos" w:hAnsi="Times New Roman"/>
        </w:rPr>
        <w:fldChar w:fldCharType="end"/>
      </w:r>
      <w:r w:rsidRPr="000F3162">
        <w:rPr>
          <w:rFonts w:ascii="Times New Roman" w:eastAsia="Aptos" w:hAnsi="Times New Roman"/>
          <w:lang w:val="fr-FR"/>
        </w:rPr>
        <w:t xml:space="preserve">. </w:t>
      </w:r>
      <w:r w:rsidRPr="000F3162">
        <w:rPr>
          <w:rFonts w:ascii="Times New Roman" w:eastAsia="Aptos" w:hAnsi="Times New Roman"/>
        </w:rPr>
        <w:t xml:space="preserve">In Ghana, existing studies have </w:t>
      </w:r>
      <w:r w:rsidRPr="000F3162">
        <w:rPr>
          <w:rFonts w:ascii="Times New Roman" w:eastAsia="Aptos" w:hAnsi="Times New Roman"/>
        </w:rPr>
        <w:lastRenderedPageBreak/>
        <w:t xml:space="preserve">described the specific factors that caused sprawl developments, including cost of land, speculative developments, land tenure arrangements, transport systems, and inefficient planning processes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{"citationID":"oh2xcMK8","properties":{"formattedCitation":"(Amponsah et al., 2022; Anane &amp; Cobbinah, 2022; Ayambire et al., 2019; Cobbinah &amp; Aboagye, 2017; P. I. Korah et al., 2017, 2019)","plainCitation":"(Amponsah et al., 2022; Anane &amp; Cobbinah, 2022; Ayambire et al., 2019; Cobbinah &amp; Aboagye, 2017; P. I. Korah et al., 2017, 2019)","dontUpdate":true,"noteIndex":0},"citationItems":[{"id":548,"uris":["http://zotero.org/users/8906743/items/6RIPBQBN"],"itemData":{"id":548,"type":"article-journal","abstract":"Cities in Sub-Saharan Africa (SSA) have so far failed to sustainably address urban sprawl and its ramifications. Meanwhile, the projected increase in the urban population in the cities in SSA is expected to exacerbate the situation, making the search for sustainable solutions an urgent one. In this review, we contribute to the search for sustainable urban sprawl containment strategies through the lens of policy transfer theory. Using Ghanaian cities as examples, we argue that ‘successful sprawl containment strategies’ implemented in developed countries in the Global North can be adapted to help address sprawl in cities in SSA. In particular, the review found that strategies that promote city densification and direct the physical growth of cities are suitable for urban sprawl containment in highly urbanised cities in Ghana. Strategies that preserve farmlands and green spaces are rec­ ommended for municipalities and districts that are predominantly rural but urbanising rapidly. While we have limited the discussion to cities in Ghana, the similarities regarding land tenure practices and urbanisation dy­ namics (including the drivers for urban sprawl) across cities in SSA make the findings applicable to many other cities within the sub-region. However, the success of the sprawl containment strategies is tied to the ability of city authorities to address the land tenure conflicts, strengthen planning institutions, and collaborate in the efforts to contain urban sprawl. Recommendations for addressing these intractable urban planning challenges are provided in the discussion.","container-title":"Land Use Policy","DOI":"10.1016/j.landusepol.2022.105979","ISSN":"02648377","journalAbbreviation":"Land Use Policy","language":"en","page":"105979","source":"DOI.org (Crossref)","title":"Global urban sprawl containment strategies and their implications for rapidly urbanising cities in Ghana","URL":"https://linkinghub.elsevier.com/retrieve/pii/S0264837722000060","volume":"114","author":[{"family":"Amponsah","given":"Owusu"},{"family":"Blija","given":"Daniel Kwame"},{"family":"Ayambire","given":"Raphael Anammasiya"},{"family":"Takyi","given":"Stephen Appiah"},{"family":"Mensah","given":"Henry"},{"family":"Braimah","given":"Imoro"}],"accessed":{"date-parts":[["2022",2,15]]},"issued":{"date-parts":[["2022",3]]}}},{"id":87,"uris":["http://zotero.org/users/8906743/items/V8PEW32P"],"itemData":{"id":87,"type":"article-journal","abstract":"This paper compares everyday land administration systems and local planning practices involving traditional authorities and local statutory planning officials in the transformation of peri-urban areas in Ghana. First, it analyses the processes and conflicts in local plan preparation for peri-urban transformation. Second, it examines the power relations between traditional authorities and statutory planning officials in peri-urban land use planning. It uses a qualitative research design involving in-depth interviews and secondary data analysis, and a comparative case studies of Abuakwa and Adomako peri-urban communities in Ghanaian cities of Kumasi and Sunyani respectively. Findings show that conflicting rationalities and power relations between formal and customary land use planning are likely to occur when one stakeholder significantly overshadows the role of the other. In Abuakwa, the dominance of traditional authorities in land use planning has rendered statutory planning agencies ineffective. Similarly, the overemphasis on Lands Commission’s role in land use planning activities in the Adomako case is producing conflicting rationalities both within and between statutory planning and tradi­ tional authorities. This paper argues that when roles are not defined in hybridized land use planning and management system, it is the peri-urban areas experiencing rapid transformation that suffer from haphazard, unplanned and non-inclusive development.","container-title":"Habitat International","DOI":"10.1016/j.habitatint.2021.102497","ISSN":"01973975","journalAbbreviation":"Habitat International","language":"en","page":"102497","source":"DOI.org (Crossref)","title":"Everyday politics of land use planning in peri-urbanisation","URL":"https://linkinghub.elsevier.com/retrieve/pii/S0197397521001867","volume":"120","author":[{"family":"Anane","given":"George Kwadwo"},{"family":"Cobbinah","given":"Patrick Brandful"}],"accessed":{"date-parts":[["2022",1,30]]},"issued":{"date-parts":[["2022",2]]}}},{"id":614,"uris":["http://zotero.org/users/8906743/items/B35P4PZ2",["http://zotero.org/users/8906743/items/B35P4PZ2"]],"itemData":{"id":614,"type":"article-journal","abstract":"Agriculture, through its economic, social and ecological functions, presents potentials for meeting some of the targets of the 11th Sustainable Development Goal (SDG). The targets include: a) reducing the adverse environmental impact of cities (target 11.6), b) providing access to green spaces (target 11.7) and c) promoting resourceuse efficiency in cities (target 11b). Nevertheless, cities, especially those in the global south, are struggling to sustain agriculture due to rapid and uncontrolled urbanisation. How to maintain (peri-) urban agriculture in cities and their peripheries in an era of increasing land scarcity is unclear in the conventional literature. In this regard, this study set out to determine appropriate practices globally that can foster the sustenance of urban and peri-urban agriculture and determine their applicability to the Ghanaian context. Even though Ghana remains the focus of the discussion, the generality of the characteristics of the cities in Sub-Saharan Africa makes the practices useful to Sub-Saharan African region. The study obtained the required data, through a review of literature, from databases such as Scopus, PubMed, MeSH and ProQuest. The authors complemented the literature from these conventional sources with literature from grey sources such as institutional websites and online media publications. The results of the literature review show that container gardening, backyard gardening, and farming on vacant lands and marginal lands can hold the key to preserving agriculture within the cities. However, these models are more appropriate for the production of vegetables and herbs. Therefore, urban and peri-urban agriculture may concentrate on the production of herbs and vegetables, to complement the food supply from rural agriculture. The Purchase of Development Right and expropriation and zoning of peri-urban land for agricultural purposes appear to be important strategies for promoting access to land for peri-urban agriculture. The strategies call for revisions of city legislation and the land use planning process to legitimise and promote agriculture in cities and their peripheries.","container-title":"Land Use Policy","DOI":"10.1016/j.landusepol.2019.03.004","ISSN":"02648377","journalAbbreviation":"Land Use Policy","language":"en","page":"260-277","source":"DOI.org (Crossref)","title":"A review of practices for sustaining urban and peri-urban agriculture: Implications for land use planning in rapidly urbanising Ghanaian cities","title-short":"A review of practices for sustaining urban and peri-urban agriculture","URL":"https://linkinghub.elsevier.com/retrieve/pii/S0264837718301844","volume":"84","author":[{"family":"Ayambire","given":"Raphael Anammasiya"},{"family":"Amponsah","given":"Owusu"},{"family":"Peprah","given":"Charles"},{"family":"Takyi","given":"Stephen Appiah"}],"accessed":{"date-parts":[["2022",2,15]]},"issued":{"date-parts":[["2019",5]]}}},{"id":72,"uris":["http://zotero.org/users/8906743/items/FL33N53L"],"itemData":{"id":72,"type":"article-journal","container-title":"Land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id":36,"uris":["http://zotero.org/users/8906743/items/KMS3DXHK","http://zotero.org/users/8906743/items/L55T25ZL"],"itemData":{"id":36,"type":"article-journal","container-title":"GeoJournal","DOI":"10.1007/s10708-016-9731-1","ISSN":"0343-2521, 1572-9893","issue":"6","journalAbbreviation":"GeoJournal","language":"en","page":"1113-1134","source":"DOI.org (Crossref)","title":"Spatial plans and urban development trajectory in Kumasi, Ghana","URL":"http://link.springer.com/10.1007/s10708-016-9731-1","volume":"82","author":[{"family":"Korah","given":"Prosper Issahaku"},{"family":"Cobbinah","given":"Patrick Brandful"},{"family":"Nunbogu","given":"Abraham Marshall"},{"family":"Gyogluu","given":"Sarah"}],"accessed":{"date-parts":[["2022",2,9]]},"issued":{"date-parts":[["2017",12]]}},"label":"page"},{"id":389,"uris":["http://zotero.org/users/8906743/items/9P3RP7Q7"],"itemData":{"id":389,"type":"article-journal","abstract":"Rapid urbanisation and globalisation are creating relentless spatial transformation across the globe. There is a growing interest in understanding and conceptualising the emergent and often contested spatial morphologies and typologies in cities as they mediate the competing demands of global and local forces. This paper examines spatial and temporal development patterns in a Sub-Saharan Africa context using Accra, the capital and rapidly growing city of Ghana, as case study and explores the emerging urban form. By classifying Landsat satellite images (1986–2017) and using landscape/spatial metrics to characterise Accra’s spatial development along four concentric rings, we find growing complexity and fragmented spatial growth patterns in Accra. Despite the spatial fragmentation, a Contiguity Index of 0.64, 0.49 and 0.56 for 1986, 2000, and 2017 respectively show that Accra’s urban form is not amorphous nor polycentric but monocentric. The study demonstrates that using landscape metrics to characterise spatial development patterns under buffer zones leads to better understanding of the temporal and changing form of the city under various conditions. We reflect on the implications of these findings for urban policy and planning in Accra and other similar Sub-Saharan African cities.","container-title":"Land Use Policy","DOI":"10.1016/j.landusepol.2019.104049","ISSN":"02648377","journalAbbreviation":"Land Use Policy","language":"en","page":"104049","source":"DOI.org (Crossref)","title":"Characterising spatial and temporal patterns of urban evolution in Sub-Saharan Africa: The case of Accra, Ghana","title-short":"Characterising spatial and temporal patterns of urban evolution in Sub-Saharan Africa","URL":"https://linkinghub.elsevier.com/retrieve/pii/S0264837719300389","volume":"87","author":[{"family":"Korah","given":"Prosper Issahaku"},{"family":"Matthews","given":"Tony"},{"family":"Tomerini","given":"Deanna"}],"accessed":{"date-parts":[["2022",2,9]]},"issued":{"date-parts":[["2019",9]]}},"label":"page"}],"schema":"https://github.com/citation-style-language/schema/raw/master/csl-citation.json"}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(Amponsah et al., 2022; Anane &amp; Cobbinah, 2022; Ayambire et al., 2019; Cobbinah &amp; Aboagye, 2017; Korah et al., 2017, 2019)</w:t>
      </w:r>
      <w:r w:rsidRPr="000F3162">
        <w:rPr>
          <w:rFonts w:ascii="Times New Roman" w:eastAsia="Aptos" w:hAnsi="Times New Roman"/>
        </w:rPr>
        <w:fldChar w:fldCharType="end"/>
      </w:r>
      <w:r w:rsidRPr="000F3162">
        <w:rPr>
          <w:rFonts w:ascii="Times New Roman" w:eastAsia="Aptos" w:hAnsi="Times New Roman"/>
        </w:rPr>
        <w:t xml:space="preserve">. These studies have consistently identified unregulated land markets and the failure of planning authorities to implement policies that strictly resist urban developments as the dominant causes of unregulated urban expansion in many individual cities. However, we know less about how these causes of sprawl and infill growth vary in secondary </w:t>
      </w:r>
      <w:r w:rsidR="00173556">
        <w:rPr>
          <w:rFonts w:ascii="Times New Roman" w:eastAsia="Aptos" w:hAnsi="Times New Roman"/>
        </w:rPr>
        <w:t xml:space="preserve">cities </w:t>
      </w:r>
      <w:r w:rsidRPr="000F3162">
        <w:rPr>
          <w:rFonts w:ascii="Times New Roman" w:eastAsia="Aptos" w:hAnsi="Times New Roman"/>
        </w:rPr>
        <w:t xml:space="preserve">compared to primary cities in Ghana. Chapter three, therefore, focuses on the socio-cultural and economic factors causing sprawl and infill expansion in </w:t>
      </w:r>
      <w:r w:rsidR="00FA610C">
        <w:rPr>
          <w:rFonts w:ascii="Times New Roman" w:eastAsia="Aptos" w:hAnsi="Times New Roman"/>
        </w:rPr>
        <w:t>Ghana's rapidly expanding secondary and primary cities</w:t>
      </w:r>
      <w:r w:rsidRPr="000F3162">
        <w:rPr>
          <w:rFonts w:ascii="Times New Roman" w:eastAsia="Aptos" w:hAnsi="Times New Roman"/>
        </w:rPr>
        <w:t xml:space="preserve">. This chapter is </w:t>
      </w:r>
      <w:r w:rsidR="00FA610C">
        <w:rPr>
          <w:rFonts w:ascii="Times New Roman" w:eastAsia="Aptos" w:hAnsi="Times New Roman"/>
        </w:rPr>
        <w:t>under</w:t>
      </w:r>
      <w:r w:rsidRPr="000F3162">
        <w:rPr>
          <w:rFonts w:ascii="Times New Roman" w:eastAsia="Aptos" w:hAnsi="Times New Roman"/>
        </w:rPr>
        <w:t xml:space="preserve"> revi</w:t>
      </w:r>
      <w:r w:rsidR="00173556">
        <w:rPr>
          <w:rFonts w:ascii="Times New Roman" w:eastAsia="Aptos" w:hAnsi="Times New Roman"/>
        </w:rPr>
        <w:t>sion</w:t>
      </w:r>
      <w:r w:rsidRPr="000F3162">
        <w:rPr>
          <w:rFonts w:ascii="Times New Roman" w:eastAsia="Aptos" w:hAnsi="Times New Roman"/>
        </w:rPr>
        <w:t xml:space="preserve"> in </w:t>
      </w:r>
      <w:r w:rsidRPr="000F3162">
        <w:rPr>
          <w:rFonts w:ascii="Times New Roman" w:eastAsia="Aptos" w:hAnsi="Times New Roman"/>
          <w:i/>
          <w:iCs/>
        </w:rPr>
        <w:t>Habitat International</w:t>
      </w:r>
      <w:r w:rsidR="00FA610C">
        <w:rPr>
          <w:rFonts w:ascii="Times New Roman" w:eastAsia="Aptos" w:hAnsi="Times New Roman"/>
          <w:i/>
          <w:iCs/>
        </w:rPr>
        <w:t>,</w:t>
      </w:r>
      <w:r w:rsidRPr="000F3162">
        <w:rPr>
          <w:rFonts w:ascii="Times New Roman" w:eastAsia="Aptos" w:hAnsi="Times New Roman"/>
        </w:rPr>
        <w:t xml:space="preserve"> and it is co-authored by Laurel C. Smith and Michael C. Wimberly.</w:t>
      </w:r>
    </w:p>
    <w:p w14:paraId="16A9F07E" w14:textId="590EFD58" w:rsidR="00DF79C0" w:rsidRDefault="00B152DF" w:rsidP="00FA610C">
      <w:pPr>
        <w:ind w:firstLine="360"/>
        <w:rPr>
          <w:rFonts w:ascii="Times New Roman" w:eastAsia="Aptos" w:hAnsi="Times New Roman"/>
          <w:lang w:bidi="ar-SA"/>
          <w14:ligatures w14:val="standardContextual"/>
        </w:rPr>
      </w:pPr>
      <w:r w:rsidRPr="000F3162">
        <w:rPr>
          <w:rFonts w:ascii="Times New Roman" w:eastAsia="Aptos" w:hAnsi="Times New Roman"/>
        </w:rPr>
        <w:t xml:space="preserve">Urban expansion simulations are useful in understanding the future patterns of sprawl and infill </w:t>
      </w:r>
      <w:r w:rsidRPr="0024536D">
        <w:rPr>
          <w:rFonts w:ascii="Times New Roman" w:eastAsia="Aptos" w:hAnsi="Times New Roman"/>
        </w:rPr>
        <w:fldChar w:fldCharType="begin"/>
      </w:r>
      <w:r w:rsidRPr="0024536D">
        <w:rPr>
          <w:rFonts w:ascii="Times New Roman" w:eastAsia="Aptos" w:hAnsi="Times New Roman"/>
        </w:rPr>
        <w:instrText xml:space="preserve"> ADDIN ZOTERO_ITEM CSL_CITATION {"citationID":"Csfa4adp","properties":{"formattedCitation":"(Dorning et al., 2015; Koch et al., 2018; A. Korah et al., 2024; Linard et al., 2013)","plainCitation":"(Dorning et al., 2015; Koch et al., 2018; A. Korah et al., 2024; Linard et al., 2013)","dontUpdate":true,"noteIndex":0},"citationItems":[{"id":70,"uris":["http://zotero.org/users/8906743/items/8GDQSD33"],"itemData":{"id":70,"type":"article-journal","container-title":"Landscape and Urban Planning","DOI":"10.1016/j.landurbplan.2014.11.011","ISSN":"01692046","journalAbbreviation":"Landscape and Urban Planning","language":"en","page":"28-39","source":"DOI.org (Crossref)","title":"Simulating urbanization scenarios reveals tradeoffs between conservation planning strategies","URL":"https://linkinghub.elsevier.com/retrieve/pii/S0169204614002710","volume":"136","author":[{"family":"Dorning","given":"Monica A."},{"family":"Koch","given":"Jennifer"},{"family":"Shoemaker","given":"Douglas A."},{"family":"Meentemeyer","given":"Ross K."}],"accessed":{"date-parts":[["2021",3,27]]},"issued":{"date-parts":[["2015",4]]}}},{"id":829,"uris":["http://zotero.org/users/8906743/items/PE9E9U4U"],"itemData":{"id":829,"type":"article-journal","abstract":"The landscape surrounding urban areas is often used as farmland. With the observed expansion of urban areas over the last decades and a projected continuation of this trend, our objective was to analyze how urbanization affects food supply and demand in The Hashemite Kingdom of Jordan. We used a chain of simulation models covering components of the atmosphere (climate simulations), biosphere (crop yield calculations), and anthroposphere (simulations of urban expansion and land-use change) to calculate the effect of farmland displacement on land and water resources (hydrosphere). Our simulations show that the displacement of farmland itself has hardly any effect on cropland demand, crop yields, or irrigation water requirements. These results indicate that Jordan has sufficient productive areas available to buffer effects of urban expansion on food production for the next decades. However, this picture changes dramatically once we include changes in socioeconomy and climate in our simulations. The isolated effect of climate change results in an expected increase in irrigation water requirements of 19 MCM by 2025 and 64 MCM by 2050. It furthermore leads to an increase in cropland area of 147 km2 by 2025 and 265 km2 by 2050. While the combined analysis of urban expansion, climate change, and socioeconomic change makes optimistic assumptions on the increase in crop yields by 2050, the results still indicate a pronounced effect on cropland demands (2700 km2) and a steep increase in irrigation water requirements (439 MCM). Our simulation results highlight the importance of high resolution, spatially explicit projections of future land changes as well as the importance of spatiotemporal scenario studies at the regional level to help improving water planning strategies.","container-title":"Science of the total environment","DOI":"10.1016/j.scitotenv.2018.04.058","ISSN":"0048-9697","language":"English","note":"PubAg AGID: 5979543","page":"1500-1509","source":"PubAg","title":"Analyzing the relationship between urbanization, food supply and demand, and irrigation requirements in Jordan","volume":"636","author":[{"family":"Koch","given":"Jennifer"},{"literal":"Wimmer, Florian"},{"literal":"Schaldach, Rüdiger"}],"issued":{"date-parts":[["2018"]]}}},{"id":1873,"uris":["http://zotero.org/users/8906743/items/IQT4K3QT"],"itemData":{"id":1873,"type":"article-journal","abstract":"Africa has been a hotspot of rapid urban growth since 2000, yet no review exists that describes the current state of urban growth modeling. This review aims to fill this gap by synthesizing urban growth modeling approaches, input variables and challenges across Africa. Using Web of Science, Google Scholar, Geobase, and Compendex databases, we selected 49 studies that projected urban land use and cover change or modeled probabilities of future urban change associated with a variety of input variables. We found increasing trends in the numbers of studies employing cellular automata, statistical regression, agent-based, video prediction, and integrated approaches. The modeling approaches used and their corresponding increases differed across Africa. The input variables used to project urban growth also varied across subregions. Studies were biased towards populous countries rather than the most urbanized. 78 % of the studies focused on primary cities, while secondary cities were less frequently studied. Comparison of urban growth modeling across multiple regions and for different types of cities is currently difficult due to inconsistent definitions and limited availability of data and computational resources. We recommend that the scientific community develop consistent definitions of African city types and urban land use and land cover classifications, create regional urban land cover products for Africa, and build repositories of models and their input data.","container-title":"Cities","DOI":"10.1016/j.cities.2023.104734","ISSN":"0264-2751","journalAbbreviation":"Cities","page":"104734","source":"ScienceDirect","title":"Understanding urban growth modeling in Africa: Dynamics, drivers, and challenges","title-short":"Understanding urban growth modeling in Africa","URL":"https://www.sciencedirect.com/science/article/pii/S0264275123005462","volume":"146","author":[{"family":"Korah","given":"Andrews"},{"family":"Koch","given":"Jennifer A. M."},{"family":"Wimberly","given":"Michael C."}],"accessed":{"date-parts":[["2024",1,29]]},"issued":{"date-parts":[["2024",3,1]]}},"label":"page"},{"id":21,"uris":["http://zotero.org/users/8906743/items/LQVZXG5S"],"itemData":{"id":21,"type":"article-journal","abstract":"The population of Africa is predicted to double over the next 40 years, driving exceptionally high urban expansion rates that will induce signiﬁcant socio-economic, environmental and health changes. In order to prepare for these changes, it is important to better understand urban growth dynamics in Africa and better predict the spatial pattern of rural-urban conversions. Previous work on urban expansion has been carried out at the city level or at the global level with a relatively coarse 5e10 km resolution. The main objective of the present paper was to develop a modelling approach at an intermediate scale in order to identify factors that inﬂuence spatial patterns of urban expansion in Africa. Boosted Regression Tree models</w:instrText>
      </w:r>
      <w:r w:rsidRPr="0024536D">
        <w:rPr>
          <w:rFonts w:ascii="Times New Roman" w:eastAsia="Aptos" w:hAnsi="Times New Roman"/>
          <w:lang w:val="fr-FR"/>
        </w:rPr>
        <w:instrText xml:space="preserve"> were developed to predict the spatial pattern of rural-urban conversions in every large African city. Urban change data between circa 1990 and circa 2000 available for 20 large cities across Africa were used as training data. Results showed that the urban land in a 1 km neighbourhood and the accessibility to the city centre were the most in</w:instrText>
      </w:r>
      <w:r w:rsidRPr="0024536D">
        <w:rPr>
          <w:rFonts w:ascii="Times New Roman" w:eastAsia="Aptos" w:hAnsi="Times New Roman"/>
        </w:rPr>
        <w:instrText>ﬂ</w:instrText>
      </w:r>
      <w:r w:rsidRPr="0024536D">
        <w:rPr>
          <w:rFonts w:ascii="Times New Roman" w:eastAsia="Aptos" w:hAnsi="Times New Roman"/>
          <w:lang w:val="fr-FR"/>
        </w:rPr>
        <w:instrText xml:space="preserve">uential variables. Results obtained were generally more accurate than results obtained using a distance-based urban expansion model and showed that the spatial pattern of small, compact and fast growing cities were easier to simulate than cities with lower population densities and a lower growth rate. The simulation method developed here will allow the production of spatially detailed urban expansion forecasts for 2020 and 2025 for Africa, data that are increasingly required by global change modellers.","container-title":"Applied Geography","DOI":"10.1016/j.apgeog.2013.07.009","ISSN":"01436228","journalAbbreviation":"Applied Geography","language":"en","page":"23-32","source":"DOI.org (Crossref)","title":"Modelling spatial patterns of urban growth in Africa","URL":"https://linkinghub.elsevier.com/retrieve/pii/S0143622813001707","volume":"44","author":[{"family":"Linard","given":"Catherine"},{"family":"Tatem","given":"Andrew J."},{"family":"Gilbert","given":"Marius"}],"accessed":{"date-parts":[["2021",1,31]]},"issued":{"date-parts":[["2013",10]]}}}],"schema":"https://github.com/citation-style-language/schema/raw/master/csl-citation.json"} </w:instrText>
      </w:r>
      <w:r w:rsidRPr="0024536D">
        <w:rPr>
          <w:rFonts w:ascii="Times New Roman" w:eastAsia="Aptos" w:hAnsi="Times New Roman"/>
        </w:rPr>
        <w:fldChar w:fldCharType="separate"/>
      </w:r>
      <w:r w:rsidRPr="0024536D">
        <w:rPr>
          <w:rFonts w:ascii="Times New Roman" w:hAnsi="Times New Roman"/>
          <w:lang w:val="fr-FR"/>
        </w:rPr>
        <w:t>(Dorning et al., 2015; Koch et al., 2018; Korah et al., 2024; Linard et al., 2013)</w:t>
      </w:r>
      <w:r w:rsidRPr="0024536D">
        <w:rPr>
          <w:rFonts w:ascii="Times New Roman" w:eastAsia="Aptos" w:hAnsi="Times New Roman"/>
        </w:rPr>
        <w:fldChar w:fldCharType="end"/>
      </w:r>
      <w:r w:rsidRPr="000F3162">
        <w:rPr>
          <w:rFonts w:ascii="Times New Roman" w:eastAsia="Aptos" w:hAnsi="Times New Roman"/>
          <w:lang w:val="fr-FR"/>
        </w:rPr>
        <w:t xml:space="preserve">. </w:t>
      </w:r>
      <w:r w:rsidRPr="000F3162">
        <w:rPr>
          <w:rFonts w:ascii="Times New Roman" w:eastAsia="Aptos" w:hAnsi="Times New Roman"/>
        </w:rPr>
        <w:t xml:space="preserve">Spatially explicit models of urban LULC change have been used to predict urban changes under alternative future scenarios, and the resulting projections enable hypotheses testing about urban growth dynamics to support land use planning (Brown et al., 2013). Although most of these modeling efforts, including cellular automata (CA), regressions, Markov Chain, and neural networks, have been applied in developed countries, there are also notable applications of urban LULC change modeling in individual cities in West Africa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{"citationID":"hf2dTZ0n","properties":{"formattedCitation":"(Addae &amp; Oppelt, 2019; Agyemang &amp; Silva, 2019; Angel et al., 2021; Enoguanbhor et al., 2019; Goncalves et al., 2019; Idowu et al., 2020; Linard et al., 2013; Okwuashi &amp; Ndehedehe, 2021; Schug et al., 2018; Seto et al., 2012)","plainCitation":"(Addae &amp; Oppelt, 2019; Agyemang &amp; Silva, 2019; Angel et al., 2021; Enoguanbhor et al., 2019; Goncalves et al., 2019; Idowu et al., 2020; Linard et al., 2013; Okwuashi &amp; Ndehedehe, 2021; Schug et al., 2018; Seto et al., 2012)","dontUpdate":true,"noteIndex":0},"citationItems":[{"id":97,"uris":["http://zotero.org/users/8906743/items/XG7G59LX"],"itemData":{"id":97,"type":"article-journal","abstract":"A rapid increase in the world’s population over the last century has triggered the transformation of the earth surface, especially in urban areas, where more than half of the global population live. Ghana is no exception and a high population growth rate, coupled with economic development over the last three decades, has transformed the Greater Accra region into a hotspot for massive urban growth. The urban extent of the region has expanded extensively, mainly at the expense of the vegetative cover in the region. Although urbanization presents several opportunities, the environmental and social problems cannot be underestimated. Therefore, the need to estimate the rate and extent of land use/land cover changes in the region and the main drivers of these changes is imperative. Geographic Information Systems (GIS) and remote sensing techniques provide effective tools in studying and monitoring land-use/land-cover change over space and time. A post classiﬁcation change detection of multiple Landsat images was conducted to map and analyse the extent and rate of land use/land cover change in the region between 1991 and 2015. Subsequently, the urban extent of the region was forecasted for the year 2025 using the Markov Chain and the Multi-Layer Perceptron neural network, together with drivers representing proximity, biophysical, and socio-economic variables. The results from the research revealed that built-up areas increased by 277% over the 24-year study period. However, forest areas experienced massive reduction, diminishing from 34% in 1991 to 6.5% in 2015. The 2025 projected land use map revealed that the urban extent will massively increase to cover 70% of the study area, as compared to 44% in 2015. The urban extent is also anticipated to spill into the adjoining districts mainly on the western and eastern sides of the region. The success of this research in generating a future land-use map for 2025, together with the other signiﬁcant ﬁndings, demonstrates the usefulness of spatial models as tools for sustainable city planning and environmental management, especially for urban planners in developing countries.","container-title":"Urban Science","DOI":"10.3390/urbansci3010026","ISSN":"2413-8851","issue":"1","journalAbbreviation":"Urban Science","language":"en","page":"26","source":"DOI.org (Crossref)","title":"Land-Use/Land-Cover Change Analysis and Urban Growth Modelling in the Greater Accra Metropolitan Area (GAMA), Ghana","URL":"http://www.mdpi.com/2413-8851/3/1/26","volume":"3","author":[{"family":"Addae","given":"Bright"},{"family":"Oppelt","given":"Natascha"}],"accessed":{"date-parts":[["2021",1,31]]},"issued":{"date-parts":[["2019",2,27]]}}},{"id":95,"uris":["http://zotero.org/users/8906743/items/2U7P8JHP"],"itemData":{"id":95,"type":"article-journal","archive_location":"WOS:000464479200002","container-title":"Applied Geography","DOI":"10.1016/j.apgeog.2019.02.011","ISSN":"0143-6228","journalAbbreviation":"Applied Geography","page":"15-24","title":"Simulating the urban growth of a predominantly informal Ghanaian city-region with a cellular automata model: Implications for urban planning and policy","volume":"105","author":[{"family":"Agyemang","given":"Felix S. K."},{"family":"Silva","given":"Elisabete"}],"issued":{"date-parts":[["2019",4]]}}},{"id":85,"uris":["http://zotero.org/users/8906743/items/T7YDXD9K","http://zotero.org/users/8906743/items/7739YXBP"],"itemData":{"id":85,"type":"article-journal","abstract":"Serious concerns with accelerating global warming have been translated into urgent calls for increasing urban densities: higher densities are associated with lower greenhouse gas emissions, especially those related to vehicle kilometers traveled (VKT). In order to densify meaningfully in the coming decades, cities need to make room within their existing footprints to accommodate more people. In the absence of adequate room within their existing footprints, cities create more room through outward expansion, typically resulting in lower overall densities. We introduce a quantitative dimension to this process, focusing on the population added to a global stratiﬁed sample of 200 cities between 1990 and 2014. In three-quarters of the cities we studied, the areas built before 1990 gained population and thus densiﬁed signiﬁcantly. On average, however, only one-quarter of the total population added to the 200 cities in the sample in the 1990–2014 period were accommodated within their 1990 urban footprints, while three-quarters were accommodated within their newly built expansion areas. That resulted in an overall decline in average urban densities during the 1990–2014 period despite the near-global, decades-old and rarely questioned consensus that urban expansion must be contained.","container-title":"Sustainability","DOI":"10.3390/su13073835","ISSN":"2071-1050","issue":"7","journalAbbreviation":"Sustainability","language":"en","page":"3835","source":"DOI.org (Crossref)","title":"Densify and Expand: A Global Analysis of Recent Urban Growth","title-short":"Densify and Expand","URL":"https://www.mdpi.com/2071-1050/13/7/3835","volume":"13","author":[{"family":"Angel","given":"Shlomo"},{"family":"Lamson-Hall","given":"Patrick"},{"family":"Blei","given":"Alejandro"},{"family":"Shingade","given":"Sharad"},{"family":"Kumar","given":"Suman"}],"accessed":{"date-parts":[["2022",1,30]]},"issued":{"date-parts":[["2021",3,31]]}}},{"id":600,"uris":["http://zotero.org/users/8906743/items/NRVVEHJS",["http://zotero.org/users/8906743/items/NRVVEHJS"]],"itemData":{"id":600,"type":"article-journal","abstract":"Rapid urban expansion is a signiﬁcant contributor to land cover change and poses a challenge to environmental sustainability, particularly in less developed countries. Insufﬁcient data about urban expansion hinders effective land use planning. Therefore, a high need to collect, process, and disseminate land cover data exists. This study focuses on urban land cover change detection using Geographic Information Systems and remote sensing methods to produce baseline information in support for land use planning. We applied a supervised classiﬁcation of land cover of LANDSAT data from 1987, 2002, and 2017. We mapped land cover transitions from 1987 to 2017 and computed the net land cover change during this time. Finally, we analyzed the mismatches between the past and current urban land cover and land use plans and quantiﬁed the non-urban development area lost to urban/built-up. Our results indicated an increase in urban/built-up and bare land cover types, while vegetation land cover decreased. We observed mismatches between past/current land cover and the existing land use plan. By providing detailed insights into mismatches between the regional land use plan and unregulated urban expansion, this study provides important information for a critical debate on the role and effectiveness of land use planning for environmental sustainability and sustainable urban development, particularly in less developed countries.","container-title":"Sustainability","DOI":"10.3390/su11051313","ISSN":"2071-1050","issue":"5","journalAbbreviation":"Sustainability","language":"en","page":"1313","source":"DOI.org (Crossref)","title":"Land Cover Change in the Abuja City-Region, Nigeria: Integrating GIS and Remotely Sensed Data to Support Land Use Planning","title-short":"Land Cover Change in the Abuja City-Region, Nigeria","URL":"https://www.mdpi.com/2071-1050/11/5/1313","volume":"11","author":[{"family":"Enoguanbhor","given":"Evidence"},{"family":"Gollnow","given":"Florian"},{"family":"Nielsen","given":"Jonas"},{"family":"Lakes","given":"Tobia"},{"family":"Walker","given":"Blake"}],"accessed":{"date-parts":[["2022",2,4]]},"issued":{"date-parts":[["2019",3,2]]}}},{"id":627,"uris":["http://zotero.org/users/8906743/items/A5XXZV3A"],"itemData":{"id":627,"type":"article-journal","abstract":"In recent years, urban growth has become the center of attention and preoccupation for many researchers especially those concerned with urban planning. Some scholars only take into consideration the social dynamism and demographic data of an area of interest while analyzing the urban growth. However, those approaches fail to consider other physical conditions such as the urban extent and exclusion zones (e.g. rivers and forest reserves). This makes it difﬁcult to correctly model the urban expansion as well as simulate for future forecast, which is vital for policymakers and city planners when making informed decisions. This study, therefore, used the Geographic Information System (GIS) to compile the data obtained from a time series of satellite images between 1984 and 2018 for the urban growth model calibration. A modiﬁed cellular automata methodology called SLEUTH was then applied to supervise and forecast the urban sprawl in Praia city, the capital of Cabo Verde from the year 1984 to 2050. The forecasted result showed that breed (100) and road (62) coefﬁcients would inﬂuence the urban growth in Praia city. This means that there is a likelihood of newly generated detached settlements and many new buildings along the roadside.","container-title":"IEEE Access","DOI":"10.1109/ACCESS.2019.2949689","ISSN":"2169-3536","journalAbbreviation":"IEEE Access","language":"en","page":"156430-156442","source":"DOI.org (Crossref)","title":"Simulating Urban Growth Using Cellular Automata Approach (SLEUTH)-A Case Study of Praia City, Cabo Verde","URL":"https://ieeexplore.ieee.org/document/8883160/","volume":"7","author":[{"family":"Goncalves","given":"Tania Mendes"},{"family":"Zhong","given":"Xie"},{"family":"Ziggah","given":"Yao Yevenyo"},{"family":"Dwamena","given":"Brefo Yaw"}],"accessed":{"date-parts":[["2020",10,31]]},"issued":{"date-parts":[["2019"]]}}},{"id":582,"uris":["http://zotero.org/users/8906743/items/J3EXX7NB"],"itemData":{"id":582,"type":"article-journal","archive_location":"WOS:000570789800004","container-title":"South African Journal of Geomatics","DOI":"10.4314/sajg.v9i2.11","ISSN":"2225-8531","issue":"2","page":"149-162","title":"Towards achieving Sustainability of coastal environments: Urban Growth analysis and prediction of Lagos, State Nigeria","volume":"9","author":[{"family":"Idowu","given":"Temitope Ezekiel"},{"family":"Waswa","given":"Rose Malot"},{"family":"Lasisi","given":"Kayode"},{"family":"Mubea","given":"Kenneth"},{"family":"Nyadawa","given":"Maurice"},{"family":"Kiema","given":"John Bosco Kyalo"}],"issued":{"date-parts":[["2020",9]]}}},{"id":21,"uris":["http://zotero.org/users/8906743/items/LQVZXG5S"],"itemData":{"id":21,"type":"article-journal","abstract":"The population of Africa is predicted to double over the next 40 years, driving exceptionally high urban expansion rates that will induce signiﬁcant socio-economic, environmental and health changes. In order to prepare for these changes, it is important to better understand urban growth dynamics in Africa and better predict the spatial pattern of rural-urban conversions. Previous work on urban expansion has been carried out at the city level or at the global level with a relatively coarse 5e10 km resolution. The main objective of the present paper was to develop a modelling approach at an intermediate scale in order to identify factors that inﬂuence spatial patterns of urban expansion in Africa. Boosted Regression Tree models were developed to predict the spatial pattern of rural-urban conversions in every large African city. Urban change data between circa 1990 and circa 2000 available for 20 large cities across Africa were used as training data. Results showed that the urban land in a 1 km neighbourhood and the accessibility to the city centre were the most inﬂuential variables. Results obtained were generally more accurate than results obtained using a distance-based urban expansion model and showed that the spatial pattern of small, compact and fast growing cities were easier to simulate than cities with lower population densities and a lower growth rate. The simulation method developed here will allow the production of spatially detailed urban expansion forecasts for 2020 and 2025 for Africa, data that are increasingly required by global change modellers.","container-title":"Applied Geography","DOI":"10.1016/j.apgeog.2013.07.009","ISSN":"01436228","journalAbbreviation":"Applied Geography","language":"en","page":"23-32","source":"DOI.org (Crossref)","title":"Modelling spatial patterns of urban growth in Africa","URL":"https://linkinghub.elsevier.com/retrieve/pii/S0143622813001707","volume":"44","author":[{"family":"Linard","given":"Catherine"},{"family":"Tatem","given":"Andrew J."},{"family":"Gilbert","given":"Marius"}],"accessed":{"date-parts":[["2021",1,31]]},"issued":{"date-parts":[["2013",10]]}}},{"id":1,"uris":["http://zotero.org/users/8906743/items/QIX8M8WI"],"itemData":{"id":1,"type":"article-journal","archive_location":"WOS:000654348000063","container-title":"Remote Sensing Applications: Society and Environment","DOI":"10.1016/j.rsase.2020.100461","ISSN":"2352-9385","title":"Integrating machine learning with Markov chain and cellular automata models for modelling urban land use change","volume":"21","author":[{"family":"Okwuashi","given":"Onuwa"},{"family":"Ndehedehe","given":"Christopher E."}],"issued":{"date-parts":[["2021",1]]}}},{"id":46,"uris":["http://zotero.org/users/8906743/items/5F3G9Q6N",["http://zotero.org/users/8906743/items/5F3G9Q6N"]],"itemData":{"id":46,"type":"article-journal","archive_location"</w:instrText>
      </w:r>
      <w:r w:rsidRPr="000F3162">
        <w:rPr>
          <w:rFonts w:ascii="Times New Roman" w:eastAsia="Aptos" w:hAnsi="Times New Roman"/>
          <w:lang w:val="fr-FR"/>
        </w:rPr>
        <w:instrText xml:space="preserve">:"WOS:000431164300016","container-title":"REMOTE SENSING OF ENVIRONMENT","DOI":"10.1016/j.rse.2018.03.022","ISSN":"0034-4257","page":"217-228","title":"Mapping patterns of urban development in Ouagadougou, Burkina Faso, using machine learning regression modeling with bi-seasonal Landsat time series","volume":"210","author":[{"family":"Schug","given":"Franz"},{"family":"Okujeni","given":"Akpona"},{"family":"Hauer","given":"Janine"},{"family":"Hostert","given":"Patrick"},{"family":"Nielsen","given":"Jonas O."},{"family":"Linden","given":"Sebastian","non-dropping-particle":"van der"}],"issued":{"date-parts":[["2018",6,1]]}}},{"id":374,"uris":["http://zotero.org/users/8906743/items/WUYN92SH"],"itemData":{"id":374,"type":"article-journal","container-title":"Proceedings of the National Academy of Sciences","DOI":"10.1073/pnas.1211658109","ISSN":"0027-8424, 1091-6490","issue":"40","journalAbbreviation":"Proceedings of the National Academy of Sciences","language":"en","page":"16083-16088","source":"DOI.org (Crossref)","title":"Global forecasts of urban expansion to 2030 and direct impacts on biodiversity and carbon pools","URL":"http://www.pnas.org/cgi/doi/10.1073/pnas.1211658109","volume":"109","author":[{"family":"Seto","given":"K. C."},{"family":"Guneralp","given":"B."},{"family":"Hutyra","given":"L. R."}],"accessed":{"date-parts":[["2022",1,30]]},"issued":{"date-parts":[["2012",10,2]]}}}],"schema":"https://github.com/citation-style-language/schema/raw/master/csl-citation.json"}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lang w:val="fr-FR"/>
        </w:rPr>
        <w:t>(Addae &amp; Oppelt, 2019; Agyemang &amp; Silva, 2019; Angel et al., 2021; Goncalves et al., 2019; Idowu et al., 2020; Linard et al., 2013; Okwuashi &amp; Ndehedehe, 2021; Schug et al., 2018; Seto et al., 2012)</w:t>
      </w:r>
      <w:r w:rsidRPr="000F3162">
        <w:rPr>
          <w:rFonts w:ascii="Times New Roman" w:eastAsia="Aptos" w:hAnsi="Times New Roman"/>
        </w:rPr>
        <w:fldChar w:fldCharType="end"/>
      </w:r>
      <w:r w:rsidRPr="000F3162">
        <w:rPr>
          <w:rFonts w:ascii="Times New Roman" w:eastAsia="Aptos" w:hAnsi="Times New Roman"/>
          <w:lang w:val="fr-FR"/>
        </w:rPr>
        <w:t xml:space="preserve">. </w:t>
      </w:r>
      <w:r w:rsidRPr="000F3162">
        <w:rPr>
          <w:rFonts w:ascii="Times New Roman" w:eastAsia="Aptos" w:hAnsi="Times New Roman"/>
        </w:rPr>
        <w:t xml:space="preserve">The lack of consistent high-resolution data partly explains the focus of previous research on individual cities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{"citationID":"wUTM2Uu9","properties":{"formattedCitation":"(Reba &amp; Seto, 2020)","plainCitation":"(Reba &amp; Seto, 2020)","noteIndex":0},"citationItems":[{"id":645,"uris":["http://zotero.org/users/8906743/items/7VVGYFRR"],"itemData":{"id":645,"type":"article-journal","abstract":"Historically, change detection reviews have examined and categorized algorithms based on their techniques for the remote sensing community. Here, we synthesize urban land change algorithms by the types of information they provide to a diverse and growing set of user communities. Two goals of the paper are first to synthesize past and current change detection studies to examine urban land change to help users of remote sensing algorithms understand and navigate the vast variety of available methods, and second to identify gaps in knowledge for the urban remote sensing community. We analyzed 644 peer-reviewed research papers published in English-language journals and conducted a systematic review of urban land change algorithms. All papers included in our study focus on urban land change; studies that concentrate on single-date urban classification or mapping for one point in time without an explicit urban land change component are not included in this analysis. The review showed five key results and knowledge gaps. First, most urban change detection algorithms are being developed and applied for only a few regions, with 75% of studies focused on high or upper-middle-income countries and the majority of these on China or the United States. This suggests a major gap in geographic coverage as well as the need for more studies on cities in low and lower-middle-income countries. Second, the results show that 41% of the algorithms have been developed or applied for cities of over 5 million inhabitants. This focus on large cities is problematic given that only 11% of the world's urban population lives in cities with populations greater than 5 million and that most future urban growth will occur in small- and medium-sized towns and cities with populations of fewer than 1 million people. Third, our analysis shows that 62% of the studies use three or fewer time points to measure urban land change with an average study length of 17 years. Since rapidly growing urban areas are highly dynamic, this suggests that existing algorithms using only a few time points are likely missing urban transitions that can only be captured with high temporal frequency analysis. Fourth, we find that urban expansion is the most commonly monitored type of urban land change. Comparatively fewer studies characterized intra-urban change or three-dimensional structural change. Fifth and finally, the results show that an overwhelming majority—87%—of all studies identify only one urban class, highlighting a need for more studies that distinguish intra-urban variation and differentiate multiple urban classes. Our analysis shows that it is very difficult—nearly impossible—to compare across algorithms. Thus, for users of urban land change information, it is difficult to navigate the literature and know which algorithms are most appropriate for a particular use. Taken together, this points to the need for improved reproducibility, replicability, and comparability of studies in order to help harmonize urban land change information across regions and countries. This is especially important given the growing user communities of urban land change products and analysis, especially from policy and practice.","container-title":"Remote Sensing of Environment","DOI":"10.1016/j.rse.2020.111739","ISSN":"00344257","journalAbbreviation":"Remote Sensing of Environment","language":"en","page":"111739","source":"DOI.org (Crossref)","title":"A systematic review and assessment of algorithms to detect, characterize, and monitor urban land change","URL":"https://linkinghub.elsevier.com/retrieve/pii/S0034425720301097","volume":"242","author":[{"family":"Reba","given":"Meredith"},{"family":"Seto","given":"Karen C."}],"accessed":{"date-parts":[["2022",2,4]]},"issued":{"date-parts":[["2020",6]]}}}],"schema":"https://github.com/citation-style-language/schema/raw/master/csl-citation.json"}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(Reba &amp; Seto, 2020)</w:t>
      </w:r>
      <w:r w:rsidRPr="000F3162">
        <w:rPr>
          <w:rFonts w:ascii="Times New Roman" w:eastAsia="Aptos" w:hAnsi="Times New Roman"/>
        </w:rPr>
        <w:fldChar w:fldCharType="end"/>
      </w:r>
      <w:r w:rsidRPr="000F3162">
        <w:rPr>
          <w:rFonts w:ascii="Times New Roman" w:eastAsia="Aptos" w:hAnsi="Times New Roman"/>
        </w:rPr>
        <w:t xml:space="preserve">. However, future urban projections </w:t>
      </w:r>
      <w:r w:rsidR="00672270">
        <w:rPr>
          <w:rFonts w:ascii="Times New Roman" w:eastAsia="Aptos" w:hAnsi="Times New Roman"/>
        </w:rPr>
        <w:t>across the</w:t>
      </w:r>
      <w:r w:rsidR="005855BE">
        <w:rPr>
          <w:rFonts w:ascii="Times New Roman" w:eastAsia="Aptos" w:hAnsi="Times New Roman"/>
        </w:rPr>
        <w:t xml:space="preserve"> </w:t>
      </w:r>
      <w:r w:rsidR="00314F18">
        <w:rPr>
          <w:rFonts w:ascii="Times New Roman" w:eastAsia="Aptos" w:hAnsi="Times New Roman"/>
        </w:rPr>
        <w:t xml:space="preserve">region's entire secondary and primary </w:t>
      </w:r>
      <w:r w:rsidR="00314F18">
        <w:rPr>
          <w:rFonts w:ascii="Times New Roman" w:eastAsia="Aptos" w:hAnsi="Times New Roman"/>
        </w:rPr>
        <w:lastRenderedPageBreak/>
        <w:t>cities</w:t>
      </w:r>
      <w:r w:rsidR="005855BE">
        <w:rPr>
          <w:rFonts w:ascii="Times New Roman" w:eastAsia="Aptos" w:hAnsi="Times New Roman"/>
        </w:rPr>
        <w:t xml:space="preserve"> </w:t>
      </w:r>
      <w:r w:rsidRPr="000F3162">
        <w:rPr>
          <w:rFonts w:ascii="Times New Roman" w:eastAsia="Aptos" w:hAnsi="Times New Roman"/>
        </w:rPr>
        <w:t xml:space="preserve">are lacking, limiting our understanding of where sprawl and infill growth will likely occur as West African countries urbanize </w:t>
      </w:r>
      <w:r w:rsidRPr="000F3162">
        <w:rPr>
          <w:rFonts w:ascii="Times New Roman" w:eastAsia="Aptos" w:hAnsi="Times New Roman"/>
        </w:rPr>
        <w:fldChar w:fldCharType="begin"/>
      </w:r>
      <w:r w:rsidRPr="000F3162">
        <w:rPr>
          <w:rFonts w:ascii="Times New Roman" w:eastAsia="Aptos" w:hAnsi="Times New Roman"/>
        </w:rPr>
        <w:instrText xml:space="preserve"> ADDIN ZOTERO_ITEM CSL_CITATION {"citationID":"p13LvJAV","properties":{"formattedCitation":"(OECD &amp; Sahel and West Africa Club, 2020)","plainCitation":"(OECD &amp; Sahel and West Africa Club, 2020)","dontUpdate":true,"noteIndex":0},"citationItems":[{"id":2,"uris":["http://zotero.org/users/8906743/items/6CM7JZIJ",["http://zotero.org/users/8906743/items/6CM7JZIJ"]],"itemData":{"id":2,"type":"book","collection-title":"West African Studies","ISBN":"978-92-64-57958-3","language":"en","note":"DOI: 10.1787/b6bccb81-en","publisher":"OECD","source":"DOI.org (Crossref)","title":"Africa's Urbanisation Dynamics 2020: Africapolis, Mapping a New Urban Geography","title-short":"Africa's Urbanisation Dynamics 2020","URL":"https://www.oecd-ilibrary.org/development/africa-s-urbanisation-dynamics-2020_b6bccb81-en","author":[{"literal":"OECD"},{"literal":"Sahel and West Africa Club"}],"accessed":{"date-parts":[["2022",2,4]]},"issued":{"date-parts":[["2020",2,7]]}}}],"schema":"https://github.com/citation-style-language/schema/raw/master/csl-citation.json"} </w:instrText>
      </w:r>
      <w:r w:rsidRPr="000F3162">
        <w:rPr>
          <w:rFonts w:ascii="Times New Roman" w:eastAsia="Aptos" w:hAnsi="Times New Roman"/>
        </w:rPr>
        <w:fldChar w:fldCharType="separate"/>
      </w:r>
      <w:r w:rsidRPr="000F3162">
        <w:rPr>
          <w:rFonts w:ascii="Times New Roman" w:eastAsia="Aptos" w:hAnsi="Times New Roman"/>
        </w:rPr>
        <w:t>(OECD &amp; SWAC, 2020)</w:t>
      </w:r>
      <w:r w:rsidRPr="000F3162">
        <w:rPr>
          <w:rFonts w:ascii="Times New Roman" w:eastAsia="Aptos" w:hAnsi="Times New Roman"/>
        </w:rPr>
        <w:fldChar w:fldCharType="end"/>
      </w:r>
      <w:r w:rsidRPr="000F3162">
        <w:rPr>
          <w:rFonts w:ascii="Times New Roman" w:eastAsia="Aptos" w:hAnsi="Times New Roman"/>
        </w:rPr>
        <w:t xml:space="preserve">. To fill this knowledge gap, chapter four focuses on projecting the future expansion across cities in Ghana, Togo, Benin, and Nigeria. This chapter is in preparation for submission to </w:t>
      </w:r>
      <w:r w:rsidRPr="000F3162">
        <w:rPr>
          <w:rFonts w:ascii="Times New Roman" w:eastAsia="Aptos" w:hAnsi="Times New Roman"/>
          <w:i/>
          <w:iCs/>
        </w:rPr>
        <w:t>Landscape and Urban Planning</w:t>
      </w:r>
      <w:r w:rsidR="00FA610C">
        <w:rPr>
          <w:rFonts w:ascii="Times New Roman" w:eastAsia="Aptos" w:hAnsi="Times New Roman"/>
          <w:i/>
          <w:iCs/>
        </w:rPr>
        <w:t>,</w:t>
      </w:r>
      <w:r w:rsidRPr="000F3162">
        <w:rPr>
          <w:rFonts w:ascii="Times New Roman" w:eastAsia="Aptos" w:hAnsi="Times New Roman"/>
        </w:rPr>
        <w:t xml:space="preserve"> and </w:t>
      </w:r>
      <w:r w:rsidR="00FA610C">
        <w:rPr>
          <w:rFonts w:ascii="Times New Roman" w:eastAsia="Aptos" w:hAnsi="Times New Roman"/>
        </w:rPr>
        <w:t xml:space="preserve">it </w:t>
      </w:r>
      <w:r w:rsidRPr="000F3162">
        <w:rPr>
          <w:rFonts w:ascii="Times New Roman" w:eastAsia="Aptos" w:hAnsi="Times New Roman"/>
        </w:rPr>
        <w:t>is co-authored by Jennifer Koch and Michael C. Wimberly</w:t>
      </w:r>
      <w:r w:rsidR="009F5244">
        <w:rPr>
          <w:rFonts w:ascii="Times New Roman" w:eastAsia="Aptos" w:hAnsi="Times New Roman"/>
          <w:lang w:bidi="ar-SA"/>
          <w14:ligatures w14:val="standardContextual"/>
        </w:rPr>
        <w:t>.</w:t>
      </w:r>
    </w:p>
    <w:p w14:paraId="04A4FD9B" w14:textId="77777777" w:rsidR="00DF79C0" w:rsidRDefault="00DF79C0">
      <w:pPr>
        <w:spacing w:line="240" w:lineRule="auto"/>
        <w:rPr>
          <w:rFonts w:ascii="Times New Roman" w:eastAsia="Aptos" w:hAnsi="Times New Roman"/>
          <w:lang w:bidi="ar-SA"/>
          <w14:ligatures w14:val="standardContextual"/>
        </w:rPr>
      </w:pPr>
      <w:r>
        <w:rPr>
          <w:rFonts w:ascii="Times New Roman" w:eastAsia="Aptos" w:hAnsi="Times New Roman"/>
          <w:lang w:bidi="ar-SA"/>
          <w14:ligatures w14:val="standardContextual"/>
        </w:rPr>
        <w:br w:type="page"/>
      </w:r>
    </w:p>
    <w:p w14:paraId="5EB3B896" w14:textId="77777777" w:rsidR="00103457" w:rsidRPr="00103457" w:rsidRDefault="00103457" w:rsidP="009112A5">
      <w:pPr>
        <w:pStyle w:val="Heading1"/>
        <w:spacing w:line="240" w:lineRule="auto"/>
      </w:pPr>
      <w:bookmarkStart w:id="16" w:name="_Toc172288702"/>
      <w:r w:rsidRPr="00103457">
        <w:lastRenderedPageBreak/>
        <w:t>References</w:t>
      </w:r>
      <w:bookmarkEnd w:id="16"/>
    </w:p>
    <w:p w14:paraId="3D80CE47"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fldChar w:fldCharType="begin"/>
      </w:r>
      <w:r w:rsidRPr="000742BB">
        <w:rPr>
          <w:rFonts w:ascii="Times New Roman" w:eastAsia="Aptos" w:hAnsi="Times New Roman"/>
          <w:kern w:val="2"/>
          <w:lang w:bidi="ar-SA"/>
          <w14:ligatures w14:val="standardContextual"/>
        </w:rPr>
        <w:instrText xml:space="preserve"> ADDIN ZOTERO_BIBL {"uncited":[],"omitted":[],"custom":[]} CSL_BIBLIOGRAPHY </w:instrText>
      </w:r>
      <w:r w:rsidRPr="000742BB">
        <w:rPr>
          <w:rFonts w:ascii="Times New Roman" w:eastAsia="Aptos" w:hAnsi="Times New Roman"/>
          <w:kern w:val="2"/>
          <w:lang w:bidi="ar-SA"/>
          <w14:ligatures w14:val="standardContextual"/>
        </w:rPr>
        <w:fldChar w:fldCharType="separate"/>
      </w:r>
      <w:r w:rsidRPr="000742BB">
        <w:rPr>
          <w:rFonts w:ascii="Times New Roman" w:eastAsia="Aptos" w:hAnsi="Times New Roman"/>
          <w:kern w:val="2"/>
          <w:lang w:bidi="ar-SA"/>
          <w14:ligatures w14:val="standardContextual"/>
        </w:rPr>
        <w:t xml:space="preserve">Abass, K., Afriyie, K., &amp; Gyasi, R. M. (2019). From green to grey: The dynamics of land use/land cover change in urban Ghana. </w:t>
      </w:r>
      <w:r w:rsidRPr="000742BB">
        <w:rPr>
          <w:rFonts w:ascii="Times New Roman" w:eastAsia="Aptos" w:hAnsi="Times New Roman"/>
          <w:i/>
          <w:iCs/>
          <w:kern w:val="2"/>
          <w:lang w:bidi="ar-SA"/>
          <w14:ligatures w14:val="standardContextual"/>
        </w:rPr>
        <w:t>Landscape Research</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44</w:t>
      </w:r>
      <w:r w:rsidRPr="000742BB">
        <w:rPr>
          <w:rFonts w:ascii="Times New Roman" w:eastAsia="Aptos" w:hAnsi="Times New Roman"/>
          <w:kern w:val="2"/>
          <w:lang w:bidi="ar-SA"/>
          <w14:ligatures w14:val="standardContextual"/>
        </w:rPr>
        <w:t>(8), 909–921. https://doi.org/10.1080/01426397.2018.1552251</w:t>
      </w:r>
    </w:p>
    <w:p w14:paraId="117656DB"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Abass, K., Buor, D., Afriyie, K., Dumedah, G., Segbefi, A. Y., Guodaar, L., Garsonu, E. K., Adu-Gyamfi, S., Forkuor, D., Ofosu, A., Mohammed, A., &amp; Gyasi, R. M. (2020). Urban sprawl and green space depletion: Implications for flood incidence in Kumasi, Ghana. </w:t>
      </w:r>
      <w:r w:rsidRPr="000742BB">
        <w:rPr>
          <w:rFonts w:ascii="Times New Roman" w:eastAsia="Aptos" w:hAnsi="Times New Roman"/>
          <w:i/>
          <w:iCs/>
          <w:kern w:val="2"/>
          <w:lang w:bidi="ar-SA"/>
          <w14:ligatures w14:val="standardContextual"/>
        </w:rPr>
        <w:t>International Journal of Disaster Risk Reduction</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51</w:t>
      </w:r>
      <w:r w:rsidRPr="000742BB">
        <w:rPr>
          <w:rFonts w:ascii="Times New Roman" w:eastAsia="Aptos" w:hAnsi="Times New Roman"/>
          <w:kern w:val="2"/>
          <w:lang w:bidi="ar-SA"/>
          <w14:ligatures w14:val="standardContextual"/>
        </w:rPr>
        <w:t>, 101915. https://doi.org/10.1016/j.ijdrr.2020.101915</w:t>
      </w:r>
    </w:p>
    <w:p w14:paraId="03EED9F7"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Acheampong, M., Yu, Q., Enomah, L. D., Anchang, J., &amp; Eduful, M. (2018). Land use/cover change in Ghana’s oil city: Assessing the impact of neoliberal economic policies and implications for sustainable development goal number one – A remote sensing and GIS approach. </w:t>
      </w:r>
      <w:r w:rsidRPr="000742BB">
        <w:rPr>
          <w:rFonts w:ascii="Times New Roman" w:eastAsia="Aptos" w:hAnsi="Times New Roman"/>
          <w:i/>
          <w:iCs/>
          <w:kern w:val="2"/>
          <w:lang w:bidi="ar-SA"/>
          <w14:ligatures w14:val="standardContextual"/>
        </w:rPr>
        <w:t>Land Use Policy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73</w:t>
      </w:r>
      <w:r w:rsidRPr="000742BB">
        <w:rPr>
          <w:rFonts w:ascii="Times New Roman" w:eastAsia="Aptos" w:hAnsi="Times New Roman"/>
          <w:kern w:val="2"/>
          <w:lang w:bidi="ar-SA"/>
          <w14:ligatures w14:val="standardContextual"/>
        </w:rPr>
        <w:t>, 373–384. https://doi.org/10.1016/j.landusepol.2018.02.019</w:t>
      </w:r>
    </w:p>
    <w:p w14:paraId="7D2C9A5D"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Acheampong, R. A., Agyemang, F. S. K., &amp; Abdul-Fatawu, M. (2017). Quantifying the spatio-temporal patterns of settlement growth in a metropolitan region of Ghana. </w:t>
      </w:r>
      <w:r w:rsidRPr="000742BB">
        <w:rPr>
          <w:rFonts w:ascii="Times New Roman" w:eastAsia="Aptos" w:hAnsi="Times New Roman"/>
          <w:i/>
          <w:iCs/>
          <w:kern w:val="2"/>
          <w:lang w:bidi="ar-SA"/>
          <w14:ligatures w14:val="standardContextual"/>
        </w:rPr>
        <w:t>GeoJournal</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82</w:t>
      </w:r>
      <w:r w:rsidRPr="000742BB">
        <w:rPr>
          <w:rFonts w:ascii="Times New Roman" w:eastAsia="Aptos" w:hAnsi="Times New Roman"/>
          <w:kern w:val="2"/>
          <w:lang w:bidi="ar-SA"/>
          <w14:ligatures w14:val="standardContextual"/>
        </w:rPr>
        <w:t>(4), 823–840. https://doi.org/10.1007/s10708-016-9719-x</w:t>
      </w:r>
    </w:p>
    <w:p w14:paraId="332AE67C" w14:textId="77777777" w:rsidR="000742BB" w:rsidRPr="000742BB" w:rsidRDefault="000742BB" w:rsidP="009112A5">
      <w:pPr>
        <w:spacing w:before="240" w:line="240" w:lineRule="auto"/>
        <w:ind w:left="720" w:hanging="720"/>
        <w:rPr>
          <w:rFonts w:ascii="Times New Roman" w:eastAsia="Aptos" w:hAnsi="Times New Roman"/>
          <w:kern w:val="2"/>
          <w:lang w:val="fr-FR" w:bidi="ar-SA"/>
          <w14:ligatures w14:val="standardContextual"/>
        </w:rPr>
      </w:pPr>
      <w:r w:rsidRPr="000742BB">
        <w:rPr>
          <w:rFonts w:ascii="Times New Roman" w:eastAsia="Aptos" w:hAnsi="Times New Roman"/>
          <w:kern w:val="2"/>
          <w:lang w:bidi="ar-SA"/>
          <w14:ligatures w14:val="standardContextual"/>
        </w:rPr>
        <w:t xml:space="preserve">Addae, B., &amp; Oppelt, N. (2019). Land-Use/Land-Cover Change Analysis and Urban Growth Modelling in the Greater Accra Metropolitan Area (GAMA), Ghana. </w:t>
      </w:r>
      <w:r w:rsidRPr="000742BB">
        <w:rPr>
          <w:rFonts w:ascii="Times New Roman" w:eastAsia="Aptos" w:hAnsi="Times New Roman"/>
          <w:i/>
          <w:iCs/>
          <w:kern w:val="2"/>
          <w:lang w:val="fr-FR" w:bidi="ar-SA"/>
          <w14:ligatures w14:val="standardContextual"/>
        </w:rPr>
        <w:t>Urban Science</w:t>
      </w:r>
      <w:r w:rsidRPr="000742BB">
        <w:rPr>
          <w:rFonts w:ascii="Times New Roman" w:eastAsia="Aptos" w:hAnsi="Times New Roman"/>
          <w:kern w:val="2"/>
          <w:lang w:val="fr-FR" w:bidi="ar-SA"/>
          <w14:ligatures w14:val="standardContextual"/>
        </w:rPr>
        <w:t xml:space="preserve">, </w:t>
      </w:r>
      <w:r w:rsidRPr="000742BB">
        <w:rPr>
          <w:rFonts w:ascii="Times New Roman" w:eastAsia="Aptos" w:hAnsi="Times New Roman"/>
          <w:i/>
          <w:iCs/>
          <w:kern w:val="2"/>
          <w:lang w:val="fr-FR" w:bidi="ar-SA"/>
          <w14:ligatures w14:val="standardContextual"/>
        </w:rPr>
        <w:t>3</w:t>
      </w:r>
      <w:r w:rsidRPr="000742BB">
        <w:rPr>
          <w:rFonts w:ascii="Times New Roman" w:eastAsia="Aptos" w:hAnsi="Times New Roman"/>
          <w:kern w:val="2"/>
          <w:lang w:val="fr-FR" w:bidi="ar-SA"/>
          <w14:ligatures w14:val="standardContextual"/>
        </w:rPr>
        <w:t>(1), 26. https://doi.org/10.3390/urbansci3010026</w:t>
      </w:r>
    </w:p>
    <w:p w14:paraId="0FD8F0E7"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val="fr-FR" w:bidi="ar-SA"/>
          <w14:ligatures w14:val="standardContextual"/>
        </w:rPr>
        <w:t xml:space="preserve">Adhikari, P., &amp; de Beurs, K. M. (2016). </w:t>
      </w:r>
      <w:r w:rsidRPr="000742BB">
        <w:rPr>
          <w:rFonts w:ascii="Times New Roman" w:eastAsia="Aptos" w:hAnsi="Times New Roman"/>
          <w:kern w:val="2"/>
          <w:lang w:bidi="ar-SA"/>
          <w14:ligatures w14:val="standardContextual"/>
        </w:rPr>
        <w:t xml:space="preserve">An evaluation of multiple land-cover data sets to estimate cropland area in West Africa. </w:t>
      </w:r>
      <w:r w:rsidRPr="000742BB">
        <w:rPr>
          <w:rFonts w:ascii="Times New Roman" w:eastAsia="Aptos" w:hAnsi="Times New Roman"/>
          <w:i/>
          <w:iCs/>
          <w:kern w:val="2"/>
          <w:lang w:bidi="ar-SA"/>
          <w14:ligatures w14:val="standardContextual"/>
        </w:rPr>
        <w:t>International Journal of Remote Sensing</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37</w:t>
      </w:r>
      <w:r w:rsidRPr="000742BB">
        <w:rPr>
          <w:rFonts w:ascii="Times New Roman" w:eastAsia="Aptos" w:hAnsi="Times New Roman"/>
          <w:kern w:val="2"/>
          <w:lang w:bidi="ar-SA"/>
          <w14:ligatures w14:val="standardContextual"/>
        </w:rPr>
        <w:t>(22), 5344–5364. https://doi.org/10.1080/01431161.2016.1232869</w:t>
      </w:r>
    </w:p>
    <w:p w14:paraId="109E76D5"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Adhikari, P., &amp; de Beurs, K. M. (2017). Growth in urban extent and allometric analysis of West African cities. </w:t>
      </w:r>
      <w:r w:rsidRPr="000742BB">
        <w:rPr>
          <w:rFonts w:ascii="Times New Roman" w:eastAsia="Aptos" w:hAnsi="Times New Roman"/>
          <w:i/>
          <w:iCs/>
          <w:kern w:val="2"/>
          <w:lang w:bidi="ar-SA"/>
          <w14:ligatures w14:val="standardContextual"/>
        </w:rPr>
        <w:t>Journal of Land Use Science</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12</w:t>
      </w:r>
      <w:r w:rsidRPr="000742BB">
        <w:rPr>
          <w:rFonts w:ascii="Times New Roman" w:eastAsia="Aptos" w:hAnsi="Times New Roman"/>
          <w:kern w:val="2"/>
          <w:lang w:bidi="ar-SA"/>
          <w14:ligatures w14:val="standardContextual"/>
        </w:rPr>
        <w:t>(2–3), 105–124. https://doi.org/10.1080/1747423X.2017.1280550</w:t>
      </w:r>
    </w:p>
    <w:p w14:paraId="2A41839A"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Afriyie, K., Abass, K., &amp; Adjei, P. O.-W. (2020). Urban sprawl and agricultural livelihood response in peri-urban Ghana. </w:t>
      </w:r>
      <w:r w:rsidRPr="000742BB">
        <w:rPr>
          <w:rFonts w:ascii="Times New Roman" w:eastAsia="Aptos" w:hAnsi="Times New Roman"/>
          <w:i/>
          <w:iCs/>
          <w:kern w:val="2"/>
          <w:lang w:bidi="ar-SA"/>
          <w14:ligatures w14:val="standardContextual"/>
        </w:rPr>
        <w:t>International Journal of Urban Sustainable Development</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12</w:t>
      </w:r>
      <w:r w:rsidRPr="000742BB">
        <w:rPr>
          <w:rFonts w:ascii="Times New Roman" w:eastAsia="Aptos" w:hAnsi="Times New Roman"/>
          <w:kern w:val="2"/>
          <w:lang w:bidi="ar-SA"/>
          <w14:ligatures w14:val="standardContextual"/>
        </w:rPr>
        <w:t>(2), 202–218. https://doi.org/10.1080/19463138.2019.1691560</w:t>
      </w:r>
    </w:p>
    <w:p w14:paraId="2E626398"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Agyemang, F. S. K., &amp; Silva, E. (2019). Simulating the urban growth of a predominantly informal Ghanaian city-region with a cellular automata model: Implications for urban planning and policy. </w:t>
      </w:r>
      <w:r w:rsidRPr="000742BB">
        <w:rPr>
          <w:rFonts w:ascii="Times New Roman" w:eastAsia="Aptos" w:hAnsi="Times New Roman"/>
          <w:i/>
          <w:iCs/>
          <w:kern w:val="2"/>
          <w:lang w:bidi="ar-SA"/>
          <w14:ligatures w14:val="standardContextual"/>
        </w:rPr>
        <w:t>Applied Geography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105</w:t>
      </w:r>
      <w:r w:rsidRPr="000742BB">
        <w:rPr>
          <w:rFonts w:ascii="Times New Roman" w:eastAsia="Aptos" w:hAnsi="Times New Roman"/>
          <w:kern w:val="2"/>
          <w:lang w:bidi="ar-SA"/>
          <w14:ligatures w14:val="standardContextual"/>
        </w:rPr>
        <w:t>, 15–24. https://doi.org/10.1016/j.apgeog.2019.02.011</w:t>
      </w:r>
    </w:p>
    <w:p w14:paraId="0F937DFC"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Alexander, S. M., Jones, K., Bennett, N. J., Budden, A., Cox, M., Crosas, M., Game, E. T., Geary, J., Hardy, R. D., Johnson, J. T., Karcher, S., Motzer, N., Pittman, J., Randell, H., Silva, J. A., da Silva, P. P., Strasser, C., Strawhacker, C., Stuhl, A., &amp; Weber, N. (2020). Qualitative data sharing and synthesis for sustainability science. </w:t>
      </w:r>
      <w:r w:rsidRPr="000742BB">
        <w:rPr>
          <w:rFonts w:ascii="Times New Roman" w:eastAsia="Aptos" w:hAnsi="Times New Roman"/>
          <w:i/>
          <w:iCs/>
          <w:kern w:val="2"/>
          <w:lang w:bidi="ar-SA"/>
          <w14:ligatures w14:val="standardContextual"/>
        </w:rPr>
        <w:t>Nature Sustainability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3</w:t>
      </w:r>
      <w:r w:rsidRPr="000742BB">
        <w:rPr>
          <w:rFonts w:ascii="Times New Roman" w:eastAsia="Aptos" w:hAnsi="Times New Roman"/>
          <w:kern w:val="2"/>
          <w:lang w:bidi="ar-SA"/>
          <w14:ligatures w14:val="standardContextual"/>
        </w:rPr>
        <w:t>(2), Article 2. https://doi.org/10.1038/s41893-019-0434-8</w:t>
      </w:r>
    </w:p>
    <w:p w14:paraId="2854F621"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val="es-ES" w:bidi="ar-SA"/>
          <w14:ligatures w14:val="standardContextual"/>
        </w:rPr>
        <w:lastRenderedPageBreak/>
        <w:t xml:space="preserve">Amponsah, O., Blija, D. K., Ayambire, R. A., Takyi, S. A., Mensah, H., &amp; Braimah, I. (2022). </w:t>
      </w:r>
      <w:r w:rsidRPr="000742BB">
        <w:rPr>
          <w:rFonts w:ascii="Times New Roman" w:eastAsia="Aptos" w:hAnsi="Times New Roman"/>
          <w:kern w:val="2"/>
          <w:lang w:bidi="ar-SA"/>
          <w14:ligatures w14:val="standardContextual"/>
        </w:rPr>
        <w:t xml:space="preserve">Global urban sprawl containment strategies and their implications for rapidly urbanising cities in Ghana. </w:t>
      </w:r>
      <w:r w:rsidRPr="000742BB">
        <w:rPr>
          <w:rFonts w:ascii="Times New Roman" w:eastAsia="Aptos" w:hAnsi="Times New Roman"/>
          <w:i/>
          <w:iCs/>
          <w:kern w:val="2"/>
          <w:lang w:bidi="ar-SA"/>
          <w14:ligatures w14:val="standardContextual"/>
        </w:rPr>
        <w:t>Land Use Policy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114</w:t>
      </w:r>
      <w:r w:rsidRPr="000742BB">
        <w:rPr>
          <w:rFonts w:ascii="Times New Roman" w:eastAsia="Aptos" w:hAnsi="Times New Roman"/>
          <w:kern w:val="2"/>
          <w:lang w:bidi="ar-SA"/>
          <w14:ligatures w14:val="standardContextual"/>
        </w:rPr>
        <w:t>, 105979. https://doi.org/10.1016/j.landusepol.2022.105979</w:t>
      </w:r>
    </w:p>
    <w:p w14:paraId="5E7311B3"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An, L. (2012). Modeling human decisions in coupled human and natural systems: Review of agent-based models. </w:t>
      </w:r>
      <w:r w:rsidRPr="000742BB">
        <w:rPr>
          <w:rFonts w:ascii="Times New Roman" w:eastAsia="Aptos" w:hAnsi="Times New Roman"/>
          <w:i/>
          <w:iCs/>
          <w:kern w:val="2"/>
          <w:lang w:bidi="ar-SA"/>
          <w14:ligatures w14:val="standardContextual"/>
        </w:rPr>
        <w:t>Ecological Modelling</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229</w:t>
      </w:r>
      <w:r w:rsidRPr="000742BB">
        <w:rPr>
          <w:rFonts w:ascii="Times New Roman" w:eastAsia="Aptos" w:hAnsi="Times New Roman"/>
          <w:kern w:val="2"/>
          <w:lang w:bidi="ar-SA"/>
          <w14:ligatures w14:val="standardContextual"/>
        </w:rPr>
        <w:t>, 25–36. https://doi.org/10.1016/j.ecolmodel.2011.07.010</w:t>
      </w:r>
    </w:p>
    <w:p w14:paraId="7F7AE554"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Anane, G. K. (2021). </w:t>
      </w:r>
      <w:r w:rsidRPr="000742BB">
        <w:rPr>
          <w:rFonts w:ascii="Times New Roman" w:eastAsia="Aptos" w:hAnsi="Times New Roman"/>
          <w:i/>
          <w:iCs/>
          <w:kern w:val="2"/>
          <w:lang w:bidi="ar-SA"/>
          <w14:ligatures w14:val="standardContextual"/>
        </w:rPr>
        <w:t>Urban planning legislation and physical development in Ghana</w:t>
      </w:r>
      <w:r w:rsidRPr="000742BB">
        <w:rPr>
          <w:rFonts w:ascii="Times New Roman" w:eastAsia="Aptos" w:hAnsi="Times New Roman"/>
          <w:kern w:val="2"/>
          <w:lang w:bidi="ar-SA"/>
          <w14:ligatures w14:val="standardContextual"/>
        </w:rPr>
        <w:t>. https://doi.org/10.13140/RG.2.2.21993.83047</w:t>
      </w:r>
    </w:p>
    <w:p w14:paraId="28BCB789"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Anane, G. K., &amp; Cobbinah, P. B. (2022). Everyday politics of land use planning in peri-urbanisation. </w:t>
      </w:r>
      <w:r w:rsidRPr="000742BB">
        <w:rPr>
          <w:rFonts w:ascii="Times New Roman" w:eastAsia="Aptos" w:hAnsi="Times New Roman"/>
          <w:i/>
          <w:iCs/>
          <w:kern w:val="2"/>
          <w:lang w:bidi="ar-SA"/>
          <w14:ligatures w14:val="standardContextual"/>
        </w:rPr>
        <w:t>Habitat International</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120</w:t>
      </w:r>
      <w:r w:rsidRPr="000742BB">
        <w:rPr>
          <w:rFonts w:ascii="Times New Roman" w:eastAsia="Aptos" w:hAnsi="Times New Roman"/>
          <w:kern w:val="2"/>
          <w:lang w:bidi="ar-SA"/>
          <w14:ligatures w14:val="standardContextual"/>
        </w:rPr>
        <w:t>, 102497. https://doi.org/10.1016/j.habitatint.2021.102497</w:t>
      </w:r>
    </w:p>
    <w:p w14:paraId="6AD9CB86"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Angel, S. (2012). </w:t>
      </w:r>
      <w:r w:rsidRPr="000742BB">
        <w:rPr>
          <w:rFonts w:ascii="Times New Roman" w:eastAsia="Aptos" w:hAnsi="Times New Roman"/>
          <w:i/>
          <w:iCs/>
          <w:kern w:val="2"/>
          <w:lang w:bidi="ar-SA"/>
          <w14:ligatures w14:val="standardContextual"/>
        </w:rPr>
        <w:t>Atlas of urban expansion</w:t>
      </w:r>
      <w:r w:rsidRPr="000742BB">
        <w:rPr>
          <w:rFonts w:ascii="Times New Roman" w:eastAsia="Aptos" w:hAnsi="Times New Roman"/>
          <w:kern w:val="2"/>
          <w:lang w:bidi="ar-SA"/>
          <w14:ligatures w14:val="standardContextual"/>
        </w:rPr>
        <w:t>. Lincoln Institute of Land Policy.</w:t>
      </w:r>
    </w:p>
    <w:p w14:paraId="4061BBD5"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Angel, S., Lamson-Hall, P., Blei, A., Shingade, S., &amp; Kumar, S. (2021). Densify and Expand: A Global Analysis of Recent Urban Growth. </w:t>
      </w:r>
      <w:r w:rsidRPr="000742BB">
        <w:rPr>
          <w:rFonts w:ascii="Times New Roman" w:eastAsia="Aptos" w:hAnsi="Times New Roman"/>
          <w:i/>
          <w:iCs/>
          <w:kern w:val="2"/>
          <w:lang w:bidi="ar-SA"/>
          <w14:ligatures w14:val="standardContextual"/>
        </w:rPr>
        <w:t>Sustainability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13</w:t>
      </w:r>
      <w:r w:rsidRPr="000742BB">
        <w:rPr>
          <w:rFonts w:ascii="Times New Roman" w:eastAsia="Aptos" w:hAnsi="Times New Roman"/>
          <w:kern w:val="2"/>
          <w:lang w:bidi="ar-SA"/>
          <w14:ligatures w14:val="standardContextual"/>
        </w:rPr>
        <w:t>(7), 3835. https://doi.org/10.3390/su13073835</w:t>
      </w:r>
    </w:p>
    <w:p w14:paraId="006FA071"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Asenso Barnieh, B., Jia, L., Menenti, M., Zhou, J., &amp; Zeng, Y. (2020). Mapping Land Use Land Cover Transitions at Different Spatiotemporal Scales in West Africa. </w:t>
      </w:r>
      <w:r w:rsidRPr="000742BB">
        <w:rPr>
          <w:rFonts w:ascii="Times New Roman" w:eastAsia="Aptos" w:hAnsi="Times New Roman"/>
          <w:i/>
          <w:iCs/>
          <w:kern w:val="2"/>
          <w:lang w:bidi="ar-SA"/>
          <w14:ligatures w14:val="standardContextual"/>
        </w:rPr>
        <w:t>Sustainability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12</w:t>
      </w:r>
      <w:r w:rsidRPr="000742BB">
        <w:rPr>
          <w:rFonts w:ascii="Times New Roman" w:eastAsia="Aptos" w:hAnsi="Times New Roman"/>
          <w:kern w:val="2"/>
          <w:lang w:bidi="ar-SA"/>
          <w14:ligatures w14:val="standardContextual"/>
        </w:rPr>
        <w:t>(20), 8565. https://doi.org/10.3390/su12208565</w:t>
      </w:r>
    </w:p>
    <w:p w14:paraId="556ABC28"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Ayambire, R. A., Amponsah, O., Peprah, C., &amp; Takyi, S. A. (2019). A review of practices for sustaining urban and peri-urban agriculture: Implications for land use planning in rapidly urbanising Ghanaian cities. </w:t>
      </w:r>
      <w:r w:rsidRPr="000742BB">
        <w:rPr>
          <w:rFonts w:ascii="Times New Roman" w:eastAsia="Aptos" w:hAnsi="Times New Roman"/>
          <w:i/>
          <w:iCs/>
          <w:kern w:val="2"/>
          <w:lang w:bidi="ar-SA"/>
          <w14:ligatures w14:val="standardContextual"/>
        </w:rPr>
        <w:t>Land Use Policy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84</w:t>
      </w:r>
      <w:r w:rsidRPr="000742BB">
        <w:rPr>
          <w:rFonts w:ascii="Times New Roman" w:eastAsia="Aptos" w:hAnsi="Times New Roman"/>
          <w:kern w:val="2"/>
          <w:lang w:bidi="ar-SA"/>
          <w14:ligatures w14:val="standardContextual"/>
        </w:rPr>
        <w:t>, 260–277. https://doi.org/10.1016/j.landusepol.2019.03.004</w:t>
      </w:r>
    </w:p>
    <w:p w14:paraId="7AC131B5"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Bilintoh, T. M., Korah, A., Opuni, A., &amp; Akansobe, A. (2023). Comparing the Trajectory of Urban Impervious Surface in Two Cities: The Case of Accra and Kumasi, Ghana. </w:t>
      </w:r>
      <w:r w:rsidRPr="000742BB">
        <w:rPr>
          <w:rFonts w:ascii="Times New Roman" w:eastAsia="Aptos" w:hAnsi="Times New Roman"/>
          <w:i/>
          <w:iCs/>
          <w:kern w:val="2"/>
          <w:lang w:bidi="ar-SA"/>
          <w14:ligatures w14:val="standardContextual"/>
        </w:rPr>
        <w:t>Land</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12</w:t>
      </w:r>
      <w:r w:rsidRPr="000742BB">
        <w:rPr>
          <w:rFonts w:ascii="Times New Roman" w:eastAsia="Aptos" w:hAnsi="Times New Roman"/>
          <w:kern w:val="2"/>
          <w:lang w:bidi="ar-SA"/>
          <w14:ligatures w14:val="standardContextual"/>
        </w:rPr>
        <w:t>(4), Article 4. https://doi.org/10.3390/land12040927</w:t>
      </w:r>
    </w:p>
    <w:p w14:paraId="609CD6A0"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Brown de Colstoun, E. C., Huang, C., Wang, P., Tilton, J. C., Tan, B., Phillips, J., Niemczura, S., Ling, P.-Y., &amp; Wolfe, R. E. (2017). </w:t>
      </w:r>
      <w:r w:rsidRPr="000742BB">
        <w:rPr>
          <w:rFonts w:ascii="Times New Roman" w:eastAsia="Aptos" w:hAnsi="Times New Roman"/>
          <w:i/>
          <w:iCs/>
          <w:kern w:val="2"/>
          <w:lang w:bidi="ar-SA"/>
          <w14:ligatures w14:val="standardContextual"/>
        </w:rPr>
        <w:t>Global Man-made Impervious Surface (GMIS) Dataset From Landsat</w:t>
      </w:r>
      <w:r w:rsidRPr="000742BB">
        <w:rPr>
          <w:rFonts w:ascii="Times New Roman" w:eastAsia="Aptos" w:hAnsi="Times New Roman"/>
          <w:kern w:val="2"/>
          <w:lang w:bidi="ar-SA"/>
          <w14:ligatures w14:val="standardContextual"/>
        </w:rPr>
        <w:t>. NASA Socioeconomic Data and Applications Center (SEDAC). https://doi.org/10.7927/H4P55KKF</w:t>
      </w:r>
    </w:p>
    <w:p w14:paraId="7BE2AB49"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Carroll, S. R., Herczog, E., Hudson, M., Russell, K., &amp; Stall, S. (2021). Operationalizing the CARE and FAIR Principles for Indigenous data futures. </w:t>
      </w:r>
      <w:r w:rsidRPr="000742BB">
        <w:rPr>
          <w:rFonts w:ascii="Times New Roman" w:eastAsia="Aptos" w:hAnsi="Times New Roman"/>
          <w:i/>
          <w:iCs/>
          <w:kern w:val="2"/>
          <w:lang w:bidi="ar-SA"/>
          <w14:ligatures w14:val="standardContextual"/>
        </w:rPr>
        <w:t>Scientific Data</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8</w:t>
      </w:r>
      <w:r w:rsidRPr="000742BB">
        <w:rPr>
          <w:rFonts w:ascii="Times New Roman" w:eastAsia="Aptos" w:hAnsi="Times New Roman"/>
          <w:kern w:val="2"/>
          <w:lang w:bidi="ar-SA"/>
          <w14:ligatures w14:val="standardContextual"/>
        </w:rPr>
        <w:t>(1), Article 1. https://doi.org/10.1038/s41597-021-00892-0</w:t>
      </w:r>
    </w:p>
    <w:p w14:paraId="41D216B1"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Chai, B., &amp; Seto, K. C. (2019). Conceptualizing and characterizing micro-urbanization: A new perspective applied to Africa. </w:t>
      </w:r>
      <w:r w:rsidRPr="000742BB">
        <w:rPr>
          <w:rFonts w:ascii="Times New Roman" w:eastAsia="Aptos" w:hAnsi="Times New Roman"/>
          <w:i/>
          <w:iCs/>
          <w:kern w:val="2"/>
          <w:lang w:bidi="ar-SA"/>
          <w14:ligatures w14:val="standardContextual"/>
        </w:rPr>
        <w:t>Landscape and Urban Planning</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190</w:t>
      </w:r>
      <w:r w:rsidRPr="000742BB">
        <w:rPr>
          <w:rFonts w:ascii="Times New Roman" w:eastAsia="Aptos" w:hAnsi="Times New Roman"/>
          <w:kern w:val="2"/>
          <w:lang w:bidi="ar-SA"/>
          <w14:ligatures w14:val="standardContextual"/>
        </w:rPr>
        <w:t>, 103595. https://doi.org/10.1016/j.landurbplan.2019.103595</w:t>
      </w:r>
    </w:p>
    <w:p w14:paraId="33BD51DA"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lastRenderedPageBreak/>
        <w:t xml:space="preserve">Clarke, K. C., Hoppen, S., &amp; Gaydos, L. (1997). A self-modifying cellular automaton model of historical urbanization in the San Francisco Bay area. </w:t>
      </w:r>
      <w:r w:rsidRPr="000742BB">
        <w:rPr>
          <w:rFonts w:ascii="Times New Roman" w:eastAsia="Aptos" w:hAnsi="Times New Roman"/>
          <w:i/>
          <w:iCs/>
          <w:kern w:val="2"/>
          <w:lang w:bidi="ar-SA"/>
          <w14:ligatures w14:val="standardContextual"/>
        </w:rPr>
        <w:t>Environment and Planning B: Planning and Design</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24</w:t>
      </w:r>
      <w:r w:rsidRPr="000742BB">
        <w:rPr>
          <w:rFonts w:ascii="Times New Roman" w:eastAsia="Aptos" w:hAnsi="Times New Roman"/>
          <w:kern w:val="2"/>
          <w:lang w:bidi="ar-SA"/>
          <w14:ligatures w14:val="standardContextual"/>
        </w:rPr>
        <w:t>(2), 247–261. https://doi.org/10.1068/b240247</w:t>
      </w:r>
    </w:p>
    <w:p w14:paraId="00F9F1F7"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Cobbinah, P. B., &amp; Aboagye, H. N. (2017). A Ghanaian twist to urban sprawl. </w:t>
      </w:r>
      <w:r w:rsidRPr="000742BB">
        <w:rPr>
          <w:rFonts w:ascii="Times New Roman" w:eastAsia="Aptos" w:hAnsi="Times New Roman"/>
          <w:i/>
          <w:iCs/>
          <w:kern w:val="2"/>
          <w:lang w:bidi="ar-SA"/>
          <w14:ligatures w14:val="standardContextual"/>
        </w:rPr>
        <w:t>Land Use Policy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61</w:t>
      </w:r>
      <w:r w:rsidRPr="000742BB">
        <w:rPr>
          <w:rFonts w:ascii="Times New Roman" w:eastAsia="Aptos" w:hAnsi="Times New Roman"/>
          <w:kern w:val="2"/>
          <w:lang w:bidi="ar-SA"/>
          <w14:ligatures w14:val="standardContextual"/>
        </w:rPr>
        <w:t>, 231–241. https://doi.org/10.1016/j.landusepol.2016.10.047</w:t>
      </w:r>
    </w:p>
    <w:p w14:paraId="0FC43513"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Cobbinah, P. B., Erdiaw-Kwasie, M. O., &amp; Amoateng, P. (2015). Africa’s urbanisation: Implications for sustainable development. </w:t>
      </w:r>
      <w:r w:rsidRPr="000742BB">
        <w:rPr>
          <w:rFonts w:ascii="Times New Roman" w:eastAsia="Aptos" w:hAnsi="Times New Roman"/>
          <w:i/>
          <w:iCs/>
          <w:kern w:val="2"/>
          <w:lang w:bidi="ar-SA"/>
          <w14:ligatures w14:val="standardContextual"/>
        </w:rPr>
        <w:t>Cities</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47</w:t>
      </w:r>
      <w:r w:rsidRPr="000742BB">
        <w:rPr>
          <w:rFonts w:ascii="Times New Roman" w:eastAsia="Aptos" w:hAnsi="Times New Roman"/>
          <w:kern w:val="2"/>
          <w:lang w:bidi="ar-SA"/>
          <w14:ligatures w14:val="standardContextual"/>
        </w:rPr>
        <w:t>, 62–72. https://doi.org/10.1016/j.cities.2015.03.013</w:t>
      </w:r>
    </w:p>
    <w:p w14:paraId="7534D10C"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Cotillon, S. E., &amp; Mathis, M. L. (2017). </w:t>
      </w:r>
      <w:r w:rsidRPr="000742BB">
        <w:rPr>
          <w:rFonts w:ascii="Times New Roman" w:eastAsia="Aptos" w:hAnsi="Times New Roman"/>
          <w:i/>
          <w:iCs/>
          <w:kern w:val="2"/>
          <w:lang w:bidi="ar-SA"/>
          <w14:ligatures w14:val="standardContextual"/>
        </w:rPr>
        <w:t>Mapping land cover through time with the Rapid Land Cover Mapper—Documentation and user manual</w:t>
      </w:r>
      <w:r w:rsidRPr="000742BB">
        <w:rPr>
          <w:rFonts w:ascii="Times New Roman" w:eastAsia="Aptos" w:hAnsi="Times New Roman"/>
          <w:kern w:val="2"/>
          <w:lang w:bidi="ar-SA"/>
          <w14:ligatures w14:val="standardContextual"/>
        </w:rPr>
        <w:t xml:space="preserve"> (U.S. Geological Survey Open-File Report, p. 23 p). https://doi.org/10.3133/ofr20171012</w:t>
      </w:r>
    </w:p>
    <w:p w14:paraId="0644B914"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Curiel, R. P., Heinrigs, P., &amp; Heo, I. (2017). </w:t>
      </w:r>
      <w:r w:rsidRPr="000742BB">
        <w:rPr>
          <w:rFonts w:ascii="Times New Roman" w:eastAsia="Aptos" w:hAnsi="Times New Roman"/>
          <w:i/>
          <w:iCs/>
          <w:kern w:val="2"/>
          <w:lang w:bidi="ar-SA"/>
          <w14:ligatures w14:val="standardContextual"/>
        </w:rPr>
        <w:t>Cities and Spatial Interactions in West Africa</w:t>
      </w:r>
      <w:r w:rsidRPr="000742BB">
        <w:rPr>
          <w:rFonts w:ascii="Times New Roman" w:eastAsia="Aptos" w:hAnsi="Times New Roman"/>
          <w:kern w:val="2"/>
          <w:lang w:bidi="ar-SA"/>
          <w14:ligatures w14:val="standardContextual"/>
        </w:rPr>
        <w:t xml:space="preserve"> (West African Papers 5; West African Papers, Vol. 5). https://doi.org/10.1787/57b30601-en</w:t>
      </w:r>
    </w:p>
    <w:p w14:paraId="157CEBF1"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Dorning, M. A., Koch, J., Shoemaker, D. A., &amp; Meentemeyer, R. K. (2015). Simulating urbanization scenarios reveals tradeoffs between conservation planning strategies. </w:t>
      </w:r>
      <w:r w:rsidRPr="000742BB">
        <w:rPr>
          <w:rFonts w:ascii="Times New Roman" w:eastAsia="Aptos" w:hAnsi="Times New Roman"/>
          <w:i/>
          <w:iCs/>
          <w:kern w:val="2"/>
          <w:lang w:bidi="ar-SA"/>
          <w14:ligatures w14:val="standardContextual"/>
        </w:rPr>
        <w:t>Landscape and Urban Planning</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136</w:t>
      </w:r>
      <w:r w:rsidRPr="000742BB">
        <w:rPr>
          <w:rFonts w:ascii="Times New Roman" w:eastAsia="Aptos" w:hAnsi="Times New Roman"/>
          <w:kern w:val="2"/>
          <w:lang w:bidi="ar-SA"/>
          <w14:ligatures w14:val="standardContextual"/>
        </w:rPr>
        <w:t>, 28–39. https://doi.org/10.1016/j.landurbplan.2014.11.011</w:t>
      </w:r>
    </w:p>
    <w:p w14:paraId="74742E73"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Enoguanbhor, E., Gollnow, F., Nielsen, J., Lakes, T., &amp; Walker, B. (2019). Land Cover Change in the Abuja City-Region, Nigeria: Integrating GIS and Remotely Sensed Data to Support Land Use Planning. </w:t>
      </w:r>
      <w:r w:rsidRPr="000742BB">
        <w:rPr>
          <w:rFonts w:ascii="Times New Roman" w:eastAsia="Aptos" w:hAnsi="Times New Roman"/>
          <w:i/>
          <w:iCs/>
          <w:kern w:val="2"/>
          <w:lang w:bidi="ar-SA"/>
          <w14:ligatures w14:val="standardContextual"/>
        </w:rPr>
        <w:t>Sustainability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11</w:t>
      </w:r>
      <w:r w:rsidRPr="000742BB">
        <w:rPr>
          <w:rFonts w:ascii="Times New Roman" w:eastAsia="Aptos" w:hAnsi="Times New Roman"/>
          <w:kern w:val="2"/>
          <w:lang w:bidi="ar-SA"/>
          <w14:ligatures w14:val="standardContextual"/>
        </w:rPr>
        <w:t>(5), 1313. https://doi.org/10.3390/su11051313</w:t>
      </w:r>
    </w:p>
    <w:p w14:paraId="2826F0EF"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Goncalves, T. M., Zhong, X., Ziggah, Y. Y., &amp; Dwamena, B. Y. (2019). Simulating Urban Growth Using Cellular Automata Approach (SLEUTH)-A Case Study of Praia City, Cabo Verde. </w:t>
      </w:r>
      <w:r w:rsidRPr="000742BB">
        <w:rPr>
          <w:rFonts w:ascii="Times New Roman" w:eastAsia="Aptos" w:hAnsi="Times New Roman"/>
          <w:i/>
          <w:iCs/>
          <w:kern w:val="2"/>
          <w:lang w:bidi="ar-SA"/>
          <w14:ligatures w14:val="standardContextual"/>
        </w:rPr>
        <w:t>IEEE Access</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7</w:t>
      </w:r>
      <w:r w:rsidRPr="000742BB">
        <w:rPr>
          <w:rFonts w:ascii="Times New Roman" w:eastAsia="Aptos" w:hAnsi="Times New Roman"/>
          <w:kern w:val="2"/>
          <w:lang w:bidi="ar-SA"/>
          <w14:ligatures w14:val="standardContextual"/>
        </w:rPr>
        <w:t>, 156430–156442. https://doi.org/10.1109/ACCESS.2019.2949689</w:t>
      </w:r>
    </w:p>
    <w:p w14:paraId="78F5BDBD"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Gong, P., Li, X., Wang, J., Bai, Y., Chen, B., Hu, T., Liu, X., Xu, B., Yang, J., Zhang, W., &amp; Zhou, Y. (2020). Annual maps of global artificial impervious area (GAIA) between 1985 and 2018. </w:t>
      </w:r>
      <w:r w:rsidRPr="000742BB">
        <w:rPr>
          <w:rFonts w:ascii="Times New Roman" w:eastAsia="Aptos" w:hAnsi="Times New Roman"/>
          <w:i/>
          <w:iCs/>
          <w:kern w:val="2"/>
          <w:lang w:bidi="ar-SA"/>
          <w14:ligatures w14:val="standardContextual"/>
        </w:rPr>
        <w:t>Remote Sensing of Environment</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236</w:t>
      </w:r>
      <w:r w:rsidRPr="000742BB">
        <w:rPr>
          <w:rFonts w:ascii="Times New Roman" w:eastAsia="Aptos" w:hAnsi="Times New Roman"/>
          <w:kern w:val="2"/>
          <w:lang w:bidi="ar-SA"/>
          <w14:ligatures w14:val="standardContextual"/>
        </w:rPr>
        <w:t>, 111510. https://doi.org/10.1016/j.rse.2019.111510</w:t>
      </w:r>
    </w:p>
    <w:p w14:paraId="067CEF5A"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Güneralp, B., Lwasa, S., Masundire, H., Parnell, S., &amp; Seto, K. C. (2017). Urbanization in Africa: Challenges and opportunities for conservation. </w:t>
      </w:r>
      <w:r w:rsidRPr="000742BB">
        <w:rPr>
          <w:rFonts w:ascii="Times New Roman" w:eastAsia="Aptos" w:hAnsi="Times New Roman"/>
          <w:i/>
          <w:iCs/>
          <w:kern w:val="2"/>
          <w:lang w:bidi="ar-SA"/>
          <w14:ligatures w14:val="standardContextual"/>
        </w:rPr>
        <w:t>Environmental Research Letters</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13</w:t>
      </w:r>
      <w:r w:rsidRPr="000742BB">
        <w:rPr>
          <w:rFonts w:ascii="Times New Roman" w:eastAsia="Aptos" w:hAnsi="Times New Roman"/>
          <w:kern w:val="2"/>
          <w:lang w:bidi="ar-SA"/>
          <w14:ligatures w14:val="standardContextual"/>
        </w:rPr>
        <w:t>(1), 015002. https://doi.org/10.1088/1748-9326/aa94fe</w:t>
      </w:r>
    </w:p>
    <w:p w14:paraId="01F7148F"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Herrmann, S. M., Brandt, M., Rasmussen, K., &amp; Fensholt, R. (2020). Accelerating land cover change in West Africa over four decades as population pressure increased. </w:t>
      </w:r>
      <w:r w:rsidRPr="000742BB">
        <w:rPr>
          <w:rFonts w:ascii="Times New Roman" w:eastAsia="Aptos" w:hAnsi="Times New Roman"/>
          <w:i/>
          <w:iCs/>
          <w:kern w:val="2"/>
          <w:lang w:bidi="ar-SA"/>
          <w14:ligatures w14:val="standardContextual"/>
        </w:rPr>
        <w:t>Communications Earth &amp; Environment</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w:t>
      </w:r>
      <w:r w:rsidRPr="000742BB">
        <w:rPr>
          <w:rFonts w:ascii="Times New Roman" w:eastAsia="Aptos" w:hAnsi="Times New Roman"/>
          <w:kern w:val="2"/>
          <w:lang w:bidi="ar-SA"/>
          <w14:ligatures w14:val="standardContextual"/>
        </w:rPr>
        <w:t>(1), 53. https://doi.org/10.1038/s43247-020-00053-y</w:t>
      </w:r>
    </w:p>
    <w:p w14:paraId="7EDC62A6"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Idowu, T. E., Waswa, R. M., Lasisi, K., Mubea, K., Nyadawa, M., &amp; Kiema, J. B. K. (2020). Towards achieving Sustainability of coastal environments: Urban Growth analysis and </w:t>
      </w:r>
      <w:r w:rsidRPr="000742BB">
        <w:rPr>
          <w:rFonts w:ascii="Times New Roman" w:eastAsia="Aptos" w:hAnsi="Times New Roman"/>
          <w:kern w:val="2"/>
          <w:lang w:bidi="ar-SA"/>
          <w14:ligatures w14:val="standardContextual"/>
        </w:rPr>
        <w:lastRenderedPageBreak/>
        <w:t xml:space="preserve">prediction of Lagos, State Nigeria. </w:t>
      </w:r>
      <w:r w:rsidRPr="000742BB">
        <w:rPr>
          <w:rFonts w:ascii="Times New Roman" w:eastAsia="Aptos" w:hAnsi="Times New Roman"/>
          <w:i/>
          <w:iCs/>
          <w:kern w:val="2"/>
          <w:lang w:bidi="ar-SA"/>
          <w14:ligatures w14:val="standardContextual"/>
        </w:rPr>
        <w:t>South African Journal of Geomatics</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9</w:t>
      </w:r>
      <w:r w:rsidRPr="000742BB">
        <w:rPr>
          <w:rFonts w:ascii="Times New Roman" w:eastAsia="Aptos" w:hAnsi="Times New Roman"/>
          <w:kern w:val="2"/>
          <w:lang w:bidi="ar-SA"/>
          <w14:ligatures w14:val="standardContextual"/>
        </w:rPr>
        <w:t>(2), 149–162. https://doi.org/10.4314/sajg.v9i2.11</w:t>
      </w:r>
    </w:p>
    <w:p w14:paraId="67C17D0E"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Kleemann, J., Baysal, G., Bulley, H. N. N., &amp; Fürst, C. (2017). Assessing driving forces of land use and land cover change by a mixed-method approach in north-eastern Ghana, West Africa. </w:t>
      </w:r>
      <w:r w:rsidRPr="000742BB">
        <w:rPr>
          <w:rFonts w:ascii="Times New Roman" w:eastAsia="Aptos" w:hAnsi="Times New Roman"/>
          <w:i/>
          <w:iCs/>
          <w:kern w:val="2"/>
          <w:lang w:bidi="ar-SA"/>
          <w14:ligatures w14:val="standardContextual"/>
        </w:rPr>
        <w:t>Journal of Environmental Management</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196</w:t>
      </w:r>
      <w:r w:rsidRPr="000742BB">
        <w:rPr>
          <w:rFonts w:ascii="Times New Roman" w:eastAsia="Aptos" w:hAnsi="Times New Roman"/>
          <w:kern w:val="2"/>
          <w:lang w:bidi="ar-SA"/>
          <w14:ligatures w14:val="standardContextual"/>
        </w:rPr>
        <w:t>, 411–442. https://doi.org/10.1016/j.jenvman.2017.01.053</w:t>
      </w:r>
    </w:p>
    <w:p w14:paraId="04E77182" w14:textId="149B5F5C"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Koch, J., Wimmer, F</w:t>
      </w:r>
      <w:r w:rsidR="00F01298">
        <w:rPr>
          <w:rFonts w:ascii="Times New Roman" w:eastAsia="Aptos" w:hAnsi="Times New Roman"/>
          <w:kern w:val="2"/>
          <w:lang w:bidi="ar-SA"/>
          <w14:ligatures w14:val="standardContextual"/>
        </w:rPr>
        <w:t>.</w:t>
      </w:r>
      <w:r w:rsidRPr="000742BB">
        <w:rPr>
          <w:rFonts w:ascii="Times New Roman" w:eastAsia="Aptos" w:hAnsi="Times New Roman"/>
          <w:kern w:val="2"/>
          <w:lang w:bidi="ar-SA"/>
          <w14:ligatures w14:val="standardContextual"/>
        </w:rPr>
        <w:t xml:space="preserve">, &amp; Schaldach, R. (2018). Analyzing the relationship between urbanization, food supply and demand, and irrigation requirements in Jordan. </w:t>
      </w:r>
      <w:r w:rsidRPr="000742BB">
        <w:rPr>
          <w:rFonts w:ascii="Times New Roman" w:eastAsia="Aptos" w:hAnsi="Times New Roman"/>
          <w:i/>
          <w:iCs/>
          <w:kern w:val="2"/>
          <w:lang w:bidi="ar-SA"/>
          <w14:ligatures w14:val="standardContextual"/>
        </w:rPr>
        <w:t>Science of the Total Environment</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636</w:t>
      </w:r>
      <w:r w:rsidRPr="000742BB">
        <w:rPr>
          <w:rFonts w:ascii="Times New Roman" w:eastAsia="Aptos" w:hAnsi="Times New Roman"/>
          <w:kern w:val="2"/>
          <w:lang w:bidi="ar-SA"/>
          <w14:ligatures w14:val="standardContextual"/>
        </w:rPr>
        <w:t>, 1500–1509. https://doi.org/10.1016/j.scitotenv.2018.04.058</w:t>
      </w:r>
    </w:p>
    <w:p w14:paraId="3DFA3F86"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Korah, A., Koch, J. A. M., &amp; Wimberly, M. C. (2024). Understanding urban growth modeling in Africa: Dynamics, drivers, and challenges. </w:t>
      </w:r>
      <w:r w:rsidRPr="000742BB">
        <w:rPr>
          <w:rFonts w:ascii="Times New Roman" w:eastAsia="Aptos" w:hAnsi="Times New Roman"/>
          <w:i/>
          <w:iCs/>
          <w:kern w:val="2"/>
          <w:lang w:bidi="ar-SA"/>
          <w14:ligatures w14:val="standardContextual"/>
        </w:rPr>
        <w:t>Cities</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146</w:t>
      </w:r>
      <w:r w:rsidRPr="000742BB">
        <w:rPr>
          <w:rFonts w:ascii="Times New Roman" w:eastAsia="Aptos" w:hAnsi="Times New Roman"/>
          <w:kern w:val="2"/>
          <w:lang w:bidi="ar-SA"/>
          <w14:ligatures w14:val="standardContextual"/>
        </w:rPr>
        <w:t>, 104734. https://doi.org/10.1016/j.cities.2023.104734</w:t>
      </w:r>
    </w:p>
    <w:p w14:paraId="4463D378"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Korah, A., &amp; Wimberly, M. C. (2024). Smaller cities have large impacts on West Africa’s expanding urban system. </w:t>
      </w:r>
      <w:r w:rsidRPr="000742BB">
        <w:rPr>
          <w:rFonts w:ascii="Times New Roman" w:eastAsia="Aptos" w:hAnsi="Times New Roman"/>
          <w:i/>
          <w:iCs/>
          <w:kern w:val="2"/>
          <w:lang w:bidi="ar-SA"/>
          <w14:ligatures w14:val="standardContextual"/>
        </w:rPr>
        <w:t>Sustainable Cities and Society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106</w:t>
      </w:r>
      <w:r w:rsidRPr="000742BB">
        <w:rPr>
          <w:rFonts w:ascii="Times New Roman" w:eastAsia="Aptos" w:hAnsi="Times New Roman"/>
          <w:kern w:val="2"/>
          <w:lang w:bidi="ar-SA"/>
          <w14:ligatures w14:val="standardContextual"/>
        </w:rPr>
        <w:t>, 105381. https://doi.org/10.1016/j.scs.2024.105381</w:t>
      </w:r>
    </w:p>
    <w:p w14:paraId="44B469A0"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Korah, P. I., Cobbinah, P. B., Nunbogu, A. M., &amp; Gyogluu, S. (2017). Spatial plans and urban development trajectory in Kumasi, Ghana. </w:t>
      </w:r>
      <w:r w:rsidRPr="000742BB">
        <w:rPr>
          <w:rFonts w:ascii="Times New Roman" w:eastAsia="Aptos" w:hAnsi="Times New Roman"/>
          <w:i/>
          <w:iCs/>
          <w:kern w:val="2"/>
          <w:lang w:bidi="ar-SA"/>
          <w14:ligatures w14:val="standardContextual"/>
        </w:rPr>
        <w:t>GeoJournal</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82</w:t>
      </w:r>
      <w:r w:rsidRPr="000742BB">
        <w:rPr>
          <w:rFonts w:ascii="Times New Roman" w:eastAsia="Aptos" w:hAnsi="Times New Roman"/>
          <w:kern w:val="2"/>
          <w:lang w:bidi="ar-SA"/>
          <w14:ligatures w14:val="standardContextual"/>
        </w:rPr>
        <w:t>(6), 1113–1134. https://doi.org/10.1007/s10708-016-9731-1</w:t>
      </w:r>
    </w:p>
    <w:p w14:paraId="58450075"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Korah, P. I., Matthews, T., &amp; Tomerini, D. (2019). Characterising spatial and temporal patterns of urban evolution in Sub-Saharan Africa: The case of Accra, Ghana. </w:t>
      </w:r>
      <w:r w:rsidRPr="000742BB">
        <w:rPr>
          <w:rFonts w:ascii="Times New Roman" w:eastAsia="Aptos" w:hAnsi="Times New Roman"/>
          <w:i/>
          <w:iCs/>
          <w:kern w:val="2"/>
          <w:lang w:bidi="ar-SA"/>
          <w14:ligatures w14:val="standardContextual"/>
        </w:rPr>
        <w:t>Land Use Policy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87</w:t>
      </w:r>
      <w:r w:rsidRPr="000742BB">
        <w:rPr>
          <w:rFonts w:ascii="Times New Roman" w:eastAsia="Aptos" w:hAnsi="Times New Roman"/>
          <w:kern w:val="2"/>
          <w:lang w:bidi="ar-SA"/>
          <w14:ligatures w14:val="standardContextual"/>
        </w:rPr>
        <w:t>, 104049. https://doi.org/10.1016/j.landusepol.2019.104049</w:t>
      </w:r>
    </w:p>
    <w:p w14:paraId="6A2F6078"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Kpienbaareh, D., &amp; Luginaah, I. (2020). Modeling the internal structure, dynamics and trends of urban sprawl in Ghanaian cities using remote sensing, spatial metrics and spatial analysis. </w:t>
      </w:r>
      <w:r w:rsidRPr="000742BB">
        <w:rPr>
          <w:rFonts w:ascii="Times New Roman" w:eastAsia="Aptos" w:hAnsi="Times New Roman"/>
          <w:i/>
          <w:iCs/>
          <w:kern w:val="2"/>
          <w:lang w:bidi="ar-SA"/>
          <w14:ligatures w14:val="standardContextual"/>
        </w:rPr>
        <w:t>African Geographical Review</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39</w:t>
      </w:r>
      <w:r w:rsidRPr="000742BB">
        <w:rPr>
          <w:rFonts w:ascii="Times New Roman" w:eastAsia="Aptos" w:hAnsi="Times New Roman"/>
          <w:kern w:val="2"/>
          <w:lang w:bidi="ar-SA"/>
          <w14:ligatures w14:val="standardContextual"/>
        </w:rPr>
        <w:t>(3), 189–207. https://doi.org/10.1080/19376812.2019.1677482</w:t>
      </w:r>
    </w:p>
    <w:p w14:paraId="3694BEE0"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Linard, C., Tatem, A. J., &amp; Gilbert, M. (2013). Modelling spatial patterns of urban growth in Africa. </w:t>
      </w:r>
      <w:r w:rsidRPr="000742BB">
        <w:rPr>
          <w:rFonts w:ascii="Times New Roman" w:eastAsia="Aptos" w:hAnsi="Times New Roman"/>
          <w:i/>
          <w:iCs/>
          <w:kern w:val="2"/>
          <w:lang w:bidi="ar-SA"/>
          <w14:ligatures w14:val="standardContextual"/>
        </w:rPr>
        <w:t>Applied Geography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44</w:t>
      </w:r>
      <w:r w:rsidRPr="000742BB">
        <w:rPr>
          <w:rFonts w:ascii="Times New Roman" w:eastAsia="Aptos" w:hAnsi="Times New Roman"/>
          <w:kern w:val="2"/>
          <w:lang w:bidi="ar-SA"/>
          <w14:ligatures w14:val="standardContextual"/>
        </w:rPr>
        <w:t>, 23–32. https://doi.org/10.1016/j.apgeog.2013.07.009</w:t>
      </w:r>
    </w:p>
    <w:p w14:paraId="036B64B4"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Liu, X., Liang, X., Li, X., Xu, X., Ou, J., Chen, Y., Li, S., Wang, S., &amp; Pei, F. (2017). A future land use simulation model (FLUS) for simulating multiple land use scenarios by coupling human and natural effects. </w:t>
      </w:r>
      <w:r w:rsidRPr="000742BB">
        <w:rPr>
          <w:rFonts w:ascii="Times New Roman" w:eastAsia="Aptos" w:hAnsi="Times New Roman"/>
          <w:i/>
          <w:iCs/>
          <w:kern w:val="2"/>
          <w:lang w:bidi="ar-SA"/>
          <w14:ligatures w14:val="standardContextual"/>
        </w:rPr>
        <w:t>Landscape and Urban Planning</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168</w:t>
      </w:r>
      <w:r w:rsidRPr="000742BB">
        <w:rPr>
          <w:rFonts w:ascii="Times New Roman" w:eastAsia="Aptos" w:hAnsi="Times New Roman"/>
          <w:kern w:val="2"/>
          <w:lang w:bidi="ar-SA"/>
          <w14:ligatures w14:val="standardContextual"/>
        </w:rPr>
        <w:t>, 94–116. https://doi.org/10.1016/j.landurbplan.2017.09.019</w:t>
      </w:r>
    </w:p>
    <w:p w14:paraId="4A031240"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Mahmoud, M. I., Duker, A., Conrad, C., Thiel, M., &amp; Ahmad, H. S. (2016). Analysis of Settlement Expansion and Urban Growth Modelling Using Geoinformation for Assessing Potential Impacts of Urbanization on Climate in Abuja City, Nigeria. </w:t>
      </w:r>
      <w:r w:rsidRPr="000742BB">
        <w:rPr>
          <w:rFonts w:ascii="Times New Roman" w:eastAsia="Aptos" w:hAnsi="Times New Roman"/>
          <w:i/>
          <w:iCs/>
          <w:kern w:val="2"/>
          <w:lang w:bidi="ar-SA"/>
          <w14:ligatures w14:val="standardContextual"/>
        </w:rPr>
        <w:t>Remote Sensing</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8</w:t>
      </w:r>
      <w:r w:rsidRPr="000742BB">
        <w:rPr>
          <w:rFonts w:ascii="Times New Roman" w:eastAsia="Aptos" w:hAnsi="Times New Roman"/>
          <w:kern w:val="2"/>
          <w:lang w:bidi="ar-SA"/>
          <w14:ligatures w14:val="standardContextual"/>
        </w:rPr>
        <w:t>(3). https://doi.org/10.3390/rs8030220</w:t>
      </w:r>
    </w:p>
    <w:p w14:paraId="72DFF850"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lastRenderedPageBreak/>
        <w:t xml:space="preserve">Marais, L., &amp; Cloete, J. (2017). The role of secondary cities in managing urbanisation in South Africa. </w:t>
      </w:r>
      <w:r w:rsidRPr="000742BB">
        <w:rPr>
          <w:rFonts w:ascii="Times New Roman" w:eastAsia="Aptos" w:hAnsi="Times New Roman"/>
          <w:i/>
          <w:iCs/>
          <w:kern w:val="2"/>
          <w:lang w:bidi="ar-SA"/>
          <w14:ligatures w14:val="standardContextual"/>
        </w:rPr>
        <w:t>Development Southern Africa</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34</w:t>
      </w:r>
      <w:r w:rsidRPr="000742BB">
        <w:rPr>
          <w:rFonts w:ascii="Times New Roman" w:eastAsia="Aptos" w:hAnsi="Times New Roman"/>
          <w:kern w:val="2"/>
          <w:lang w:bidi="ar-SA"/>
          <w14:ligatures w14:val="standardContextual"/>
        </w:rPr>
        <w:t>(2), 182–195. https://doi.org/10.1080/0376835X.2016.1259993</w:t>
      </w:r>
    </w:p>
    <w:p w14:paraId="154617D1"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Meentemeyer, R. K., Tang, W., Dorning, M. A., Vogler, J. B., Cunniffe, N. J., &amp; Shoemaker, D. A. (2013). FUTURES: Multilevel Simulations of Emerging Urban–Rural Landscape Structure Using a Stochastic Patch-Growing Algorithm. </w:t>
      </w:r>
      <w:r w:rsidRPr="000742BB">
        <w:rPr>
          <w:rFonts w:ascii="Times New Roman" w:eastAsia="Aptos" w:hAnsi="Times New Roman"/>
          <w:i/>
          <w:iCs/>
          <w:kern w:val="2"/>
          <w:lang w:bidi="ar-SA"/>
          <w14:ligatures w14:val="standardContextual"/>
        </w:rPr>
        <w:t>Annals of the Association of American Geographers</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103</w:t>
      </w:r>
      <w:r w:rsidRPr="000742BB">
        <w:rPr>
          <w:rFonts w:ascii="Times New Roman" w:eastAsia="Aptos" w:hAnsi="Times New Roman"/>
          <w:kern w:val="2"/>
          <w:lang w:bidi="ar-SA"/>
          <w14:ligatures w14:val="standardContextual"/>
        </w:rPr>
        <w:t>(4), 785–807. https://doi.org/10.1080/00045608.2012.707591</w:t>
      </w:r>
    </w:p>
    <w:p w14:paraId="3D0C5F0E"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Mensah, C., Atayi, J., Kabo-Bah, A. T., Švik, M., Acheampong, D., Kyere-Boateng, R., Prempeh, N. A., &amp; Marek, M. V. (2020). Impact of urban land cover change on the garden city status and land surface temperature of Kumasi. </w:t>
      </w:r>
      <w:r w:rsidRPr="000742BB">
        <w:rPr>
          <w:rFonts w:ascii="Times New Roman" w:eastAsia="Aptos" w:hAnsi="Times New Roman"/>
          <w:i/>
          <w:iCs/>
          <w:kern w:val="2"/>
          <w:lang w:bidi="ar-SA"/>
          <w14:ligatures w14:val="standardContextual"/>
        </w:rPr>
        <w:t>Cogent Environmental Science</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6</w:t>
      </w:r>
      <w:r w:rsidRPr="000742BB">
        <w:rPr>
          <w:rFonts w:ascii="Times New Roman" w:eastAsia="Aptos" w:hAnsi="Times New Roman"/>
          <w:kern w:val="2"/>
          <w:lang w:bidi="ar-SA"/>
          <w14:ligatures w14:val="standardContextual"/>
        </w:rPr>
        <w:t>(1), 1787738. https://doi.org/10.1080/23311843.2020.1787738</w:t>
      </w:r>
    </w:p>
    <w:p w14:paraId="1EA7636C"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OECD &amp; Sahel and West Africa Club. (2020). </w:t>
      </w:r>
      <w:r w:rsidRPr="000742BB">
        <w:rPr>
          <w:rFonts w:ascii="Times New Roman" w:eastAsia="Aptos" w:hAnsi="Times New Roman"/>
          <w:i/>
          <w:iCs/>
          <w:kern w:val="2"/>
          <w:lang w:bidi="ar-SA"/>
          <w14:ligatures w14:val="standardContextual"/>
        </w:rPr>
        <w:t>Africa’s Urbanisation Dynamics 2020: Africapolis, Mapping a New Urban Geography</w:t>
      </w:r>
      <w:r w:rsidRPr="000742BB">
        <w:rPr>
          <w:rFonts w:ascii="Times New Roman" w:eastAsia="Aptos" w:hAnsi="Times New Roman"/>
          <w:kern w:val="2"/>
          <w:lang w:bidi="ar-SA"/>
          <w14:ligatures w14:val="standardContextual"/>
        </w:rPr>
        <w:t>. OECD. https://doi.org/10.1787/b6bccb81-en</w:t>
      </w:r>
    </w:p>
    <w:p w14:paraId="169DD6B7"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Okwuashi, O., &amp; Ndehedehe, C. E. (2021). Integrating machine learning with Markov chain and cellular automata models for modelling urban land use change. </w:t>
      </w:r>
      <w:r w:rsidRPr="000742BB">
        <w:rPr>
          <w:rFonts w:ascii="Times New Roman" w:eastAsia="Aptos" w:hAnsi="Times New Roman"/>
          <w:i/>
          <w:iCs/>
          <w:kern w:val="2"/>
          <w:lang w:bidi="ar-SA"/>
          <w14:ligatures w14:val="standardContextual"/>
        </w:rPr>
        <w:t>Remote Sensing Applications: Society and Environment</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21</w:t>
      </w:r>
      <w:r w:rsidRPr="000742BB">
        <w:rPr>
          <w:rFonts w:ascii="Times New Roman" w:eastAsia="Aptos" w:hAnsi="Times New Roman"/>
          <w:kern w:val="2"/>
          <w:lang w:bidi="ar-SA"/>
          <w14:ligatures w14:val="standardContextual"/>
        </w:rPr>
        <w:t>. https://doi.org/10.1016/j.rsase.2020.100461</w:t>
      </w:r>
    </w:p>
    <w:p w14:paraId="4042F1F6"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Owusu, G. (2013). </w:t>
      </w:r>
      <w:r w:rsidRPr="000742BB">
        <w:rPr>
          <w:rFonts w:ascii="Times New Roman" w:eastAsia="Aptos" w:hAnsi="Times New Roman"/>
          <w:i/>
          <w:iCs/>
          <w:kern w:val="2"/>
          <w:lang w:bidi="ar-SA"/>
          <w14:ligatures w14:val="standardContextual"/>
        </w:rPr>
        <w:t>Coping with Urban Sprawl: A Critical Discussion of the Urban Containment Strategy in a Developing Country City, Accra</w:t>
      </w:r>
      <w:r w:rsidRPr="000742BB">
        <w:rPr>
          <w:rFonts w:ascii="Times New Roman" w:eastAsia="Aptos" w:hAnsi="Times New Roman"/>
          <w:kern w:val="2"/>
          <w:lang w:bidi="ar-SA"/>
          <w14:ligatures w14:val="standardContextual"/>
        </w:rPr>
        <w:t>. 17.</w:t>
      </w:r>
    </w:p>
    <w:p w14:paraId="63494F25"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Reba, M., &amp; Seto, K. C. (2020). A systematic review and assessment of algorithms to detect, characterize, and monitor urban land change. </w:t>
      </w:r>
      <w:r w:rsidRPr="000742BB">
        <w:rPr>
          <w:rFonts w:ascii="Times New Roman" w:eastAsia="Aptos" w:hAnsi="Times New Roman"/>
          <w:i/>
          <w:iCs/>
          <w:kern w:val="2"/>
          <w:lang w:bidi="ar-SA"/>
          <w14:ligatures w14:val="standardContextual"/>
        </w:rPr>
        <w:t>Remote Sensing of Environment</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242</w:t>
      </w:r>
      <w:r w:rsidRPr="000742BB">
        <w:rPr>
          <w:rFonts w:ascii="Times New Roman" w:eastAsia="Aptos" w:hAnsi="Times New Roman"/>
          <w:kern w:val="2"/>
          <w:lang w:bidi="ar-SA"/>
          <w14:ligatures w14:val="standardContextual"/>
        </w:rPr>
        <w:t>, 111739. https://doi.org/10.1016/j.rse.2020.111739</w:t>
      </w:r>
    </w:p>
    <w:p w14:paraId="0E6E240C"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Schug, F., Okujeni, A., Hauer, J., Hostert, P., Nielsen, J. O., &amp; van der Linden, S. (2018). Mapping patterns of urban development in Ouagadougou, Burkina Faso, using machine learning regression modeling with bi-seasonal Landsat time series. </w:t>
      </w:r>
      <w:r w:rsidRPr="000742BB">
        <w:rPr>
          <w:rFonts w:ascii="Times New Roman" w:eastAsia="Aptos" w:hAnsi="Times New Roman"/>
          <w:i/>
          <w:iCs/>
          <w:kern w:val="2"/>
          <w:lang w:bidi="ar-SA"/>
          <w14:ligatures w14:val="standardContextual"/>
        </w:rPr>
        <w:t>REMOTE SENSING OF ENVIRONMENT</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210</w:t>
      </w:r>
      <w:r w:rsidRPr="000742BB">
        <w:rPr>
          <w:rFonts w:ascii="Times New Roman" w:eastAsia="Aptos" w:hAnsi="Times New Roman"/>
          <w:kern w:val="2"/>
          <w:lang w:bidi="ar-SA"/>
          <w14:ligatures w14:val="standardContextual"/>
        </w:rPr>
        <w:t>, 217–228. https://doi.org/10.1016/j.rse.2018.03.022</w:t>
      </w:r>
    </w:p>
    <w:p w14:paraId="32699F86"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Seto, K. C., Guneralp, B., &amp; Hutyra, L. R. (2012). Global forecasts of urban expansion to 2030 and direct impacts on biodiversity and carbon pools. </w:t>
      </w:r>
      <w:r w:rsidRPr="000742BB">
        <w:rPr>
          <w:rFonts w:ascii="Times New Roman" w:eastAsia="Aptos" w:hAnsi="Times New Roman"/>
          <w:i/>
          <w:iCs/>
          <w:kern w:val="2"/>
          <w:lang w:bidi="ar-SA"/>
          <w14:ligatures w14:val="standardContextual"/>
        </w:rPr>
        <w:t>Proceedings of the National Academy of Sciences</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109</w:t>
      </w:r>
      <w:r w:rsidRPr="000742BB">
        <w:rPr>
          <w:rFonts w:ascii="Times New Roman" w:eastAsia="Aptos" w:hAnsi="Times New Roman"/>
          <w:kern w:val="2"/>
          <w:lang w:bidi="ar-SA"/>
          <w14:ligatures w14:val="standardContextual"/>
        </w:rPr>
        <w:t>(40), 16083–16088. https://doi.org/10.1073/pnas.1211658109</w:t>
      </w:r>
    </w:p>
    <w:p w14:paraId="1919B63E"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Shores, A., Johnson, H., Fugate, D., &amp; Laituri, M. (2019). Networks of need: A geospatial analysis of secondary cities. </w:t>
      </w:r>
      <w:r w:rsidRPr="000742BB">
        <w:rPr>
          <w:rFonts w:ascii="Times New Roman" w:eastAsia="Aptos" w:hAnsi="Times New Roman"/>
          <w:i/>
          <w:iCs/>
          <w:kern w:val="2"/>
          <w:lang w:bidi="ar-SA"/>
          <w14:ligatures w14:val="standardContextual"/>
        </w:rPr>
        <w:t>Applied Network Science</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4</w:t>
      </w:r>
      <w:r w:rsidRPr="000742BB">
        <w:rPr>
          <w:rFonts w:ascii="Times New Roman" w:eastAsia="Aptos" w:hAnsi="Times New Roman"/>
          <w:kern w:val="2"/>
          <w:lang w:bidi="ar-SA"/>
          <w14:ligatures w14:val="standardContextual"/>
        </w:rPr>
        <w:t>(1), 109. https://doi.org/10.1007/s41109-019-0229-x</w:t>
      </w:r>
    </w:p>
    <w:p w14:paraId="0A7124D8"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Stow, D. A., Weeks, J. R., Shih, H., Coulter, L. L., Johnson, H., Tsai, Y.-H., Kerr, A., Benza, M., &amp; Mensah, F. (2016). Inter-regional pattern of urbanization in southern Ghana in the first decade of the new millennium. </w:t>
      </w:r>
      <w:r w:rsidRPr="000742BB">
        <w:rPr>
          <w:rFonts w:ascii="Times New Roman" w:eastAsia="Aptos" w:hAnsi="Times New Roman"/>
          <w:i/>
          <w:iCs/>
          <w:kern w:val="2"/>
          <w:lang w:bidi="ar-SA"/>
          <w14:ligatures w14:val="standardContextual"/>
        </w:rPr>
        <w:t>Applied Geography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71</w:t>
      </w:r>
      <w:r w:rsidRPr="000742BB">
        <w:rPr>
          <w:rFonts w:ascii="Times New Roman" w:eastAsia="Aptos" w:hAnsi="Times New Roman"/>
          <w:kern w:val="2"/>
          <w:lang w:bidi="ar-SA"/>
          <w14:ligatures w14:val="standardContextual"/>
        </w:rPr>
        <w:t>, 32–43. https://doi.org/10.1016/j.apgeog.2016.04.006</w:t>
      </w:r>
    </w:p>
    <w:p w14:paraId="319F2E6A"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lastRenderedPageBreak/>
        <w:t xml:space="preserve">Tuffour-Mills, D., Antwi-Agyei, P., &amp; Addo-Fordjour, P. (2020). Trends and drivers of land cover changes in a tropical urban forest in Ghana. </w:t>
      </w:r>
      <w:r w:rsidRPr="000742BB">
        <w:rPr>
          <w:rFonts w:ascii="Times New Roman" w:eastAsia="Aptos" w:hAnsi="Times New Roman"/>
          <w:i/>
          <w:iCs/>
          <w:kern w:val="2"/>
          <w:lang w:bidi="ar-SA"/>
          <w14:ligatures w14:val="standardContextual"/>
        </w:rPr>
        <w:t>Trees, Forests and People</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2</w:t>
      </w:r>
      <w:r w:rsidRPr="000742BB">
        <w:rPr>
          <w:rFonts w:ascii="Times New Roman" w:eastAsia="Aptos" w:hAnsi="Times New Roman"/>
          <w:kern w:val="2"/>
          <w:lang w:bidi="ar-SA"/>
          <w14:ligatures w14:val="standardContextual"/>
        </w:rPr>
        <w:t>, 100040. https://doi.org/10.1016/j.tfp.2020.100040</w:t>
      </w:r>
    </w:p>
    <w:p w14:paraId="42C457F9"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Tulbure, Mirela. G., Hostert, P., Kuemmerle, T., &amp; Broich, M. (2022). </w:t>
      </w:r>
      <w:r w:rsidRPr="000742BB">
        <w:rPr>
          <w:rFonts w:ascii="Times New Roman" w:eastAsia="Aptos" w:hAnsi="Times New Roman"/>
          <w:i/>
          <w:iCs/>
          <w:kern w:val="2"/>
          <w:lang w:bidi="ar-SA"/>
          <w14:ligatures w14:val="standardContextual"/>
        </w:rPr>
        <w:t>Regional matters: On the usefulness of regional land-cover datasets in times of global change</w:t>
      </w:r>
      <w:r w:rsidRPr="000742BB">
        <w:rPr>
          <w:rFonts w:ascii="Times New Roman" w:eastAsia="Aptos" w:hAnsi="Times New Roman"/>
          <w:kern w:val="2"/>
          <w:lang w:bidi="ar-SA"/>
          <w14:ligatures w14:val="standardContextual"/>
        </w:rPr>
        <w:t>.</w:t>
      </w:r>
    </w:p>
    <w:p w14:paraId="016FBF88"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United Nations. (2019). </w:t>
      </w:r>
      <w:r w:rsidRPr="000742BB">
        <w:rPr>
          <w:rFonts w:ascii="Times New Roman" w:eastAsia="Aptos" w:hAnsi="Times New Roman"/>
          <w:i/>
          <w:iCs/>
          <w:kern w:val="2"/>
          <w:lang w:bidi="ar-SA"/>
          <w14:ligatures w14:val="standardContextual"/>
        </w:rPr>
        <w:t>World population prospects Highlights, 2019 revision Highlights, 2019 revision</w:t>
      </w:r>
      <w:r w:rsidRPr="000742BB">
        <w:rPr>
          <w:rFonts w:ascii="Times New Roman" w:eastAsia="Aptos" w:hAnsi="Times New Roman"/>
          <w:kern w:val="2"/>
          <w:lang w:bidi="ar-SA"/>
          <w14:ligatures w14:val="standardContextual"/>
        </w:rPr>
        <w:t>.</w:t>
      </w:r>
    </w:p>
    <w:p w14:paraId="3713703D"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Vermeiren, K., Vanmaercke, M., Beckers, J., &amp; Van Rompaey, A. (2016). ASSURE: a model for the simulation of urban expansion and intra-urban social segregation. </w:t>
      </w:r>
      <w:r w:rsidRPr="000742BB">
        <w:rPr>
          <w:rFonts w:ascii="Times New Roman" w:eastAsia="Aptos" w:hAnsi="Times New Roman"/>
          <w:i/>
          <w:iCs/>
          <w:kern w:val="2"/>
          <w:lang w:bidi="ar-SA"/>
          <w14:ligatures w14:val="standardContextual"/>
        </w:rPr>
        <w:t>International Journal of Geographical Information Science</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30</w:t>
      </w:r>
      <w:r w:rsidRPr="000742BB">
        <w:rPr>
          <w:rFonts w:ascii="Times New Roman" w:eastAsia="Aptos" w:hAnsi="Times New Roman"/>
          <w:kern w:val="2"/>
          <w:lang w:bidi="ar-SA"/>
          <w14:ligatures w14:val="standardContextual"/>
        </w:rPr>
        <w:t>(12), 2377–2400. https://doi.org/10.1080/13658816.2016.1177641</w:t>
      </w:r>
    </w:p>
    <w:p w14:paraId="7FC5B7F6"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Walther, O. J. (2021). </w:t>
      </w:r>
      <w:r w:rsidRPr="000742BB">
        <w:rPr>
          <w:rFonts w:ascii="Times New Roman" w:eastAsia="Aptos" w:hAnsi="Times New Roman"/>
          <w:i/>
          <w:iCs/>
          <w:kern w:val="2"/>
          <w:lang w:bidi="ar-SA"/>
          <w14:ligatures w14:val="standardContextual"/>
        </w:rPr>
        <w:t>Urbanisation and demography in North and West Africa, 1950-2020</w:t>
      </w:r>
      <w:r w:rsidRPr="000742BB">
        <w:rPr>
          <w:rFonts w:ascii="Times New Roman" w:eastAsia="Aptos" w:hAnsi="Times New Roman"/>
          <w:kern w:val="2"/>
          <w:lang w:bidi="ar-SA"/>
          <w14:ligatures w14:val="standardContextual"/>
        </w:rPr>
        <w:t xml:space="preserve"> (West African Papers 33; West African Papers, Vol. 33). https://doi.org/10.1787/4fa52e9c-en</w:t>
      </w:r>
    </w:p>
    <w:p w14:paraId="5F2F61EF"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Wang, P., Huang, C., Brown de Colstoun, E. C., Tilton, J. C., &amp; Tan, B. (2017). </w:t>
      </w:r>
      <w:r w:rsidRPr="000742BB">
        <w:rPr>
          <w:rFonts w:ascii="Times New Roman" w:eastAsia="Aptos" w:hAnsi="Times New Roman"/>
          <w:i/>
          <w:iCs/>
          <w:kern w:val="2"/>
          <w:lang w:bidi="ar-SA"/>
          <w14:ligatures w14:val="standardContextual"/>
        </w:rPr>
        <w:t>Global Human Built-up And Settlement Extent (HBASE) Dataset From Landsat</w:t>
      </w:r>
      <w:r w:rsidRPr="000742BB">
        <w:rPr>
          <w:rFonts w:ascii="Times New Roman" w:eastAsia="Aptos" w:hAnsi="Times New Roman"/>
          <w:kern w:val="2"/>
          <w:lang w:bidi="ar-SA"/>
          <w14:ligatures w14:val="standardContextual"/>
        </w:rPr>
        <w:t>. NASA Socioeconomic Data and Applications Center (SEDAC). https://doi.org/10.7927/H4DN434S</w:t>
      </w:r>
    </w:p>
    <w:p w14:paraId="37CCFA8C"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Xu, G., Dong, T., Cobbinah, P. B., Jiao, L., Sumari, N. S., Chai, B., &amp; Liu, Y. (2019). Urban expansion and form changes across African cities with a global outlook: Spatiotemporal analysis of urban land densities. </w:t>
      </w:r>
      <w:r w:rsidRPr="000742BB">
        <w:rPr>
          <w:rFonts w:ascii="Times New Roman" w:eastAsia="Aptos" w:hAnsi="Times New Roman"/>
          <w:i/>
          <w:iCs/>
          <w:kern w:val="2"/>
          <w:lang w:bidi="ar-SA"/>
          <w14:ligatures w14:val="standardContextual"/>
        </w:rPr>
        <w:t>Journal of Cleaner Production</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224</w:t>
      </w:r>
      <w:r w:rsidRPr="000742BB">
        <w:rPr>
          <w:rFonts w:ascii="Times New Roman" w:eastAsia="Aptos" w:hAnsi="Times New Roman"/>
          <w:kern w:val="2"/>
          <w:lang w:bidi="ar-SA"/>
          <w14:ligatures w14:val="standardContextual"/>
        </w:rPr>
        <w:t>, 802–810. https://doi.org/10.1016/j.jclepro.2019.03.276</w:t>
      </w:r>
    </w:p>
    <w:p w14:paraId="4DB495D7"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Yiran, G. A. B., Ablo, A. D., Asem, F. E., &amp; Owusu, G. (2020). Urban Sprawl in sub-Saharan Africa: A review of the literature in selected countries. </w:t>
      </w:r>
      <w:r w:rsidRPr="000742BB">
        <w:rPr>
          <w:rFonts w:ascii="Times New Roman" w:eastAsia="Aptos" w:hAnsi="Times New Roman"/>
          <w:i/>
          <w:iCs/>
          <w:kern w:val="2"/>
          <w:lang w:bidi="ar-SA"/>
          <w14:ligatures w14:val="standardContextual"/>
        </w:rPr>
        <w:t>Ghana Journal of Geography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12</w:t>
      </w:r>
      <w:r w:rsidRPr="000742BB">
        <w:rPr>
          <w:rFonts w:ascii="Times New Roman" w:eastAsia="Aptos" w:hAnsi="Times New Roman"/>
          <w:kern w:val="2"/>
          <w:lang w:bidi="ar-SA"/>
          <w14:ligatures w14:val="standardContextual"/>
        </w:rPr>
        <w:t>(1), 1–28. https://doi.org/10.4314/gjg.v12i1.1</w:t>
      </w:r>
    </w:p>
    <w:p w14:paraId="23E52FCD" w14:textId="77777777" w:rsidR="000742BB" w:rsidRPr="000742BB" w:rsidRDefault="000742BB" w:rsidP="009112A5">
      <w:pPr>
        <w:spacing w:before="240"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t xml:space="preserve">Zimmer, A., Guido, Z., Tuholske, C., Pakalniskis, A., Lopus, S., Caylor, K., &amp; Evans, T. (2020). Dynamics of population growth in secondary cities across southern Africa. </w:t>
      </w:r>
      <w:r w:rsidRPr="000742BB">
        <w:rPr>
          <w:rFonts w:ascii="Times New Roman" w:eastAsia="Aptos" w:hAnsi="Times New Roman"/>
          <w:i/>
          <w:iCs/>
          <w:kern w:val="2"/>
          <w:lang w:bidi="ar-SA"/>
          <w14:ligatures w14:val="standardContextual"/>
        </w:rPr>
        <w:t>Landscape Ecology</w:t>
      </w:r>
      <w:r w:rsidRPr="000742BB">
        <w:rPr>
          <w:rFonts w:ascii="Times New Roman" w:eastAsia="Aptos" w:hAnsi="Times New Roman"/>
          <w:kern w:val="2"/>
          <w:lang w:bidi="ar-SA"/>
          <w14:ligatures w14:val="standardContextual"/>
        </w:rPr>
        <w:t xml:space="preserve">, </w:t>
      </w:r>
      <w:r w:rsidRPr="000742BB">
        <w:rPr>
          <w:rFonts w:ascii="Times New Roman" w:eastAsia="Aptos" w:hAnsi="Times New Roman"/>
          <w:i/>
          <w:iCs/>
          <w:kern w:val="2"/>
          <w:lang w:bidi="ar-SA"/>
          <w14:ligatures w14:val="standardContextual"/>
        </w:rPr>
        <w:t>35</w:t>
      </w:r>
      <w:r w:rsidRPr="000742BB">
        <w:rPr>
          <w:rFonts w:ascii="Times New Roman" w:eastAsia="Aptos" w:hAnsi="Times New Roman"/>
          <w:kern w:val="2"/>
          <w:lang w:bidi="ar-SA"/>
          <w14:ligatures w14:val="standardContextual"/>
        </w:rPr>
        <w:t>(11), 2501–2516. https://doi.org/10.1007/s10980-020-01086-6</w:t>
      </w:r>
    </w:p>
    <w:p w14:paraId="23F55603" w14:textId="2A678505" w:rsidR="000742BB" w:rsidRDefault="000742BB" w:rsidP="009112A5">
      <w:pPr>
        <w:spacing w:line="240" w:lineRule="auto"/>
        <w:ind w:left="720" w:hanging="720"/>
        <w:rPr>
          <w:rFonts w:ascii="Times New Roman" w:eastAsia="Aptos" w:hAnsi="Times New Roman"/>
          <w:kern w:val="2"/>
          <w:lang w:bidi="ar-SA"/>
          <w14:ligatures w14:val="standardContextual"/>
        </w:rPr>
      </w:pPr>
      <w:r w:rsidRPr="000742BB">
        <w:rPr>
          <w:rFonts w:ascii="Times New Roman" w:eastAsia="Aptos" w:hAnsi="Times New Roman"/>
          <w:kern w:val="2"/>
          <w:lang w:bidi="ar-SA"/>
          <w14:ligatures w14:val="standardContextual"/>
        </w:rPr>
        <w:fldChar w:fldCharType="end"/>
      </w:r>
    </w:p>
    <w:p w14:paraId="6C9FB2D3" w14:textId="77777777" w:rsidR="000742BB" w:rsidRDefault="000742BB" w:rsidP="00B16DBD">
      <w:pPr>
        <w:spacing w:line="240" w:lineRule="auto"/>
        <w:ind w:left="720" w:hanging="720"/>
        <w:rPr>
          <w:rFonts w:ascii="Times New Roman" w:eastAsia="Aptos" w:hAnsi="Times New Roman"/>
          <w:kern w:val="2"/>
          <w:lang w:bidi="ar-SA"/>
          <w14:ligatures w14:val="standardContextual"/>
        </w:rPr>
      </w:pPr>
    </w:p>
    <w:p w14:paraId="2EE3F25F" w14:textId="5152DDAC" w:rsidR="00B16DBD" w:rsidRPr="00B16DBD" w:rsidRDefault="00B16DBD" w:rsidP="00B16DBD">
      <w:pPr>
        <w:spacing w:after="160" w:line="240" w:lineRule="auto"/>
        <w:rPr>
          <w:rFonts w:ascii="Times New Roman" w:eastAsia="Aptos" w:hAnsi="Times New Roman"/>
          <w:kern w:val="2"/>
          <w:lang w:bidi="ar-SA"/>
          <w14:ligatures w14:val="standardContextual"/>
        </w:rPr>
      </w:pPr>
    </w:p>
    <w:p w14:paraId="71940D47" w14:textId="2B9AD334" w:rsidR="00103457" w:rsidRPr="00103457" w:rsidRDefault="00103457" w:rsidP="00103457">
      <w:pPr>
        <w:spacing w:after="160" w:line="259" w:lineRule="auto"/>
        <w:rPr>
          <w:rFonts w:ascii="Times New Roman" w:eastAsia="Aptos" w:hAnsi="Times New Roman"/>
          <w:b/>
          <w:bCs/>
          <w:lang w:bidi="ar-SA"/>
          <w14:ligatures w14:val="standardContextual"/>
        </w:rPr>
      </w:pPr>
    </w:p>
    <w:p w14:paraId="57CE6383" w14:textId="77777777" w:rsidR="00103457" w:rsidRPr="00103457" w:rsidRDefault="00103457" w:rsidP="00103457">
      <w:pPr>
        <w:spacing w:after="160" w:line="259" w:lineRule="auto"/>
        <w:rPr>
          <w:rFonts w:ascii="Times New Roman" w:eastAsia="Aptos" w:hAnsi="Times New Roman"/>
          <w:b/>
          <w:bCs/>
          <w:lang w:bidi="ar-SA"/>
          <w14:ligatures w14:val="standardContextual"/>
        </w:rPr>
      </w:pPr>
      <w:r w:rsidRPr="00103457">
        <w:rPr>
          <w:rFonts w:ascii="Times New Roman" w:eastAsia="Aptos" w:hAnsi="Times New Roman"/>
          <w:b/>
          <w:bCs/>
          <w:lang w:bidi="ar-SA"/>
          <w14:ligatures w14:val="standardContextual"/>
        </w:rPr>
        <w:br w:type="page"/>
      </w:r>
    </w:p>
    <w:p w14:paraId="25DAA577" w14:textId="026EE457" w:rsidR="00103457" w:rsidRPr="00103457" w:rsidRDefault="00103457" w:rsidP="002B23DE">
      <w:pPr>
        <w:pStyle w:val="Heading1"/>
      </w:pPr>
      <w:bookmarkStart w:id="17" w:name="_Toc172288703"/>
      <w:r w:rsidRPr="00103457">
        <w:lastRenderedPageBreak/>
        <w:t>Chapter 2</w:t>
      </w:r>
      <w:r w:rsidR="00F45A26">
        <w:t>:</w:t>
      </w:r>
      <w:r w:rsidR="00134F19">
        <w:t xml:space="preserve"> </w:t>
      </w:r>
      <w:r w:rsidRPr="00103457">
        <w:t xml:space="preserve">Smaller Cities </w:t>
      </w:r>
      <w:r w:rsidR="00286C20">
        <w:t>H</w:t>
      </w:r>
      <w:r w:rsidRPr="00103457">
        <w:t>ave Large Impacts on West Africa’s Expanding Urban System</w:t>
      </w:r>
      <w:bookmarkEnd w:id="17"/>
    </w:p>
    <w:p w14:paraId="500A9C8C" w14:textId="77777777" w:rsidR="00103457" w:rsidRPr="00103457" w:rsidRDefault="00103457" w:rsidP="00103457">
      <w:pPr>
        <w:rPr>
          <w:rFonts w:ascii="Times New Roman" w:hAnsi="Times New Roman"/>
        </w:rPr>
      </w:pPr>
    </w:p>
    <w:p w14:paraId="42248A4A" w14:textId="77777777" w:rsidR="00103457" w:rsidRPr="00103457" w:rsidRDefault="00103457" w:rsidP="00103457">
      <w:pPr>
        <w:jc w:val="both"/>
        <w:rPr>
          <w:rFonts w:ascii="Times New Roman" w:hAnsi="Times New Roman"/>
          <w:bCs/>
          <w:color w:val="0D0D0D"/>
        </w:rPr>
      </w:pPr>
    </w:p>
    <w:p w14:paraId="0EDA1426" w14:textId="77777777" w:rsidR="00103457" w:rsidRPr="00103457" w:rsidRDefault="00103457" w:rsidP="00103457">
      <w:pPr>
        <w:jc w:val="both"/>
        <w:rPr>
          <w:rFonts w:ascii="Times New Roman" w:hAnsi="Times New Roman"/>
          <w:bCs/>
          <w:color w:val="0D0D0D"/>
        </w:rPr>
      </w:pPr>
    </w:p>
    <w:p w14:paraId="5F43B26C" w14:textId="77777777" w:rsidR="00103457" w:rsidRPr="00103457" w:rsidRDefault="00103457" w:rsidP="00103457">
      <w:pPr>
        <w:jc w:val="both"/>
        <w:rPr>
          <w:rFonts w:ascii="Times New Roman" w:hAnsi="Times New Roman"/>
          <w:bCs/>
          <w:color w:val="0D0D0D"/>
        </w:rPr>
      </w:pPr>
    </w:p>
    <w:p w14:paraId="4320B10D" w14:textId="77777777" w:rsidR="00103457" w:rsidRPr="00103457" w:rsidRDefault="00103457" w:rsidP="00103457">
      <w:pPr>
        <w:jc w:val="both"/>
        <w:rPr>
          <w:rFonts w:ascii="Times New Roman" w:hAnsi="Times New Roman"/>
          <w:bCs/>
          <w:color w:val="0D0D0D"/>
        </w:rPr>
      </w:pPr>
    </w:p>
    <w:p w14:paraId="58351511" w14:textId="77777777" w:rsidR="00103457" w:rsidRPr="00103457" w:rsidRDefault="00103457" w:rsidP="00103457">
      <w:pPr>
        <w:jc w:val="both"/>
        <w:rPr>
          <w:rFonts w:ascii="Times New Roman" w:hAnsi="Times New Roman"/>
          <w:bCs/>
          <w:color w:val="0D0D0D"/>
        </w:rPr>
      </w:pPr>
    </w:p>
    <w:p w14:paraId="077602BF" w14:textId="77777777" w:rsidR="00103457" w:rsidRPr="00103457" w:rsidRDefault="00103457" w:rsidP="00103457">
      <w:pPr>
        <w:jc w:val="both"/>
        <w:rPr>
          <w:rFonts w:ascii="Times New Roman" w:hAnsi="Times New Roman"/>
          <w:bCs/>
          <w:color w:val="0D0D0D"/>
        </w:rPr>
      </w:pPr>
    </w:p>
    <w:p w14:paraId="55541D7F" w14:textId="77777777" w:rsidR="00103457" w:rsidRPr="00103457" w:rsidRDefault="00103457" w:rsidP="00103457">
      <w:pPr>
        <w:jc w:val="both"/>
        <w:rPr>
          <w:rFonts w:ascii="Times New Roman" w:hAnsi="Times New Roman"/>
          <w:bCs/>
          <w:color w:val="0D0D0D"/>
        </w:rPr>
      </w:pPr>
    </w:p>
    <w:p w14:paraId="7D32B0ED" w14:textId="77777777" w:rsidR="00103457" w:rsidRPr="00103457" w:rsidRDefault="00103457" w:rsidP="00103457">
      <w:pPr>
        <w:jc w:val="both"/>
        <w:rPr>
          <w:rFonts w:ascii="Times New Roman" w:hAnsi="Times New Roman"/>
          <w:bCs/>
          <w:color w:val="0D0D0D"/>
        </w:rPr>
      </w:pPr>
    </w:p>
    <w:p w14:paraId="1CBA7E31" w14:textId="77777777" w:rsidR="00103457" w:rsidRPr="00103457" w:rsidRDefault="00103457" w:rsidP="00103457">
      <w:pPr>
        <w:jc w:val="both"/>
        <w:rPr>
          <w:rFonts w:ascii="Times New Roman" w:hAnsi="Times New Roman"/>
          <w:bCs/>
          <w:color w:val="0D0D0D"/>
        </w:rPr>
      </w:pPr>
    </w:p>
    <w:p w14:paraId="3987EEA6" w14:textId="77777777" w:rsidR="00103457" w:rsidRPr="00103457" w:rsidRDefault="00103457" w:rsidP="00103457">
      <w:pPr>
        <w:jc w:val="both"/>
        <w:rPr>
          <w:rFonts w:ascii="Times New Roman" w:hAnsi="Times New Roman"/>
          <w:bCs/>
          <w:color w:val="0D0D0D"/>
        </w:rPr>
      </w:pPr>
    </w:p>
    <w:p w14:paraId="2EDB2FC5" w14:textId="77777777" w:rsidR="00103457" w:rsidRPr="00103457" w:rsidRDefault="00103457" w:rsidP="00103457">
      <w:pPr>
        <w:jc w:val="both"/>
        <w:rPr>
          <w:rFonts w:ascii="Times New Roman" w:hAnsi="Times New Roman"/>
          <w:bCs/>
          <w:color w:val="0D0D0D"/>
        </w:rPr>
      </w:pPr>
    </w:p>
    <w:p w14:paraId="29C46DC3" w14:textId="77777777" w:rsidR="00103457" w:rsidRPr="00103457" w:rsidRDefault="00103457" w:rsidP="00103457">
      <w:pPr>
        <w:jc w:val="both"/>
        <w:rPr>
          <w:rFonts w:ascii="Times New Roman" w:hAnsi="Times New Roman"/>
          <w:bCs/>
          <w:color w:val="0D0D0D"/>
        </w:rPr>
      </w:pPr>
    </w:p>
    <w:p w14:paraId="6FB39978" w14:textId="77777777" w:rsidR="00103457" w:rsidRPr="00103457" w:rsidRDefault="00103457" w:rsidP="00103457">
      <w:pPr>
        <w:jc w:val="both"/>
        <w:rPr>
          <w:rFonts w:ascii="Times New Roman" w:hAnsi="Times New Roman"/>
          <w:bCs/>
          <w:color w:val="0D0D0D"/>
        </w:rPr>
      </w:pPr>
    </w:p>
    <w:p w14:paraId="5813834F" w14:textId="77777777" w:rsidR="00103457" w:rsidRPr="00103457" w:rsidRDefault="00103457" w:rsidP="00103457">
      <w:pPr>
        <w:jc w:val="both"/>
        <w:rPr>
          <w:rFonts w:ascii="Times New Roman" w:hAnsi="Times New Roman"/>
          <w:bCs/>
          <w:color w:val="0D0D0D"/>
        </w:rPr>
      </w:pPr>
    </w:p>
    <w:p w14:paraId="7FA14B22" w14:textId="77777777" w:rsidR="00103457" w:rsidRPr="00103457" w:rsidRDefault="00103457" w:rsidP="00103457">
      <w:pPr>
        <w:jc w:val="both"/>
        <w:rPr>
          <w:rFonts w:ascii="Times New Roman" w:hAnsi="Times New Roman"/>
          <w:bCs/>
          <w:color w:val="0D0D0D"/>
        </w:rPr>
      </w:pPr>
    </w:p>
    <w:p w14:paraId="1634DFC7" w14:textId="77777777" w:rsidR="00E33EDC" w:rsidRPr="00103457" w:rsidRDefault="00E33EDC" w:rsidP="00103457">
      <w:pPr>
        <w:jc w:val="both"/>
        <w:rPr>
          <w:rFonts w:ascii="Times New Roman" w:hAnsi="Times New Roman"/>
          <w:bCs/>
          <w:color w:val="0D0D0D"/>
        </w:rPr>
      </w:pPr>
    </w:p>
    <w:p w14:paraId="614A3AC5" w14:textId="77777777" w:rsidR="00103457" w:rsidRPr="00103457" w:rsidRDefault="00103457" w:rsidP="00103457">
      <w:pPr>
        <w:jc w:val="both"/>
        <w:rPr>
          <w:rFonts w:ascii="Times New Roman" w:hAnsi="Times New Roman"/>
          <w:bCs/>
          <w:color w:val="0D0D0D"/>
        </w:rPr>
      </w:pPr>
    </w:p>
    <w:p w14:paraId="13D13123" w14:textId="6157F06D" w:rsidR="00103457" w:rsidRDefault="00103457" w:rsidP="00103457">
      <w:pPr>
        <w:rPr>
          <w:rFonts w:ascii="Times New Roman" w:hAnsi="Times New Roman"/>
          <w:bCs/>
          <w:color w:val="0D0D0D"/>
        </w:rPr>
      </w:pPr>
      <w:r w:rsidRPr="00103457">
        <w:rPr>
          <w:rFonts w:ascii="Times New Roman" w:hAnsi="Times New Roman"/>
          <w:bCs/>
          <w:color w:val="0D0D0D"/>
        </w:rPr>
        <w:t>Keywords: Urban expansion, Secondary cities, Impervious surface, West Africa urban system</w:t>
      </w:r>
    </w:p>
    <w:p w14:paraId="699D69DB" w14:textId="77777777" w:rsidR="00B209AB" w:rsidRPr="00103457" w:rsidRDefault="00B209AB" w:rsidP="00103457">
      <w:pPr>
        <w:rPr>
          <w:rFonts w:ascii="Times New Roman" w:hAnsi="Times New Roman"/>
          <w:bCs/>
          <w:color w:val="0D0D0D"/>
        </w:rPr>
      </w:pPr>
    </w:p>
    <w:p w14:paraId="4F115585" w14:textId="77777777" w:rsidR="00134F19" w:rsidRPr="00103457" w:rsidRDefault="00134F19" w:rsidP="00103457">
      <w:pPr>
        <w:rPr>
          <w:rFonts w:ascii="Times New Roman" w:hAnsi="Times New Roman"/>
          <w:bCs/>
          <w:color w:val="0D0D0D"/>
        </w:rPr>
      </w:pPr>
    </w:p>
    <w:p w14:paraId="285F1E94" w14:textId="77777777" w:rsidR="00103457" w:rsidRPr="00103457" w:rsidRDefault="00103457" w:rsidP="002B23DE">
      <w:pPr>
        <w:pStyle w:val="Heading1"/>
      </w:pPr>
      <w:bookmarkStart w:id="18" w:name="_Toc172288704"/>
      <w:r w:rsidRPr="00103457">
        <w:lastRenderedPageBreak/>
        <w:t>Abstract</w:t>
      </w:r>
      <w:bookmarkEnd w:id="18"/>
    </w:p>
    <w:p w14:paraId="6424EEA7" w14:textId="77777777" w:rsidR="00103457" w:rsidRPr="00103457" w:rsidRDefault="00103457" w:rsidP="00E33EDC">
      <w:pPr>
        <w:rPr>
          <w:rFonts w:ascii="Times New Roman" w:hAnsi="Times New Roman"/>
          <w:bCs/>
          <w:color w:val="0D0D0D"/>
        </w:rPr>
      </w:pPr>
      <w:r w:rsidRPr="00103457">
        <w:rPr>
          <w:rFonts w:ascii="Times New Roman" w:hAnsi="Times New Roman"/>
          <w:bCs/>
          <w:color w:val="0D0D0D"/>
        </w:rPr>
        <w:t xml:space="preserve">Most African countries are rapidly urbanizing, and the associated expansion of developed areas impacts people and the environment. Urban expansion studies are often biased toward large cities with populations greater than 1 million, while small and medium cities with smaller populations are overlooked. These neglected cities contained a substantial 46% of the total urban population of West Africa in </w:t>
      </w:r>
      <w:bookmarkStart w:id="19" w:name="_Int_hDHJ35sW"/>
      <w:r w:rsidRPr="00103457">
        <w:rPr>
          <w:rFonts w:ascii="Times New Roman" w:hAnsi="Times New Roman"/>
          <w:bCs/>
          <w:color w:val="0D0D0D"/>
        </w:rPr>
        <w:t>2015, and</w:t>
      </w:r>
      <w:bookmarkEnd w:id="19"/>
      <w:r w:rsidRPr="00103457">
        <w:rPr>
          <w:rFonts w:ascii="Times New Roman" w:hAnsi="Times New Roman"/>
          <w:bCs/>
          <w:color w:val="0D0D0D"/>
        </w:rPr>
        <w:t xml:space="preserve"> are important markets and services hubs for most rural residents. </w:t>
      </w:r>
      <w:r w:rsidRPr="00103457">
        <w:rPr>
          <w:rFonts w:ascii="Times New Roman" w:hAnsi="Times New Roman"/>
          <w:color w:val="0D0D0D"/>
        </w:rPr>
        <w:t>We mapped and assessed the expansion of 1603 cities across Ghana, Togo, Benin</w:t>
      </w:r>
      <w:r w:rsidRPr="00103457">
        <w:rPr>
          <w:rFonts w:ascii="Times New Roman" w:hAnsi="Times New Roman"/>
          <w:bCs/>
          <w:color w:val="0D0D0D"/>
        </w:rPr>
        <w:t>,</w:t>
      </w:r>
      <w:r w:rsidRPr="00103457">
        <w:rPr>
          <w:rFonts w:ascii="Times New Roman" w:hAnsi="Times New Roman"/>
          <w:color w:val="0D0D0D"/>
        </w:rPr>
        <w:t xml:space="preserve"> and Nigeria using impervious surface data generated from Landsat archives</w:t>
      </w:r>
      <w:r w:rsidRPr="00103457">
        <w:rPr>
          <w:rFonts w:ascii="Times New Roman" w:hAnsi="Times New Roman"/>
          <w:bCs/>
          <w:color w:val="0D0D0D"/>
        </w:rPr>
        <w:t xml:space="preserve"> from 2001-2020.</w:t>
      </w:r>
      <w:r w:rsidRPr="00103457">
        <w:rPr>
          <w:rFonts w:ascii="Times New Roman" w:hAnsi="Times New Roman"/>
          <w:color w:val="0D0D0D"/>
        </w:rPr>
        <w:t xml:space="preserve"> We classified pixels with &gt;20% impervious as developed with 93% overall accuracy. </w:t>
      </w:r>
      <w:r w:rsidRPr="00103457">
        <w:rPr>
          <w:rFonts w:ascii="Times New Roman" w:hAnsi="Times New Roman"/>
          <w:bCs/>
          <w:color w:val="0D0D0D"/>
        </w:rPr>
        <w:t>Total developed areas increased 2.3-fold from 4001 km² in 2001 to 9402 km² in 2020. Of the expanded area, more than half</w:t>
      </w:r>
      <w:r w:rsidRPr="00103457">
        <w:rPr>
          <w:rFonts w:ascii="Times New Roman" w:hAnsi="Times New Roman"/>
        </w:rPr>
        <w:t xml:space="preserve"> (</w:t>
      </w:r>
      <w:r w:rsidRPr="00103457">
        <w:rPr>
          <w:rFonts w:ascii="Times New Roman" w:hAnsi="Times New Roman"/>
          <w:bCs/>
          <w:color w:val="0D0D0D"/>
        </w:rPr>
        <w:t>54%) occurred in small and medium cities, and 73% was sprawl.</w:t>
      </w:r>
      <w:r w:rsidRPr="00103457">
        <w:rPr>
          <w:rFonts w:ascii="Times New Roman" w:hAnsi="Times New Roman"/>
        </w:rPr>
        <w:t xml:space="preserve"> T</w:t>
      </w:r>
      <w:r w:rsidRPr="00103457">
        <w:rPr>
          <w:rFonts w:ascii="Times New Roman" w:hAnsi="Times New Roman"/>
          <w:bCs/>
          <w:color w:val="0D0D0D"/>
        </w:rPr>
        <w:t>he mean annual expansion rate was 4.6%.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Ghana, Benin and Togo. Although much attention is focused on large megacities, these results show that smaller and more numerous cities contribute substantially to urban expansion and need to be incorporated into regional assessments of urban growth and its impacts.</w:t>
      </w:r>
    </w:p>
    <w:p w14:paraId="77E4632B" w14:textId="77777777" w:rsidR="00103457" w:rsidRPr="00103457" w:rsidRDefault="00103457" w:rsidP="00103457">
      <w:pPr>
        <w:rPr>
          <w:rFonts w:ascii="Times New Roman" w:hAnsi="Times New Roman"/>
        </w:rPr>
      </w:pPr>
    </w:p>
    <w:p w14:paraId="0FBD550C" w14:textId="77777777" w:rsidR="00103457" w:rsidRPr="00103457" w:rsidRDefault="00103457" w:rsidP="00103457">
      <w:pPr>
        <w:rPr>
          <w:rFonts w:ascii="Times New Roman" w:hAnsi="Times New Roman"/>
        </w:rPr>
      </w:pPr>
    </w:p>
    <w:p w14:paraId="6D745A8A" w14:textId="77777777" w:rsidR="00103457" w:rsidRPr="00103457" w:rsidRDefault="00103457" w:rsidP="00103457">
      <w:pPr>
        <w:rPr>
          <w:rFonts w:ascii="Times New Roman" w:hAnsi="Times New Roman"/>
        </w:rPr>
      </w:pPr>
    </w:p>
    <w:p w14:paraId="7C643BFF" w14:textId="17CFBBC1" w:rsidR="00103457" w:rsidRPr="00103457" w:rsidRDefault="00103457" w:rsidP="00103457">
      <w:pPr>
        <w:spacing w:line="240" w:lineRule="auto"/>
        <w:rPr>
          <w:rFonts w:ascii="Times New Roman" w:hAnsi="Times New Roman"/>
        </w:rPr>
      </w:pPr>
    </w:p>
    <w:p w14:paraId="3AB69D4D" w14:textId="77777777" w:rsidR="00C04B40" w:rsidRPr="00C04B40" w:rsidRDefault="00C04B40" w:rsidP="00C04B40">
      <w:pPr>
        <w:pStyle w:val="ListParagraph"/>
        <w:keepNext/>
        <w:numPr>
          <w:ilvl w:val="0"/>
          <w:numId w:val="10"/>
        </w:numPr>
        <w:contextualSpacing w:val="0"/>
        <w:outlineLvl w:val="1"/>
        <w:rPr>
          <w:rFonts w:asciiTheme="majorHAnsi" w:hAnsiTheme="majorHAnsi"/>
          <w:b/>
          <w:bCs/>
          <w:iCs/>
          <w:vanish/>
          <w:szCs w:val="28"/>
        </w:rPr>
      </w:pPr>
    </w:p>
    <w:p w14:paraId="2C5E986E" w14:textId="1946584F" w:rsidR="006F7C17" w:rsidRPr="00103457" w:rsidRDefault="006F7C17" w:rsidP="00C04B40">
      <w:pPr>
        <w:pStyle w:val="Heading2"/>
      </w:pPr>
      <w:bookmarkStart w:id="20" w:name="_Toc172288705"/>
      <w:r w:rsidRPr="00103457">
        <w:t>Introduction</w:t>
      </w:r>
      <w:bookmarkEnd w:id="20"/>
    </w:p>
    <w:p w14:paraId="440A71ED" w14:textId="77777777" w:rsidR="00103457" w:rsidRDefault="00103457" w:rsidP="00103457">
      <w:pPr>
        <w:ind w:firstLine="360"/>
        <w:rPr>
          <w:rFonts w:ascii="Times New Roman" w:hAnsi="Times New Roman"/>
          <w:color w:val="000000"/>
        </w:rPr>
      </w:pPr>
      <w:r w:rsidRPr="00103457">
        <w:rPr>
          <w:rFonts w:ascii="Times" w:hAnsi="Times"/>
          <w:color w:val="000000"/>
        </w:rPr>
        <w:t>A</w:t>
      </w:r>
      <w:r w:rsidRPr="00103457">
        <w:rPr>
          <w:rFonts w:ascii="Times New Roman" w:hAnsi="Times New Roman"/>
          <w:color w:val="000000"/>
        </w:rPr>
        <w:t xml:space="preserve">frica is one of the most rapidly urbanizing continents, taking only sixty years to grow from 10% of the population living in cities in 1950 to over 54% in 2020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{"citationID":"6pul9Htp","properties":{"formattedCitation":"(OECD et al., 2022; Walther, 2021)","plainCitation":"(OECD et al., 2022; Walther, 2021)","dontUpdate":true,"noteIndex":0},"citationItems":[{"id":818,"uris":["http://zotero.org/users/8906743/items/PXW547XN"],"itemData":{"id":818,"type":"book","collection-title":"West African Studies","ISBN":"978-92-64-91580-0","language":"en","note":"DOI: 10.1787/3834ed5b-en","publisher":"OECD","source":"DOI.org (Crossref)","title":"Africa’s Urbanisation Dynamics 2022: The Economic Power of Africa’s Cities","title-short":"Africa’s Urbanisation Dynamics 2022","URL":"https://www.oecd-ilibrary.org/development/africa-s-urbanisation-dynamics-2022_3834ed5b-en","author":[{"literal":"OECD"},{"literal":"United Nations Economic Commission for Africa"},{"literal":"African Development Bank"}],"accessed":{"date-parts":[["2023",4,30]]},"issued":{"date-parts":[["2022",4,26]]}}},{"id":391,"uris":["http://zotero.org/users/8906743/items/AV4FGLXH",["http://zotero.org/users/8906743/items/AV4FGLXH"]],"itemData":{"id":391,"type":"report","abstract":"This brief presents a factual and retrospective analysis of the relationships between urbanisation and demography in North Africa and West Africa. It shows that the process of demographic transition is now fully underway in this region. North of the Sahara the new demographic equilibrium features a birth rate higher than expected, according to theoretical model predictions, resulting in continuous population growth. Over 70% of the population now lives in cities, a number that is expected to continue to rise in the coming decades. South of the Sahara all countries have seen death rates plummet, followed by a decrease in birth rates. The gap between the change in the two variables has contributed to spectacular natural growth in the space of a few decades. This growth is occurring in parallel with a redistribution of populations to urban areas, which are now home to close to one of every two inhabitants. West African urbanisation is likely to accelerate the social, economic and political changes that favour the demographic transition. One of the main challenges facing the region is the question of how to reduce the regional variations seen in fertility rates between the continent’s urban and rural areas.","genre":"West African Papers","language":"en","note":"collection-title: West African Papers\nvolume: 33\nDOI: 10.1787/4fa52e9c-en","number":"33","source":"DOI.org (Crossref)","title":"Urbanisation and demography in North and West Africa, 1950-2020","URL":"https://www.oecd-ilibrary.org/development/urbanisation-and-demography-in-north-and-west-africa-1950-2020_4fa52e9c-en","author":[{"family":"Walther","given":"Olivier J"}],"accessed":{"date-parts":[["2022",2,7]]},"issued":{"date-parts":[["2021",11,11]]}}}],"schema":"https://github.com/citation-style-language/schema/raw/master/csl-citation.json"}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 xml:space="preserve">(OECD et al., 2022;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{"citationID":"eGVSja6R","properties":{"formattedCitation":"(OECD/SWAC, 2020)","plainCitation":"(OECD/SWAC, 2020)","dontUpdate":true,"noteIndex":0},"citationItems":[{"id":145,"uris":["http://zotero.org/users/8906743/items/FJ76MLKP"],"itemData":{"id":145,"type":"book","event-place":"Paris","publisher":"OECD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OECD/SWAC, 2020;</w:t>
      </w:r>
      <w:r w:rsidRPr="00103457">
        <w:rPr>
          <w:rFonts w:ascii="Times New Roman" w:hAnsi="Times New Roman"/>
          <w:color w:val="000000"/>
        </w:rPr>
        <w:fldChar w:fldCharType="end"/>
      </w:r>
      <w:r w:rsidRPr="00103457">
        <w:rPr>
          <w:rFonts w:ascii="Times New Roman" w:hAnsi="Times New Roman"/>
          <w:color w:val="000000"/>
        </w:rPr>
        <w:t xml:space="preserve"> Walther, 2021)</w:t>
      </w:r>
      <w:r w:rsidRPr="00103457">
        <w:rPr>
          <w:rFonts w:ascii="Times New Roman" w:hAnsi="Times New Roman"/>
          <w:color w:val="000000"/>
        </w:rPr>
        <w:fldChar w:fldCharType="end"/>
      </w:r>
      <w:r w:rsidRPr="00103457">
        <w:rPr>
          <w:rFonts w:ascii="Times New Roman" w:hAnsi="Times New Roman"/>
          <w:color w:val="000000"/>
        </w:rPr>
        <w:t xml:space="preserve">. In contrast, it took about a century in North America and three centuries in Europe to achieve similar population increases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{"citationID":"1g5o24y2","properties":{"formattedCitation":"(Curiel et al., 2017)","plainCitation":"(Curiel et al., 2017)","noteIndex":0},"citationItems":[{"id":402,"uris":["http://zotero.org/users/8906743/items/NK7W42RS",["http://zotero.org/users/8906743/items/NK7W42RS"]],"itemData":{"id":402,"type":"report","abstract":"Over the past 60 years, urbanisation and cities have fundamentally transformed the social, economic and political geography of West Africa. The number of people living in cities increased from 5 million in 1950 to 133 million in 2010. During the same period, the number of towns and cities with more than 10 000 inhabitants grew from 159 to close to 2 000. A large majority of these agglomerations are secondary cities and small towns that act as hubs and catalysts for local and regional production and supply chains, as well as for the transfer of goods, people and information, linking the local and regional economies to the global economy. The intensity of the spatial interactions of cities has strongly increased with population growth, urbanisation and higher urban density. This paper, part of ongoing work within the Sahel and West Africa Club Secretariat to integrate urbanisation and city growth into analyses of major trends in the region, lays the foundation for the development of a systematic method to capture and describe these spatial interactions. It does so by examining four variables: city size, market potential, urbanisation level and local dominance. These variables, in turn, help to define seven different city groups that can be used to classify West African agglomerations. The initial results of this work reveal the diversity and distinctive behaviours of cities in the region, providing a new perspective on urbanisation dynamics and the influence of spatial variables on urban growth rates, the emergence of new agglomerations and the clustering of cities.","genre":"West African Papers","language":"en","note":"collection-title: West African Papers\nvolume: 5\nDOI: 10.1787/57b30601-en","number":"5","source":"DOI.org (Crossref)","title":"Cities and Spatial Interactions in West Africa","URL":"https://www.oecd-ilibrary.org/development/cities-and-spatial-interactions-in-west-africa_57b30601-en","author":[{"family":"Curiel","given":"Rafael Prieto"},{"family":"Heinrigs","given":"Philipp"},{"family":"Heo","given":"Inhoi"}],"accessed":{"date-parts":[["2022",2,4]]},"issued":{"date-parts":[["2017",3,31]]}}}],"schema":"https://github.com/citation-style-language/schema/raw/master/csl-citation.json"}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(Curiel et al., 2017)</w:t>
      </w:r>
      <w:r w:rsidRPr="00103457">
        <w:rPr>
          <w:rFonts w:ascii="Times New Roman" w:hAnsi="Times New Roman"/>
          <w:color w:val="000000"/>
        </w:rPr>
        <w:fldChar w:fldCharType="end"/>
      </w:r>
      <w:r w:rsidRPr="00103457">
        <w:rPr>
          <w:rFonts w:ascii="Times New Roman" w:hAnsi="Times New Roman"/>
          <w:color w:val="000000"/>
        </w:rPr>
        <w:t xml:space="preserve">. The rapid increases in urban population in West Africa are driven by natural population growth, rural-urban migration, and a complex web of political, economic, cultural, and environmental factors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{"citationID":"ZMHQYM1S","properties":{"formattedCitation":"(G\\uc0\\u252{}neralp et al., 2017; Herrmann et al., 2020)","plainCitation":"(Güneralp et al., 2017; Herrmann et al., 2020)","noteIndex":0},"citationItems":[{"id":556,"uris":["http://zotero.org/users/8906743/items/LHAIUB33",["http://zotero.org/users/8906743/items/LHAIUB33"]],"itemData":{"id":556,"type":"article-journal","abstract":"Africa, a continent exceptionally rich in biodiversity, is rapidly urbanizing. Africa’s urbanization is manifest in the growth of its megacities as well as that of its smaller towns and cities. The conservation planning and practice will increasingly need to account for direct and indirect impacts of the continent’s urbanization. The objective of our study is to pinpoint the outstanding challenges and opportunities afforded by the growing cities on the continent to the conservation goals and practices. While there have been many studies on the impacts of urbanization and development on conservation in Africa these studies tended to focus on speciﬁc issues. Here, we provide a synthesis of this body of work supported by new analysis. Urban areas, growing both in population and in land cover, pose threats to the integrity of the continent’s ecosystems and biodiversity but their growth also create opportunities for conservation. The burgeoning urban populations, especially in Sub-Saharan Africa, increase the strain on already insufﬁcient infrastructure and bring new governance challenges. Yet, Africa’s ecosystems can serve as foundations for green infrastructure to serve the needs of its urban populations while safeguarding fragile biodiversity. Overall, while worsening social problems overshadow the concerns for biodiversity there are also promising initiatives to bring these concerns into the fold to address social, institutional, and ecological challenges that emerge with the continued urbanization of the continent.","container-title":"Environmental Research Letters","DOI":"10.1088/1748-9326/aa94fe","ISSN":"1748-9326","issue":"1","journalAbbreviation":"Environ. Res. Lett.","language":"en","page":"015002","source":"DOI.org (Crossref)","title":"Urbanization in Africa: challenges and opportunities for conservation","title-short":"Urbanization in Africa","URL":"https://iopscience.iop.org/article/10.1088/1748-9326/aa94fe","volume":"13","author":[{"family":"Güneralp","given":"Burak"},{"family":"Lwasa","given":"Shuaib"},{"family":"Masundire","given":"Hillary"},{"family":"Parnell","given":"Susan"},{"family":"Seto","given":"Karen C"}],"accessed":{"date-parts":[["2021",1,31]]},"issued":{"date-parts":[["2017",12,1]]}}},{"id":557,"uris":["http://zotero.org/users/8906743/items/IWQYLSP6",["http://zotero.org/users/8906743/items/IWQYLSP6"]],"itemData":{"id":557,"type":"article-journal","abstract":"Abstract\n            \n              Rapid population growth in West Africa has exerted increasing pressures on land resources, leading to observable changes in the land cover and land use. However, spatially explicit and thematically detailed quantitative analyses of land cover change over long time periods and at regional scale have been lacking. Here we present a change intensity analysis of a Landsat-based, visually interpreted, multi-date (1975, 2000, 2013) land cover dataset of West Africa, stratified into five bioclimatic sub-regions. Change intensities accelerated over time and increased from the arid to the sub-humid sub-regions, as did population densities. The area occupied by human-dominated land cover categories more than doubled from 493,000 km\n              2\n              in 1975 to 1,121,000 km\n              2\n              in 2013. Land cover change intensities within 10 km of new settlement locations exceeded the region-wide average by up to a factor of three, substantiating the significant role of population pressure as a force of change. The spatial patterns of the human footprint in West Africa, however, suggest that not only population pressure but also changing socioeconomic conditions and policies shape the complexity of land cover outcomes.","container-title":"Communications Earth &amp; Environment","DOI":"10.1038/s43247-020-00053-y","ISSN":"2662-4435","issue":"1","journalAbbreviation":"Commun Earth Environ","language":"en","page":"53","source":"DOI.org (Crossref)","title":"Accelerating land cover change in West Africa over four decades as population pressure increased","URL":"http://www.nature.com/articles/s43247-020-00053-y","volume":"1","author":[{"family":"Herrmann","given":"Stefanie M."},{"family":"Brandt","given":"Martin"},{"family":"Rasmussen","given":"Kjeld"},{"family":"Fensholt","given":"Rasmus"}],"accessed":{"date-parts":[["2022",1,30]]},"issued":{"date-parts":[["2020",12]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(Güneralp et al., 2017; Herrmann et al., 2020)</w:t>
      </w:r>
      <w:r w:rsidRPr="00103457">
        <w:rPr>
          <w:rFonts w:ascii="Times New Roman" w:hAnsi="Times New Roman"/>
          <w:color w:val="000000"/>
        </w:rPr>
        <w:fldChar w:fldCharType="end"/>
      </w:r>
      <w:r w:rsidRPr="00103457">
        <w:rPr>
          <w:rFonts w:ascii="Times New Roman" w:hAnsi="Times New Roman"/>
          <w:color w:val="000000"/>
        </w:rPr>
        <w:t xml:space="preserve">. Increasing urbanization is associated with urban expansion, defined here as increases in urban impervious surfaces such as concrete, asphalt, rooftops, paved roads, and parking lots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{"citationID":"UVj0vZ56","properties":{"formattedCitation":"(Bilintoh et al., 2023)","plainCitation":"(Bilintoh et al., 2023)","noteIndex":0},"citationItems":[{"id":"1t4WkopC/vcjVkE2i","uris":["http://zotero.org/users/8906743/items/UPFPXKXQ"],"itemData":{"id":80,"type":"article-journal","abstract":"In this study, we present methods to assess newly developed urban impervious surface (UIS) datasets derived from satellite imagery of the cities of Kumasi and Accra, Ghana, at three different time points. Each city has three binary maps from 2000, 2011, and 2021, in which one shows the presence of UIS and zero shows its absence. We employed the binaryTimeSeries method to compare the gross gains and losses in the two cities. In addition, we show how three components of change—quantity, allocation, and alternation—compare across the two sites. The results show that both cities experienced a large proportion of gains during the change in impervious surfaces between 2000 and 2011, and 2011 and 2021, with relatively smaller loss proportions and alternations. Comparatively, the results from the components of change show that change is fastest in Kumasi, which had a larger proportion of quantity gain. Our methods show an acceleration in UIS in the two cities during the temporal extent, and this trend is likely to continue with increasing urban populations. As a result, we recommend that the Land Use and Spatial Planning Authority, Town and Country Planning and other stakeholders make contingency plans to regulate the unplanned increase in UIS, since other studies have shown their negative effects on people and the environment.","issue":"4, 927","journalAbbreviation":"Land","language":"en","source":"Zotero","title":"Comparing the Trajectory of Urban Impervious Surface in Two Cities: The Case of Accra and Kumasi, Ghana","URL":"https://doi.org/10.3390/land12040927","volume":"12","author":[{"family":"Bilintoh","given":"Thomas Mumuni"},{"family":"Korah","given":"Andrews"},{"family":"Opuni","given":"Antwi"},{"family":"Akansobe","given":"Adeline"}],"issued":{"date-parts":[["2023"]]}}}],"schema":"https://github.com/citation-style-language/schema/raw/master/csl-citation.json"}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(Bilintoh et al., 2023)</w:t>
      </w:r>
      <w:r w:rsidRPr="00103457">
        <w:rPr>
          <w:rFonts w:ascii="Times New Roman" w:hAnsi="Times New Roman"/>
          <w:color w:val="000000"/>
        </w:rPr>
        <w:fldChar w:fldCharType="end"/>
      </w:r>
      <w:r w:rsidRPr="00103457">
        <w:rPr>
          <w:rFonts w:ascii="Times New Roman" w:hAnsi="Times New Roman"/>
          <w:color w:val="000000"/>
        </w:rPr>
        <w:t xml:space="preserve">. Urban expansion may occur through infill, characterized by compact developments that contiguously increase existing developed areas, or sprawl, which has multiple definitions that incorporate inefficient use of land, low building densities, and dispersed physical expansion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{"citationID":"3nhRE71r","properties":{"formattedCitation":"(Bhatta et al., 2010; Ewing, 2008; Frenkel &amp; Ashkenazi, 2008; Galster et al., 2001; Hamidi &amp; Ewing, 2014; Song &amp; Knaap, 2004; Tsai, 2005)","plainCitation":"(Bhatta et al., 2010; Ewing, 2008; Frenkel &amp; Ashkenazi, 2008; Galster et al., 2001; Hamidi &amp; Ewing, 2014; Song &amp; Knaap, 2004; Tsai, 2005)","noteIndex":0},"citationItems":[{"id":1876,"uris":["http://zotero.org/users/8906743/items/2MPYECCR"],"itemData":{"id":1876,"type":"article-journal","abstract":"Conceptual ambiguity of sprawl and lack of consensus among researchers have made the measurement of urban sprawl very difficult, especially from remote sensing data. There are many scales and parameters that are in use to quantify the sprawl; however, many of them are suffered from several limitations. The objective of this article is to document and discuss these sprawl measurement techniques along with their merits and demerits towards the absolute acceptance or rejection. The paper also highlights the scope and direction of future research for the measurement of urban sprawl.","collection-title":"Climate Change and Applied Geography – Place, Policy, and Practice","container-title":"Applied Geography","DOI":"10.1016/j.apgeog.2010.02.002","ISSN":"0143-6228","issue":"4","journalAbbreviation":"Applied Geography","page":"731-740","source":"ScienceDirect","title":"Urban sprawl measurement from remote sensing data","URL":"https://www.sciencedirect.com/science/article/pii/S0143622810000226","volume":"30","author":[{"family":"Bhatta","given":"B."},{"family":"Saraswati","given":"S."},{"family":"Bandyopadhyay","given":"D."}],"accessed":{"date-parts":[["2024",1,29]]},"issued":{"date-parts":[["2010",12,1]]}}},{"id":565,"uris":["http://zotero.org/users/8906743/items/H3J2SYN3"],"itemData":{"id":565,"type":"chapter","container-title":"Urban Ecology","event-place":"Boston, MA","ISBN":"978-0-387-73411-8","language":"en","note":"DOI: 10.1007/978-0-387-73412-5_34","page":"519-535","publisher":"Springer US","publisher-place":"Boston, MA","source":"DOI.org (Crossref)","title":"Characteristics, Causes, and Effects of Sprawl: A Literature Review","title-short":"Characteristics, Causes, and Effects of Sprawl","URL":"http://link.springer.com/10.1007/978-0-387-73412-5_34","editor":[{"family":"Marzluff","given":"John M."},{"family":"Shulenberger","given":"Eric"},{"family":"Endlicher","given":"Wilfried"},{"family":"Alberti","given":"Marina"},{"family":"Bradley","given":"Gordon"},{"family":"Ryan","given":"Clare"},{"family":"Simon","given":"Ute"},{"family":"ZumBrunnen","given":"Craig"}],"author":[{"family":"Ewing","given":"Reid H."}],"accessed":{"date-parts":[["2024",1,23]]},"issued":{"date-parts":[["2008"]]}}},{"id":1866,"uris":["http://zotero.org/users/8906743/items/RYMR8I9E"],"itemData":{"id":1866,"type":"article-journal","abstract":"Measuring urban sprawl is a controversial topic among scholars who investigate the urban landscape. This study attempts to measure sprawl from a landscape perspective. The measures and indices used are derived from various research disciplines, such as urban research, ecological research, and fractal geometry. The examination was based on an urban land-use survey performed in seventy-eight urban settlements in Israel over the course of fifteen years. Measures of sprawl were calculated at each settlement and were then weighted into one integrated sprawl index through factor analysis, thus enabling a description of sprawl rates and their dynamics over a time period of approximately two decades. The results reveal that urban sprawl is a multidimensional phenomenon that is best quantified by various measures.","container-title":"Environment and Planning B: Planning and Design","DOI":"10.1068/b32155","ISSN":"0265-8135, 1472-3417","issue":"1","journalAbbreviation":"Environ Plann B Plann Des","language":"en","page":"56-79","source":"DOI.org (Crossref)","title":"Measuring Urban Sprawl: How Can We Deal with It?","title-short":"Measuring Urban Sprawl","URL":"http://journals.sagepub.com/doi/10.1068/b32155","volume":"35","author":[{"family":"Frenkel","given":"Amnon"},{"family":"Ashkenazi","given":"Maya"}],"accessed":{"date-parts":[["2024",1,27]]},"issued":{"date-parts":[["2008",2]]}}},{"id":564,"uris":["http://zotero.org/users/8906743/items/NTKG646X"],"itemData":{"id":564,"type":"article-journal","abstract":"The literature on urban sprawl confuses causes, consequences, and conditions. This article presents a conceptual definition of sprawl based on eight distinct dimensions of land use patterns: density, continuity, concentration, clustering, centrality, nuclearity, mixed uses, and proximity. Sprawl is defined as a condition of land use that is represented by low values on one or more of these dimensions.","container-title":"Housing Policy Debate","DOI":"10.1080/10511482.2001.9521426","ISSN":"1051-1482, 2152-050X","issue":"4","journalAbbreviation":"Housing Policy Debate","language":"en","page":"681-717","source":"DOI.org (Crossref)","title":"Wrestling Sprawl to the Ground: Defining and measuring an elusive concept","title-short":"Wrestling Sprawl to the Ground","URL":"http://www.tandfonline.com/doi/abs/10.1080/10511482.2001.9521426","volume":"12","author":[{"family":"Galster","given":"George"},{"family":"Hanson","given":"Royce"},{"family":"Ratcliffe","given":"Michael R."},{"family":"Wolman","given":"Harold"},{"family":"Coleman","given":"Stephen"},{"family":"Freihage","given":"Jason"}],"accessed":{"date-parts":[["2024",1,23]]},"issued":{"date-parts":[["2001",1]]}}},{"id":562,"uris":["http://zotero.org/users/8906743/items/2CLD39TA"],"itemData":{"id":562,"type":"article-journal","container-title":"Landscape and Urban Planning","DOI":"10.1016/j.landurbplan.2014.04.021","ISSN":"01692046","journalAbbreviation":"Landscape and Urban Planning","language":"en","page":"72-82","source":"DOI.org (Crossref)","title":"A longitudinal study of changes in urban sprawl between 2000 and 2010 in the United States","URL":"https://linkinghub.elsevier.com/retrieve/pii/S0169204614001133","volume":"128","author":[{"family":"Hamidi","given":"Shima"},{"family":"Ewing","given":"Reid"}],"accessed":{"date-parts":[["2024",1,23]]},"issued":{"date-parts":[["2014",8]]}}},{"id":560,"uris":["http://zotero.org/users/8906743/items/FP6ENMXS"],"itemData":{"id":560,"type":"article-journal","container-title":"Journal of the American Planning Association","DOI":"10.1080/01944360408976371","ISSN":"0194-4363, 1939-0130","issue":"2","journalAbbreviation":"Journal of the American Planning Association","language":"en","page":"210-225","source":"DOI.org (Crossref)","title":"Measuring Urban Form: Is Portland Winning the War on Sprawl?","title-short":"Measuring Urban Form","URL":"http://www.tandfonline.com/doi/abs/10.1080/01944360408976371","volume":"70","author":[{"family":"Song","given":"Yan"},{"family":"Knaap","given":"Gerrit-Jan"}],"accessed":{"date-parts":[["2024",1,23]]},"issued":{"date-parts":[["2004",6,30]]}}},{"id":559,"uris":["http://zotero.org/users/8906743/items/AU2WHJ4R"],"itemData":{"id":559,"type":"article-journal","abstract":"This paper develops a set of quantitative variables to characterise urban forms at the metropolitan level and, in particular, to distinguish compactness from ‘sprawl’. It ﬁrst reviews and analyses past research on the deﬁnitions of urban form, compactness and sprawl, and corresponding quantitative variables. Four quantitative variables are developed to measure four dimensions of urban form at the metropolitan level: metropolitan size, activity intensity, the degree that activities are evenly distributed, and the extent that high-density sub-areas are clustered. Through a series of simulation analyses, the global Moran coefﬁcient, which characterises the fourth dimension, distinguishes compactness from sprawl. It is high, intermediate and close to zero for monocentric, polycentric and decentralised sprawling forms respectively. In addition, the more there is more local sprawl, composed of discontinuity and strip development, the lower is the Moran coefﬁcient.","container-title":"Urban Studies","DOI":"10.1080/0042098042000309748","ISSN":"0042-0980, 1360-063X","issue":"1","journalAbbreviation":"Urban Studies","language":"en","page":"141-161","source":"DOI.org (Crossref)","title":"Quantifying Urban Form: Compactness versus 'Sprawl'","title-short":"Quantifying Urban Form","URL":"http://journals.sagepub.com/doi/10.1080/0042098042000309748","volume":"42","author":[{"family":"Tsai","given":"Yu-Hsin"}],"accessed":{"date-parts":[["2024",1,23]]},"issued":{"date-parts":[["2005",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(Bhatta et al., 2010; Ewing, 2008; Frenkel &amp; Ashkenazi, 2008; Galster et al., 2001; Hamidi &amp; Ewing, 2014; Song &amp; Knaap, 2004; Tsai, 2005)</w:t>
      </w:r>
      <w:r w:rsidRPr="00103457">
        <w:rPr>
          <w:rFonts w:ascii="Times New Roman" w:hAnsi="Times New Roman"/>
          <w:color w:val="000000"/>
        </w:rPr>
        <w:fldChar w:fldCharType="end"/>
      </w:r>
      <w:r w:rsidRPr="00103457">
        <w:rPr>
          <w:rFonts w:ascii="Times New Roman" w:hAnsi="Times New Roman"/>
          <w:color w:val="000000"/>
        </w:rPr>
        <w:t xml:space="preserve">. Urban expansion is a key component of global environmental change that threatens human health, biodiversity, food security, habitat conservation, and carbon sequestration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{"citationID":"8jwXQRoY","properties":{"formattedCitation":"(G\\uc0\\u252{}neralp et al., 2017; K. C. Seto et al., 2012)","plainCitation":"(Güneralp et al., 2017; K. C. Seto et al., 2012)","dontUpdate":true,"noteIndex":0},"citationItems":[{"id":556,"uris":["http://zotero.org/users/8906743/items/LHAIUB33",["http://zotero.org/users/8906743/items/LHAIUB33"]],"itemData":{"id":556,"type":"article-journal","abstract":"Africa, a continent exceptionally rich in biodiversity, is rapidly urbanizing. Africa’s urbanization is manifest in the growth of its megacities as well as that of its smaller towns and cities. The conservation planning and practice will increasingly need to account for direct and indirect impacts of the continent’s urbanization. The objective of our study is to pinpoint the outstanding challenges and opportunities afforded by the growing cities on the continent to the conservation goals and practices. While there have been many studies on the impacts of urbanization and development on conservation in Africa these studies tended to focus on speciﬁc issues. Here, we provide a synthesis of this body of work supported by new analysis. Urban areas, growing both in population and in land cover, pose threats to the integrity of the continent’s ecosystems and biodiversity but their growth also create opportunities for conservation. The burgeoning urban populations, especially in Sub-Saharan Africa, increase the strain on already insufﬁcient infrastructure and bring new governance challenges. Yet, Africa’s ecosystems can serve as foundations for green infrastructure to serve the needs of its urban populations while safeguarding fragile biodiversity. Overall, while worsening social problems overshadow the concerns for biodiversity there are also promising initiatives to bring these concerns into the fold to address social, institutional, and ecological challenges that emerge with the continued urbanization of the continent.","container-title":"Environmental Research Letters","DOI":"10.1088/1748-9326/aa94fe","ISSN":"1748-9326","issue":"1","journalAbbreviation":"Environ. Res. Lett.","language":"en","page":"015002","source":"DOI.org (Crossref)","title":"Urbanization in Africa: challenges and opportunities for conservation","title-short":"Urbanization in Africa","URL":"https://iopscience.iop.org/article/10.1088/1748-9326/aa94fe","volume":"13","author":[{"family":"Güneralp","given":"Burak"},{"family":"Lwasa","given":"Shuaib"},{"family":"Masundire","given":"Hillary"},{"family":"Parnell","given":"Susan"},{"family":"Seto","given":"Karen C"}],"accessed":{"date-parts":[["2021",1,31]]},"issued":{"date-parts":[["2017",12,1]]}}},{"id":374,"uris":["http://zotero.org/users/8906743/items/WUYN92SH"],"itemData":{"id":374,"type":"article-journal","container-title":"Proceedings of the National Academy of Sciences","DOI":"10.1073/pnas.1211658109","ISSN":"0027-8424, 1091-6490","issue":"40","journalAbbreviation":"Proceedings of the National Academy of Sciences","language":"en","page":"16083-16088","source":"DOI.org (Crossref)","title":"Global forecasts of urban expansion to 2030 and direct impacts on biodiversity and carbon pools","URL":"http://www.pnas.org/cgi/doi/10.1073/pnas.1211658109","volume":"109","author":[{"family":"Seto","given":"K. C."},{"family":"Guneralp","given":"B."},{"family":"Hutyra","given":"L. R."}],"accessed":{"date-parts":[["2022",1,30]]},"issued":{"date-parts":[["2012",10,2]]}}}],"schema":"https://github.com/citation-style-language/schema/raw/master/csl-citation.json"}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(Güneralp et al., 2017; Seto et al., 2012)</w:t>
      </w:r>
      <w:r w:rsidRPr="00103457">
        <w:rPr>
          <w:rFonts w:ascii="Times New Roman" w:hAnsi="Times New Roman"/>
          <w:color w:val="000000"/>
        </w:rPr>
        <w:fldChar w:fldCharType="end"/>
      </w:r>
      <w:r w:rsidRPr="00103457">
        <w:rPr>
          <w:rFonts w:ascii="Times New Roman" w:hAnsi="Times New Roman"/>
          <w:color w:val="000000"/>
        </w:rPr>
        <w:t>. Governments in Africa have limited resources to manage sprawl and other negative effects of urban expansion; therefore, research is needed to understand the hotspots of rapid changes and help city, national, and regional authorities conduct planning and prioritize policy interventions.</w:t>
      </w:r>
    </w:p>
    <w:p w14:paraId="03E6CFBE" w14:textId="77777777" w:rsidR="00D301DA" w:rsidRDefault="00D301DA" w:rsidP="00D301DA">
      <w:pPr>
        <w:spacing w:line="240" w:lineRule="auto"/>
        <w:ind w:firstLine="360"/>
        <w:rPr>
          <w:rFonts w:ascii="Times New Roman" w:hAnsi="Times New Roman"/>
          <w:color w:val="000000"/>
        </w:rPr>
      </w:pPr>
    </w:p>
    <w:p w14:paraId="5FC17341" w14:textId="77777777" w:rsidR="006F7C17" w:rsidRPr="00103457" w:rsidRDefault="006F7C17" w:rsidP="00277F12">
      <w:pPr>
        <w:pStyle w:val="Heading3"/>
        <w:rPr>
          <w:rFonts w:ascii="Times" w:hAnsi="Times"/>
        </w:rPr>
      </w:pPr>
      <w:bookmarkStart w:id="21" w:name="_Toc172288706"/>
      <w:r w:rsidRPr="00103457">
        <w:t>Drivers of urban expansion in West Africa</w:t>
      </w:r>
      <w:bookmarkEnd w:id="21"/>
    </w:p>
    <w:p w14:paraId="1B6F5C82" w14:textId="2BFD7EC3"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 xml:space="preserve">The West Africa Urban System (WAUS), comprising  2296 interconnected cities, is one of the most rapidly urbanizing regions in the world with a 3.5% annual urban population increase in </w:t>
      </w:r>
      <w:r w:rsidRPr="00103457">
        <w:rPr>
          <w:rFonts w:ascii="Times New Roman" w:hAnsi="Times New Roman"/>
          <w:color w:val="000000"/>
        </w:rPr>
        <w:lastRenderedPageBreak/>
        <w:t xml:space="preserve">2015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{"citationID":"F70KJk67","properties":{"formattedCitation":"(OECD/SWAC,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(OECD/SWAC, 2020)</w:t>
      </w:r>
      <w:r w:rsidRPr="00103457">
        <w:rPr>
          <w:rFonts w:ascii="Times New Roman" w:hAnsi="Times New Roman"/>
          <w:color w:val="000000"/>
        </w:rPr>
        <w:fldChar w:fldCharType="end"/>
      </w:r>
      <w:r w:rsidRPr="00103457">
        <w:rPr>
          <w:rFonts w:ascii="Times New Roman" w:hAnsi="Times New Roman"/>
          <w:color w:val="000000"/>
        </w:rPr>
        <w:t xml:space="preserve">. Here, we define an urban system as a set of cities with interlinkages where changes extend beyond individual boundaries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{"citationID":"lFxOqFPL","properties":{"formattedCitation":"(Bai et al., 2016; McPhearson et al., 2016)","plainCitation":"(Bai et al., 2016; McPhearson et al., 2016)","noteIndex":0},"citationItems":[{"id":1923,"uris":["http://zotero.org/users/8906743/items/BSAVDGJ7"],"itemData":{"id":1923,"type":"article-journal","container-title":"Current Opinion in Environmental Sustainability","DOI":"10.1016/j.cosust.2016.11.010","ISSN":"18773435","journalAbbreviation":"Current Opinion in Environmental Sustainability","language":"en","page":"69-78","source":"DOI.org (Crossref)","title":"Defining and advancing a systems approach for sustainable cities","URL":"https://linkinghub.elsevier.com/retrieve/pii/S1877343516300896","volume":"23","author":[{"family":"Bai","given":"Xuemei"},{"family":"Surveyer","given":"Alyson"},{"family":"Elmqvist","given":"Thomas"},{"family":"Gatzweiler","given":"Franz W"},{"family":"Güneralp","given":"Burak"},{"family":"Parnell","given":"Susan"},{"family":"Prieur-Richard","given":"Anne-Hélène"},{"family":"Shrivastava","given":"Paul"},{"family":"Siri","given":"José Gabriel"},{"family":"Stafford-Smith","given":"Mark"},{"family":"Toussaint","given":"Jean-Patrick"},{"family":"Webb","given":"Robert"}],"accessed":{"date-parts":[["2024",2,5]]},"issued":{"date-parts":[["2016",12]]}}},{"id":1922,"uris":["http://zotero.org/users/8906743/items/63FD5KD4"],"itemData":{"id":1922,"type":"article-journal","abstract":"Cities and urbanized regions are complex, dynamic, and highly integrated systems linking social, ecological, and technical infrastructure domains in ways that create deep challenges for good governance, policymaking, and planning. The combination of impacts from climate change in cities, air pollution, rapid population growth, multiple sources of development pressure and overall urban system complexity make it difﬁcult for decision-makers to develop and guide development trajectories along more livable, equitable, and at the same time, more resilient pathways. Advancing urban sustainability and resilience agendas requires expanding the scope of inter- and trans-disciplinarity approaches, moving beyond the historically separate social–ecological and socio-technical approaches to jointly study social–ecological–technical infrastructure systems in cities. We take urban complexity as a given and suggest that in both research and practice we need to better capture and understand feedbacks, interdependencies, and non-linearities which create uncertainties and challenge the efﬁcacy of governance practices to achieve normative goals for society. Here, we explore new methods, tools, and approaches to advance our understanding of urban system complexity through a series of journal special issue articles that examine urban structure–function relationships, urban sustainability transitions, green space availability, social–ecological memory, functional traits, and urban land use scenarios.","container-title":"Ecological Indicators","DOI":"10.1016/j.ecolind.2016.03.054","ISSN":"1470160X","journalAbbreviation":"Ecological Indicators","language":"en","page":"566-573","source":"DOI.org (Crossref)","title":"Advancing understanding of the complex nature of urban systems","URL":"https://linkinghub.elsevier.com/retrieve/pii/S1470160X16301583","volume":"70","author":[{"family":"McPhearson","given":"Timon"},{"family":"Haase","given":"Dagmar"},{"family":"Kabisch","given":"Nadja"},{"family":"Gren","given":"Åsa"}],"accessed":{"date-parts":[["2024",2,5]]},"issued":{"date-parts":[["2016",11]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(Bai et al., 2016; McPhearson et al., 2016)</w:t>
      </w:r>
      <w:r w:rsidRPr="00103457">
        <w:rPr>
          <w:rFonts w:ascii="Times New Roman" w:hAnsi="Times New Roman"/>
          <w:color w:val="000000"/>
        </w:rPr>
        <w:fldChar w:fldCharType="end"/>
      </w:r>
      <w:r w:rsidRPr="00103457">
        <w:rPr>
          <w:rFonts w:ascii="Times New Roman" w:hAnsi="Times New Roman"/>
          <w:color w:val="000000"/>
        </w:rPr>
        <w:t xml:space="preserve">. West Africa had a total urban population of 82 million across its 16 countries in 2000, and this increased to 200 million in 2020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{"citationID":"KtI4hlS4","properties":{"formattedCitation":"(OECD/SWAC,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(OECD/SWAC, 2020)</w:t>
      </w:r>
      <w:r w:rsidRPr="00103457">
        <w:rPr>
          <w:rFonts w:ascii="Times New Roman" w:hAnsi="Times New Roman"/>
          <w:color w:val="000000"/>
        </w:rPr>
        <w:fldChar w:fldCharType="end"/>
      </w:r>
      <w:r w:rsidRPr="00103457">
        <w:rPr>
          <w:rFonts w:ascii="Times New Roman" w:hAnsi="Times New Roman"/>
          <w:color w:val="000000"/>
        </w:rPr>
        <w:t xml:space="preserve">. Population increase in the region results in the reclassification of villages into urban centers, and the potential for better education, health, and employment in cities attracts migrants, mostly from rural areas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{"citationID":"TOJmvee6","properties":{"formattedCitation":"(Amare et al., 2021; Carmody &amp; Owusu, 2016; Herrmann et al., 2020)","plainCitation":"(Amare et al., 2021; Carmody &amp; Owusu, 2016; Herrmann et al., 2020)","noteIndex":0},"citationItems":[{"id":820,"uris":["http://zotero.org/users/8906743/items/SYJMDL3E"],"itemData":{"id":820,"type":"article-journal","container-title":"Population and Development Review","DOI":"10.1111/padr.12383","ISSN":"0098-7921, 1728-4457","issue":"1","journalAbbreviation":"Population and Development Review","language":"en","page":"151-179","source":"DOI.org (Crossref)","title":"Youth Migration Decisions in Sub‐Saharan Africa: Satellite‐Based Empirical Evidence from Nigeria","title-short":"Youth Migration Decisions in Sub‐Saharan Africa","URL":"https://onlinelibrary.wiley.com/doi/10.1111/padr.12383","volume":"47","author":[{"family":"Amare","given":"Mulubrhan"},{"family":"Abay","given":"Kibrom A."},{"family":"Arndt","given":"Channing"},{"family":"Shiferaw","given":"Bekele"}],"accessed":{"date-parts":[["2023",4,30]]},"issued":{"date-parts":[["2021",3]]}}},{"id":248,"uris":["http://zotero.org/users/8906743/items/4AX3AQRF"],"itemData":{"id":248,"type":"article-journal","abstract":"In the much of the popular media, the discourse around Africa has changed. Whereas stories of the “coming anarchy” or the “hopeless continent” abounded a little over a decade ago, it was, until the recent collapse in commodity prices, increasingly seen as the final global investment frontier, with rapid uptake of cellular technology and economic growth. Although much of this growth has been propelled by natural resources, the current conjuncture offers opportunities as well as challenges for African urban areas and raises questions about the role of cities in the continent’s future development as they continue to become more deeply informalised. The response of many city authorities to the deepening informalisation of their economies has been to try to connect to the global economy in new ways, through the creation of new financial service, high-tech and elite residential areas. In this paper we explore these developments through the Foucaudian lens of heterotopia. These new developments attempt to erase their associations with the cities from which they originate in favour of new connections outwards. However the creation of these new enclaves is filled with socio-spatial contradictions, which make them unlikely to achieve their ostensible objectives.","language":"en","page":"14","source":"Zotero","title":"Neoliberalism, Urbanization and Change in Africa: the Political Economy of Heterotopias","author":[{"family":"Carmody","given":"Pádraig"},{"family":"Owusu","given":"Francis"}],"issued":{"date-parts":[["2016"]]}}},{"id":557,"uris":["http://zotero.org/users/8906743/items/IWQYLSP6",["http://zotero.org/users/8906743/items/IWQYLSP6"]],"itemData":{"id":557,"type":"article-journal","abstract":"Abstract\n            \n              Rapid population growth in West Africa has exerted increasing pressures on land resources, leading to observable changes in the land cover and land use. However, spatially explicit and thematically detailed quantitative analyses of land cover change over long time periods and at regional scale have been lacking. Here we present a change intensity analysis of a Landsat-based, visually interpreted, multi-date (1975, 2000, 2013) land cover dataset of West Africa, stratified into five bioclimatic sub-regions. Change intensities accelerated over time and increased from the arid to the sub-humid sub-regions, as did population densities. The area occupied by human-dominated land cover categories more than doubled from 493,000 km\n              2\n              in 1975 to 1,121,000 km\n              2\n              in 2013. Land cover change intensities within 10 km of new settlement locations exceeded the region-wide average by up to a factor of three, substantiating the significant role of population pressure as a force of change. The spatial patterns of the human footprint in West Africa, however, suggest that not only population pressure but also changing socioeconomic conditions and policies shape the complexity of land cover outcomes.","container-title":"Communications Earth &amp; Environment","DOI":"10.1038/s43247-020-00053-y","ISSN":"2662-4435","issue":"1","journalAbbreviation":"Commun Earth Environ","language":"en","page":"53","source":"DOI.org (Crossref)","title":"Accelerating land cover change in West Africa over four decades as population pressure increased","URL":"http://www.nature.com/articles/s43247-020-00053-y","volume":"1","author":[{"family":"Herrmann","given":"Stefanie M."},{"family":"Brandt","given":"Martin"},{"family":"Rasmussen","given":"Kjeld"},{"family":"Fensholt","given":"Rasmus"}],"accessed":{"date-parts":[["2022",1,30]]},"issued":{"date-parts":[["2020",12]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(Amare et al., 2021; Carmody &amp; Owusu, 2016; Herrmann et al., 2020)</w:t>
      </w:r>
      <w:r w:rsidRPr="00103457">
        <w:rPr>
          <w:rFonts w:ascii="Times New Roman" w:hAnsi="Times New Roman"/>
          <w:color w:val="000000"/>
        </w:rPr>
        <w:fldChar w:fldCharType="end"/>
      </w:r>
      <w:r w:rsidRPr="00103457">
        <w:rPr>
          <w:rFonts w:ascii="Times New Roman" w:hAnsi="Times New Roman"/>
          <w:color w:val="000000"/>
        </w:rPr>
        <w:t xml:space="preserve">. Additionally, globalization creates investment and employment opportunities but exacerbates inequalities because infrastructure and service provisions are mostly focused on a few urban centers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{"citationID":"r4wlulW8","properties":{"formattedCitation":"(P. I. Korah et al., 2019; Yeboah et al., 2021)","plainCitation":"(P. I. Korah et al., 2019; Yeboah et al., 2021)","dontUpdate":true,"noteIndex":0},"citationItems":[{"id":389,"uris":["http://zotero.org/users/8906743/items/9P3RP7Q7"],"itemData":{"id":389,"type":"article-journal","abstract":"Rapid urbanisation and globalisation are creating relentless spatial transformation across the globe. There is a growing interest in understanding and conceptualising the emergent and often contested spatial morphologies and typologies in cities as they mediate the competing demands of global and local forces. This paper examines spatial and temporal development patterns in a Sub-Saharan Africa context using Accra, the capital and rapidly growing city of Ghana, as case study and explores the emerging urban form. By classifying Landsat satellite images (1986–2017) and using landscape/spatial metrics to characterise Accra’s spatial development along four concentric rings, we find growing complexity and fragmented spatial growth patterns in Accra. Despite the spatial fragmentation, a Contiguity Index of 0.64, 0.49 and 0.56 for 1986, 2000, and 2017 respectively show that Accra’s urban form is not amorphous nor polycentric but monocentric. The study demonstrates that using landscape metrics to characterise spatial development patterns under buffer zones leads to better understanding of the temporal and changing form of the city under various conditions. We reflect on the implications of these findings for urban policy and planning in Accra and other similar Sub-Saharan African cities.","container-title":"Land Use Policy","DOI":"10.1016/j.landusepol.2019.104049","ISSN":"02648377","journalAbbreviation":"Land Use Policy","language":"en","page":"104049","source":"DOI.org (Crossref)","title":"Characterising spatial and temporal patterns of urban evolution in Sub-Saharan Africa: The case of Accra, Ghana","title-short":"Characterising spatial and temporal patterns of urban evolution in Sub-Saharan Africa","URL":"https://linkinghub.elsevier.com/retrieve/pii/S0264837719300389","volume":"87","author":[{"family":"Korah","given":"Prosper Issahaku"},{"family":"Matthews","given":"Tony"},{"family":"Tomerini","given":"Deanna"}],"accessed":{"date-parts":[["2022",2,9]]},"issued":{"date-parts":[["2019",9]]}}},{"id":472,"uris":["http://zotero.org/users/8906743/items/EK77KK5Q"],"itemData":{"id":472,"type":"article-journal","container-title":"GeoJournal","DOI":"10.1007/s10708-021-10469-4","ISSN":"0343-2521, 1572-9893","journalAbbreviation":"GeoJournal","language":"en","source":"DOI.org (Crossref)","title":"Regimes of accumulation and the production of the built environment of Cantonments, Accra-Tema City-Region","URL":"https://link.springer.com/10.1007/s10708-021-10469-4","author":[{"family":"Yeboah","given":"Ian E. A."},{"family":"Arku","given":"Godwin"},{"family":"Maingi","given":"John K."}],"accessed":{"date-parts":[["2022",8,23]]},"issued":{"date-parts":[["2021",7,31]]}}}],"schema":"https://github.com/citation-style-language/schema/raw/master/csl-citation.json"}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(Korah et al., 2019; Yeboah et al., 2021)</w:t>
      </w:r>
      <w:r w:rsidRPr="00103457">
        <w:rPr>
          <w:rFonts w:ascii="Times New Roman" w:hAnsi="Times New Roman"/>
          <w:color w:val="000000"/>
        </w:rPr>
        <w:fldChar w:fldCharType="end"/>
      </w:r>
      <w:r w:rsidRPr="00103457">
        <w:rPr>
          <w:rFonts w:ascii="Times New Roman" w:hAnsi="Times New Roman"/>
          <w:color w:val="000000"/>
        </w:rPr>
        <w:t>. Thus, foreign policies, migration, and natural population increases are key drivers of the urbanization process in the region, resulting in the emergence of cities of different sizes. These processes increase demand for housing and drive the expansion of developed areas. However, analysis of urban expansion across different-sized cities for the entire regional urban system has been limited due to a lack of data and inconsistent definitions of cities across the region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{"citationID":"AquxcrGK","properties":{"formattedCitation":"(A. Korah et al., 2024)","plainCitation":"(A. Korah et al., 2024)","dontUpdate":true,"noteIndex":0},"citationItems":[{"id":1873,"uris":["http://zotero.org/users/8906743/items/IQT4K3QT"],"itemData":{"id":1873,"type":"article-journal","abstract":"Africa has been a hotspot of rapid urban growth since 2000, yet no review exists that describes the current state of urban growth modeling. This review aims to fill this gap by synthesizing urban growth modeling approaches, input variables and challenges across Africa. Using Web of Science, Google Scholar, Geobase, and Compendex databases, we selected 49 studies that projected urban land use and cover change or modeled probabilities of future urban change associated with a variety of input variables. We found increasing trends in the numbers of studies employing cellular automata, statistical regression, agent-based, video prediction, and integrated approaches. The modeling approaches used and their corresponding increases differed across Africa. The input variables used to project urban growth also varied across subregions. Studies were biased towards populous countries rather than the most urbanized. 78 % of the studies focused on primary cities, while secondary cities were less frequently studied. Comparison of urban growth modeling across multiple regions and for different types of cities is currently difficult due to inconsistent definitions and limited availability of data and computational resources. We recommend that the scientific community develop consistent definitions of African city types and urban land use and land cover classifications, create regional urban land cover products for Africa, and build repositories of models and their input data.","container-title":"Cities","DOI":"10.1016/j.cities.2023.104734","ISSN":"0264-2751","journalAbbreviation":"Cities","page":"104734","source":"ScienceDirect","title":"Understanding urban growth modeling in Africa: Dynamics, drivers, and challenges","title-short":"Understanding urban growth modeling in Africa","URL":"https://www.sciencedirect.com/science/article/pii/S0264275123005462","volume":"146","author":[{"family":"Korah","given":"Andrews"},{"family":"Koch","given":"Jennifer A. M."},{"family":"Wimberly","given":"Michael C."}],"accessed":{"date-parts":[["2024",1,29]]},"issued":{"date-parts":[["2024",3,1]]}}}],"schema":"https://github.com/citation-style-language/schema/raw/master/csl-citation.json"}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Korah et al., 2024)</w:t>
      </w:r>
      <w:r w:rsidRPr="00103457">
        <w:rPr>
          <w:rFonts w:ascii="Times New Roman" w:hAnsi="Times New Roman"/>
          <w:color w:val="000000"/>
        </w:rPr>
        <w:fldChar w:fldCharType="end"/>
      </w:r>
      <w:r w:rsidRPr="00103457">
        <w:rPr>
          <w:rFonts w:ascii="Times New Roman" w:hAnsi="Times New Roman"/>
          <w:color w:val="000000"/>
        </w:rPr>
        <w:t xml:space="preserve">. </w:t>
      </w:r>
    </w:p>
    <w:p w14:paraId="1A3C9D2D" w14:textId="23359BF3"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Although the primary cities, such as Lagos</w:t>
      </w:r>
      <w:r w:rsidR="00362E18">
        <w:rPr>
          <w:rFonts w:ascii="Times New Roman" w:hAnsi="Times New Roman"/>
          <w:color w:val="000000"/>
        </w:rPr>
        <w:t xml:space="preserve"> </w:t>
      </w:r>
      <w:r w:rsidRPr="00103457">
        <w:rPr>
          <w:rFonts w:ascii="Times New Roman" w:hAnsi="Times New Roman"/>
          <w:color w:val="000000"/>
        </w:rPr>
        <w:t xml:space="preserve">and Accra are important regional hubs, cities with populations below 1 million are often overlooked in research, planning, and policy interventions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{"citationID":"gSnDVvf9","properties":{"formattedCitation":"(G\\uc0\\u252{}neralp et al., 2020; Mahtta et al., 2022; Wolff et al., 2020)","plainCitation":"(Güneralp et al., 2020; Mahtta et al., 2022; Wolff et al., 2020)","noteIndex":0},"citationItems":[{"id":624,"uris":["http://zotero.org/users/8906743/items/RYJ3GWJE"],"itemData":{"id":624,"type":"article-journal","abstract":"Abstract\n            \n              The physical expansion of urban areas lead to lasting impacts on landscapes and livelihoods. Here, we conduct a global synthesis of trends in urban land expansion, in urban population densities, and lands converted into urban from 1970 to 2010. We find that small-medium urban areas lead their larger counterparts in both rates of urban land expansion and decreases in urban population densities. Urban population densities have consistently declined only in India, China, North America, and Europe with significant exceptions across city sizes. Over 60% of the reported urban expansion was formerly agricultural land with China, Southeast Asia, and Europe in the lead. Counterfactual analysis suggests that, due to the decrease in urban population densities, an estimated 125 000 km\n              2\n              land was converted to urban land uses that could have otherwise remained in cultivation or as natural vegetation. In particular, in India and Nigeria, with much of their populations dependent on agriculture,  85% and 30% more land, respectively, was converted to urban land due to decreasing urban population densities. With increasing urbanization, proactive management of urban land expansion, especially in small and medium cities, will be critical for saving agricultural lands in peri-urban regions while creating equitable and affordable urban landscapes.","container-title":"Environmental Research Letters","DOI":"10.1088/1748-9326/ab6669","ISSN":"1748-9326","issue":"4","journalAbbreviation":"Environ. Res. Lett.","language":"en","page":"044015","source":"DOI.org (Crossref)","title":"Trends in urban land expansion, density, and land transitions from 1970 to 2010: a global synthesis","title-short":"Trends in urban land expansion, density, and land transitions from 1970 to 2010","URL":"https://iopscience.iop.org/article/10.1088/1748-9326/ab6669","volume":"15","author":[{"family":"Güneralp","given":"Burak"},{"family":"Reba","given":"Meredith"},{"family":"Hales","given":"Billy U"},{"family":"Wentz","given":"Elizabeth A"},{"family":"Seto","given":"Karen C"}],"accessed":{"date-parts":[["2023",3,11]]},"issued":{"date-parts":[["2020",4,1]]}}},{"id":282,"uris":["http://zotero.org/users/8906743/items/94K43WA7"],"itemData":{"id":282,"type":"article-journal","abstract":"Abstract\n            Global urban populations are projected to increase by 2.5 billion over the next 30 years. Yet, there is limited understanding of how this growth will affect urban land expansion (ULE). Here, we develop a large-scale study to test explicitly the relative importance of urban population and Gross Domestic Product (GDP) growth in affecting ULE for different regions, economic development levels and governance types for 300+ cities. Our results show that population growth, more than GDP, is consistently the dominant determinant of ULE during 1970–2014. However, the effect of GDP growth on ULE increases in importance after 2000. In countries with strong governance, economic growth contributes more to ULE than population growth. We find that urban population growth and ULE are correlated but this relationship varies for countries at different developmental stages. Lastly, this study illustrates that good governance is a necessary condition for economic growth to affect ULE.","container-title":"npj Urban Sustainability","DOI":"10.1038/s42949-022-00048-y","ISSN":"2661-8001","issue":"1","journalAbbreviation":"npj Urban Sustain","language":"en","page":"5","source":"DOI.org (Crossref)","title":"Urban land expansion: the role of population and economic growth for 300+ cities","title-short":"Urban land expansion","URL":"https://www.nature.com/articles/s42949-022-00048-y","volume":"2","author":[{"family":"Mahtta","given":"Richa"},{"family":"Fragkias","given":"Michail"},{"family":"Güneralp","given":"Burak"},{"family":"Mahendra","given":"Anjali"},{"family":"Reba","given":"Meredith"},{"family":"Wentz","given":"Elizabeth A."},{"family":"Seto","given":"Karen C."}],"accessed":{"date-parts":[["2022",10,2]]},"issued":{"date-parts":[["2022",12]]}},"label":"page"},{"id":782,"uris":["http://zotero.org/users/8906743/items/7EKMUFS9"],"itemData":{"id":782,"type":"article-journal","abstract":"Since 1960, urbanization in Sub-Saharan Africa (SSA) has been rapid. While consistent demographic statistics now exist on urban population growth rates, these data have not been fully exploited to improve our understanding of the evolution of urbanization at the continental scale. We investigate urban change between 1950 and 2010 across SSA using cluster analyses performed on three complementary aspects: the evolution of urban growth rates, primacy, and the densiﬁcation of the urban mesh. Results show that SSA countries followed diverse urbanization trajectories over the last 60 years and are currently unevenly distributed along the urban transition model.","container-title":"African Geographical Review","DOI":"10.1080/19376812.2019.1579656","ISSN":"1937-6812, 2163-2642","issue":"1","journalAbbreviation":"African Geographical Review","language":"en","page":"45-57","source":"DOI.org (Crossref)","title":"Diversity of urban growth patterns in Sub-Saharan Africa in the 1960–2010 period","URL":"https://www.tandfonline.com/doi/full/10.1080/19376812.2019.1579656","volume":"39","author":[{"family":"Wolff","given":"Eléonore"},{"family":"Grippa","given":"Taïs"},{"family":"Forget","given":"Yann"},{"family":"Georganos","given":"Stefanos"},{"family":"Vanhuysse","given":"Sabine"},{"family":"Shimoni","given":"Michal"},{"family":"Linard","given":"Catherine"}],"accessed":{"date-parts":[["2023",8,23]]},"issued":{"date-parts":[["2020",1,2]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(Güneralp et al., 2020; Mahtta et al., 2022; Wolff et al. 2020)</w:t>
      </w:r>
      <w:r w:rsidRPr="00103457">
        <w:rPr>
          <w:rFonts w:ascii="Times New Roman" w:hAnsi="Times New Roman"/>
          <w:color w:val="000000"/>
        </w:rPr>
        <w:fldChar w:fldCharType="end"/>
      </w:r>
      <w:r w:rsidRPr="00103457">
        <w:rPr>
          <w:rFonts w:ascii="Times New Roman" w:hAnsi="Times New Roman"/>
          <w:color w:val="000000"/>
        </w:rPr>
        <w:t xml:space="preserve">. In 2015, cities below 1 million urban population contained over 60% of West Africa's urban population, serving as economic, health, and educational centers for many rural residents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{"citationID":"5YKhg12h","properties":{"formattedCitation":"(Walther, 2021)","plainCitation":"(Walther, 2021)","noteIndex":0},"citationItems":[{"id":391,"uris":["http://zotero.org/users/8906743/items/AV4FGLXH",["http://zotero.org/users/8906743/items/AV4FGLXH"]],"itemData":{"id":391,"type":"report","abstract":"This brief presents a factual and retrospective analysis of the relationships between urbanisation and demography in North Africa and West Africa. It shows that the process of demographic transition is now fully underway in this region. North of the Sahara the new demographic equilibrium features a birth rate higher than expected, according to theoretical model predictions, resulting in continuous population growth. Over 70% of the population now lives in cities, a number that is expected to continue to rise in the coming decades. South of the Sahara all countries have seen death rates plummet, followed by a decrease in birth rates. The gap between the change in the two variables has contributed to spectacular natural growth in the space of a few decades. This growth is occurring in parallel with a redistribution of populations to urban areas, which are now home to close to one of every two inhabitants. West African urbanisation is likely to accelerate the social, economic and political changes that favour the demographic transition. One of the main challenges facing the region is the question of how to reduce the regional variations seen in fertility rates between the continent’s urban and rural areas.","genre":"West African Papers","language":"en","note":"collection-title: West African Papers\nvolume: 33\nDOI: 10.1787/4fa52e9c-en","number":"33","source":"DOI.org (Crossref)","title":"Urbanisation and demography in North and West Africa, 1950-2020","URL":"https://www.oecd-ilibrary.org/development/urbanisation-and-demography-in-north-and-west-africa-1950-2020_4fa52e9c-en","author":[{"family":"Walther","given":"Olivier J"}],"accessed":{"date-parts":[["2022",2,7]]},"issued":{"date-parts":[["2021",11,11]]}}}],"schema":"https://github.com/citation-style-language/schema/raw/master/csl-citation.json"}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(Walther, 2021)</w:t>
      </w:r>
      <w:r w:rsidRPr="00103457">
        <w:rPr>
          <w:rFonts w:ascii="Times New Roman" w:hAnsi="Times New Roman"/>
          <w:color w:val="000000"/>
        </w:rPr>
        <w:fldChar w:fldCharType="end"/>
      </w:r>
      <w:r w:rsidRPr="00103457">
        <w:rPr>
          <w:rFonts w:ascii="Times New Roman" w:hAnsi="Times New Roman"/>
          <w:color w:val="000000"/>
        </w:rPr>
        <w:t xml:space="preserve">. Even more neglected are cities with populations below 50 thousand, which are often not included in national and international databases. Despite the limited attention, more than 65% of urban populations in West Africa live in cities below 1 million people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{"citationID":"nRMgxLIF","properties":{"formattedCitation":"(Curiel et al., 2017)","plainCitation":"(Curiel et al., 2017)","noteIndex":0},"citationItems":[{"id":402,"uris":["http://zotero.org/users/8906743/items/NK7W42RS",["http://zotero.org/users/8906743/items/NK7W42RS"]],"itemData":{"id":402,"type":"report","abstract":"Over the past 60 years, urbanisation and cities have fundamentally transformed the social, economic and political geography of West Africa. The number of people living in cities increased from 5 million in 1950 to 133 million in 2010. During the same period, the number of towns and cities with more than 10 000 inhabitants grew from 159 to close to 2 000. A large majority of these agglomerations are secondary cities and small towns that act as hubs and catalysts for local and regional production and supply chains, as well as for the transfer of goods, people and information, linking the local and regional economies to the global economy. The intensity of the spatial interactions of cities has strongly increased with population growth, urbanisation and higher urban density. This paper, part of ongoing work within the Sahel and West Africa Club Secretariat to integrate urbanisation and city growth into analyses of major trends in the region, lays the foundation for the development of a systematic method to capture and describe these spatial interactions. It does so by examining four variables: city size, market potential, urbanisation level and local dominance. These variables, in turn, help to define seven different city groups that can be used to classify West African agglomerations. The initial results of this work reveal the diversity and distinctive behaviours of cities in the region, providing a new perspective on urbanisation dynamics and the influence of spatial variables on urban growth rates, the emergence of new agglomerations and the clustering of cities.","genre":"West African Papers","language":"en","note":"collection-title: West African Papers\nvolume: 5\nDOI: 10.1787/57b30601-en","number":"5","source":"DOI.org (Crossref)","title":"Cities and Spatial Interactions in West Africa","URL":"https://www.oecd-ilibrary.org/development/cities-and-spatial-interactions-in-west-africa_57b30601-en","author":[{"family":"Curiel","given":"Rafael Prieto"},{"family":"Heinrigs","given":"Philipp"},{"family":"Heo","given":"Inhoi"}],"accessed":{"date-parts":[["2022",2,4]]},"issued":{"date-parts":[["2017",3,31]]}}}],"schema":"https://github.com/citation-style-language/schema/raw/master/csl-citation.json"}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(Curiel et al., 2017)</w:t>
      </w:r>
      <w:r w:rsidRPr="00103457">
        <w:rPr>
          <w:rFonts w:ascii="Times New Roman" w:hAnsi="Times New Roman"/>
          <w:color w:val="000000"/>
        </w:rPr>
        <w:fldChar w:fldCharType="end"/>
      </w:r>
      <w:r w:rsidRPr="00103457">
        <w:rPr>
          <w:rFonts w:ascii="Times New Roman" w:hAnsi="Times New Roman"/>
          <w:color w:val="000000"/>
        </w:rPr>
        <w:t xml:space="preserve">. Many of these smaller </w:t>
      </w:r>
      <w:r w:rsidRPr="00103457">
        <w:rPr>
          <w:rFonts w:ascii="Times New Roman" w:hAnsi="Times New Roman"/>
          <w:color w:val="000000"/>
        </w:rPr>
        <w:lastRenderedPageBreak/>
        <w:t xml:space="preserve">cities in the WAUS provide initial stops for rural migrants intending to settle in more nationally and globally integrated cities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{"citationID":"1E4fEvIi","properties":{"formattedCitation":"(OECD et al., 2022)","plainCitation":"(OECD et al., 2022)","noteIndex":0},"citationItems":[{"id":818,"uris":["http://zotero.org/users/8906743/items/PXW547XN"],"itemData":{"id":818,"type":"book","collection-title":"West African Studies","ISBN":"978-92-64-91580-0","language":"en","note":"DOI: 10.1787/3834ed5b-en","publisher":"OECD","source":"DOI.org (Crossref)","title":"Africa’s Urbanisation Dynamics 2022: The Economic Power of Africa’s Cities","title-short":"Africa’s Urbanisation Dynamics 2022","URL":"https://www.oecd-ilibrary.org/development/africa-s-urbanisation-dynamics-2022_3834ed5b-en","author":[{"literal":"OECD"},{"literal":"United Nations Economic Commission for Africa"},{"literal":"African Development Bank"}],"accessed":{"date-parts":[["2023",4,30]]},"issued":{"date-parts":[["2022",4,26]]}}}],"schema":"https://github.com/citation-style-language/schema/raw/master/csl-citation.json"}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(OECD et al., 2022)</w:t>
      </w:r>
      <w:r w:rsidRPr="00103457">
        <w:rPr>
          <w:rFonts w:ascii="Times New Roman" w:hAnsi="Times New Roman"/>
          <w:color w:val="000000"/>
        </w:rPr>
        <w:fldChar w:fldCharType="end"/>
      </w:r>
      <w:r w:rsidRPr="00103457">
        <w:rPr>
          <w:rFonts w:ascii="Times New Roman" w:hAnsi="Times New Roman"/>
          <w:color w:val="000000"/>
        </w:rPr>
        <w:t xml:space="preserve">. Therefore, a comprehensive analysis of the expansion dynamics across cities can potentially assist planners, decision-makers, and environmental managers in implementing sustainable urban expansion policies. </w:t>
      </w:r>
    </w:p>
    <w:p w14:paraId="226698CC" w14:textId="1861E69D" w:rsidR="00103457" w:rsidRDefault="00103457" w:rsidP="00103457">
      <w:pPr>
        <w:ind w:firstLine="360"/>
        <w:rPr>
          <w:rFonts w:ascii="Times New Roman" w:hAnsi="Times New Roman"/>
          <w:color w:val="000000"/>
        </w:rPr>
      </w:pPr>
      <w:r w:rsidRPr="00103457">
        <w:rPr>
          <w:rFonts w:ascii="Times New Roman" w:hAnsi="Times New Roman"/>
          <w:color w:val="000000"/>
        </w:rPr>
        <w:t xml:space="preserve">This study focused on the West African countries of Benin, Ghana, Nigeria, and Togo, which together contain the majority of cities and urban population in the region and are characterized by similar challenges and drivers of urbanization as well as a wide range of city sizes. Common challenges across the four countries include unregulated land markets, tenure insecurity, segregated neighborhoods, housing and infrastructure deficits, and unguided expansion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{"citationID":"zYhVZBrA","properties":{"formattedCitation":"(Biney &amp; Boakye, 2021; Cobbinah et al., 2020)","plainCitation":"(Biney &amp; Boakye, 2021; Cobbinah et al., 2020)","noteIndex":0},"citationItems":[{"id":541,"uris":["http://zotero.org/users/8906743/items/I5EKJ6YD"],"itemData":{"id":541,"type":"article-journal","container-title":"Environmental Challenges","DOI":"10.1016/j.envc.2021.100168","ISSN":"26670100","journalAbbreviation":"Environmental Challenges","language":"en","page":"100168","source":"DOI.org (Crossref)","title":"Urban sprawl and its impact on land use land cover dynamics of Sekondi-Takoradi metropolitan assembly, Ghana","URL":"https://linkinghub.elsevier.com/retrieve/pii/S2667010021001475","volume":"4","author":[{"family":"Biney","given":"Ernest"},{"family":"Boakye","given":"Ebenezer"}],"accessed":{"date-parts":[["2022",2,15]]},"issued":{"date-parts":[["2021",8]]}}},{"id":388,"uris":["http://zotero.org/users/8906743/items/UKAG4UMG"],"itemData":{"id":388,"type":"article-journal","abstract":"Global literature reporting on land governance indicates considerable differences between land ownership and land administration. Yet, in many Sub-Saharan African countries, particularly Ghana, this relationship is blurred in complex land governance regimes. An understanding of this relationship in Ghana’s customary land sector –the dominant land ownership type – is critical in advancing urban land use planning and promoting effective urban management in this era of rapid urbanisation across Africa. Unfortunately, little is known about this relationship in the context of land use planning. Using Kumasi, a rapidly growing city in Ghana as a case study, the purpose of this paper is threefold: (i) to discuss the relationship between customary land ownership and administration in the context of land use planning, (ii) to explore institutional perspectives on sustainable land use planning; and (iii) to examine the implications of customary land ownership and administration on sus­ tainable land use planning. Using a review of relevant land use planning documents on Ghana, and interviews with four urban planning agencies and four customary land owners (chiefs/traditional leaders) in Kumasi, findings indicate a demonstration of an unclear nature of legislative planning framework and a lack of focus on customary land ownership and administration system in urban land use planning. Despite planning laws (e.g., zoning guidelines) emphasising separation of ownership from administration, findings indicate no distinction between customary land ownership and land administration as the traditional leaders (the owners) administer the land via determination of land uses, arbitration of land disputes, and location determination of important community infrastructure and services. Evidence of repetitive and cumbersome nature of land administration by traditional owners and government planning agencies, weak agency framework and coordination challenges has contributed to limited progress of sustainable land use planning in the city.","container-title":"Land Use Policy","DOI":"10.1016/j.landusepol.2020.105054","ISSN":"02648377","journalAbbreviation":"Land Use Policy","language":"en","page":"105054","source":"DOI.org (Crossref)","title":"Urban land use planning in Ghana: Navigating complex coalescence of land ownership and administration","title-short":"Urban land use planning in Ghana","URL":"https://linkinghub.elsevier.com/retrieve/pii/S0264837719320034","volume":"99","author":[{"family":"Cobbinah","given":"Patrick Brandful"},{"family":"Asibey","given":"Michael Osei"},{"family":"Gyedu-Pensang","given":"Yaa Asuamah"}],"accessed":{"date-parts":[["2022",2,9]]},"issued":{"date-parts":[["2020",12]]}}}],"schema":"https://github.com/citation-style-language/schema/raw/master/csl-citation.json"}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(Biney &amp; Boakye, 2021; Cobbinah et al., 2020)</w:t>
      </w:r>
      <w:r w:rsidRPr="00103457">
        <w:rPr>
          <w:rFonts w:ascii="Times New Roman" w:hAnsi="Times New Roman"/>
          <w:color w:val="000000"/>
        </w:rPr>
        <w:fldChar w:fldCharType="end"/>
      </w:r>
      <w:r w:rsidRPr="00103457">
        <w:rPr>
          <w:rFonts w:ascii="Times New Roman" w:hAnsi="Times New Roman"/>
          <w:color w:val="000000"/>
        </w:rPr>
        <w:t xml:space="preserve">. Land markets are unregulated and generally influenced by the demand and needs of landowners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{"citationID":"ZlYSKiPe","properties":{"formattedCitation":"(Akaateba et al., 2021; Cobbinah et al., 2020)","plainCitation":"(Akaateba et al., 2021; Cobbinah et al., 2020)","noteIndex":0},"citationItems":[{"id":537,"uris":["http://zotero.org/users/8906743/items/XXALIE6D"],"itemData":{"id":537,"type":"article-journal","abstract":"A dual land administration system in Ghana necessitates the adoption of hybrid and locally adaptive planning practices. However, whilst the scholarly discourse on hybrid planning is burgeoning, its implications for sustainable urban devel­ opment are limited. Using qualitative case studies of data collected from inter­ views and focus group discussions with key stakeholders in Tamale and Techiman, this paper highlights the implications of hybrid planning for sustain­ able urban development. Although in tune with current proposals for collabora­ tive land use planning, hybrid planning practices in peri-urban areas are dominated by land-owning chiefs who finance land use planning activities, leading to a negotiated planning and land delivery system. This engenders urban sustainability challenges, including tenure insecurities, land speculation and urban sprawl and hinders the realisation of the Sustainable Development Goal 11. Thus, urban planners must re-examine current planning practices and leverage the New Urban Agenda to explore innovative ways of ensuring sustain­ able urban expansion.","container-title":"International Journal of Urban Sustainable Development","DOI":"10.1080/19463138.2021.1971990","ISSN":"1946-3138, 1946-3146","issue":"3","journalAbbreviation":"International Journal of Urban Sustainable Development","language":"en","page":"464-480","source":"DOI.org (Crossref)","title":"Chiefs, land professionals and hybrid planning in Tamale and Techiman, Ghana: Implications for sustainable urban development","title-short":"Chiefs, land professionals and hybrid planning in Tamale and Techiman, Ghana","URL":"https://www.tandfonline.com/doi/full/10.1080/19463138.2021.1971990","volume":"13","author":[{"family":"Akaateba","given":"Millicent Awialie"},{"family":"Ahmed","given":"Abubakari"},{"family":"Inkoom","given":"Daniel Kweku Baah"}],"accessed":{"date-parts":[["2022",2,21]]},"issued":{"date-parts":[["2021",9,2]]}}},{"id":388,"uris":["http://zotero.org/users/8906743/items/UKAG4UMG"],"itemData":{"id":388,"type":"article-journal","abstract":"Global literature reporting on land governance indicates considerable differences between land ownership and land administration. Yet, in many Sub-Saharan African countries, particularly Ghana, this relationship is blurred in complex land governance regimes. An understanding of this relationship in Ghana’s customary land sector –the dominant land ownership type – is critical in advancing urban land use planning and promoting effective urban management in this era of rapid urbanisation across Africa. Unfortunately, little is known about this relationship in the context of land use planning. Using Kumasi, a rapidly growing city in Ghana as a case study, the purpose of this paper is threefold: (i) to discuss the relationship between customary land ownership and administration in the context of land use planning, (ii) to explore institutional perspectives on sustainable land use planning; and (iii) to examine the implications of customary land ownership and administration on sus­ tainable land use planning. Using a review of relevant land use planning documents on Ghana, and interviews with four urban planning agencies and four customary land owners (chiefs/traditional leaders) in Kumasi, findings indicate a demonstration of an unclear nature of legislative planning framework and a lack of focus on customary land ownership and administration system in urban land use planning. Despite planning laws (e.g., zoning guidelines) emphasising separation of ownership from administration, findings indicate no distinction between customary land ownership and land administration as the traditional leaders (the owners) administer the land via determination of land uses, arbitration of land disputes, and location determination of important community infrastructure and services. Evidence of repetitive and cumbersome nature of land administration by traditional owners and government planning agencies, weak agency framework and coordination challenges has contributed to limited progress of sustainable land use planning in the city.","container-title":"Land Use Policy","DOI":"10.1016/j.landusepol.2020.105054","ISSN":"02648377","journalAbbreviation":"Land Use Policy","language":"en","page":"105054","source":"DOI.org (Crossref)","title":"Urban land use planning in Ghana: Navigating complex coalescence of land ownership and administration","title-short":"Urban land use planning in Ghana","URL":"https://linkinghub.elsevier.com/retrieve/pii/S0264837719320034","volume":"99","author":[{"family":"Cobbinah","given":"Patrick Brandful"},{"family":"Asibey","given":"Michael Osei"},{"family":"Gyedu-Pensang","given":"Yaa Asuamah"}],"accessed":{"date-parts":[["2022",2,9]]},"issued":{"date-parts":[["2020",12]]}}}],"schema":"https://github.com/citation-style-language/schema/raw/master/csl-citation.json"}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(Akaateba et al., 2021; Cobbinah et al., 2020)</w:t>
      </w:r>
      <w:r w:rsidRPr="00103457">
        <w:rPr>
          <w:rFonts w:ascii="Times New Roman" w:hAnsi="Times New Roman"/>
          <w:color w:val="000000"/>
        </w:rPr>
        <w:fldChar w:fldCharType="end"/>
      </w:r>
      <w:r w:rsidRPr="00103457">
        <w:rPr>
          <w:rFonts w:ascii="Times New Roman" w:hAnsi="Times New Roman"/>
          <w:color w:val="000000"/>
        </w:rPr>
        <w:t xml:space="preserve">. Urban population increases overburden existing amenities and infrastructure, with significant housing deficits of 28 million units in Nigeria, 3.5 million in Benin, 1.8 million in Ghana, and 500 thousand in Togo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{"citationID":"EN8e8dZG","properties":{"formattedCitation":"(Bah et al., 2018; Ezennia, 2022; Olanrewaju et al., 2016)","plainCitation":"(Bah et al., 2018; Ezennia, 2022; Olanrewaju et al., 2016)","noteIndex":0},"citationItems":[{"id":1885,"uris":["http://zotero.org/users/8906743/items/2E8B2YXR"],"itemData":{"id":1885,"type":"chapter","container-title":"Housing Market Dynamics in Africa","event-place":"London","ISBN":"978-1-349-95120-8","language":"en","note":"DOI: 10.1057/978-1-137-59792-2_1","page":"1-21","publisher":"Palgrave Macmillan UK","publisher-place":"London","source":"DOI.org (Crossref)","title":"The Housing Sector in Africa: Setting the Scene","title-short":"The Housing Sector in Africa","URL":"http://link.springer.com/10.1057/978-1-137-59792-2_1","container-author":[{"family":"Bah","given":"El-hadj M."},{"family":"Faye","given":"Issa"},{"family":"Geh","given":"Zekebweliwai F."}],"author":[{"family":"Bah","given":"El-hadj M."},{"family":"Faye","given":"Issa"},{"family":"Geh","given":"Zekebweliwai F."}],"accessed":{"date-parts":[["2024",1,31]]},"issued":{"date-parts":[["2018"]]}}},{"id":1879,"uris":["http://zotero.org/users/8906743/items/GS2HM2L7"],"itemData":{"id":1879,"type":"article-journal","abstract":"The increasing rates of unaffordability cases and subsequent housing abandonment recorded in the public and private housing units provided for the average and vulnerable members of society have been linked not just to financial problems but also sustainability issues. Sustainable affordable housing (SAH) has been advocated by housing scholars and researchers to address these exponentially growing concerns. However, sustainable and affordable houses are at a low rate in Nigeria's housing stock because the uptake of SAH is still in its infancy and very slow. To encourage SAH adoption in Nigeria, a multi-dimensional problem analysis challenging the uptake of SAH is required. The study, therefore, aims to explore the experiences of housing providers on the barriers to SAH adoption in Nigeria. The objective is to determine the degree to which each barrier contributes to the disenfranchisement of vulnerable members of society in terms of housing rights. In this regard, a comprehensive list of 43 barriers, classified under 6 categories, was determined through an extensive literature review. A cross-sectional questionnaire survey was designed and administered to 1,554 experts in the Nigerian housing industry with affordable housing experience. Frequency analysis and Kruskal-Wallis H-tests were used to rank and identify the critical barriers. Findings reveal that housing providers' views on the criticality of these barriers differ significantly across professions and based on the nature of service (academic or practice). A framework has been developed to aid housing providers and stakeholders in prioritizing their actions for SAH implementation in the study area.","container-title":"World Development Sustainability","DOI":"10.1016/j.wds.2022.100023","ISSN":"2772-655X","journalAbbreviation":"World Development Sustainability","page":"100023","source":"ScienceDirect","title":"Insights of housing providers’ on the critical barriers to sustainable affordable housing uptake in Nigeria","URL":"https://www.sciencedirect.com/science/article/pii/S2772655X22000234","volume":"1","author":[{"family":"Ezennia","given":"Ikenna Stephen"}],"accessed":{"date-parts":[["2024",1,31]]},"issued":{"date-parts":[["2022",1,1]]}}},{"id":1880,"uris":["http://zotero.org/users/8906743/items/VK44U5Q5"],"itemData":{"id":1880,"type":"article-journal","abstract":"Nigeria is perhaps facing the worst housing deficits in its existence with a homeownership of less than 20% and a housing shortage greater than 30 million. The deficits would lead to a crisis and consequently lead to poor standards of living, unaffordable house prices, high mortgage payments, abandonment, outbreak of diseases, dilapidation, and high maintenance costs. The main research from which this study forms part aims to develop housing governance. This current study aims to identify and the categorize factors accounting for the hosing deficits. Based on a cross sectional survey questionnaire the findings lead to the conclusion that the problems in the housing industry can be explained by policies, regulations, legal issues, market, economic and the construction industry. The Kaiser-Meyer-Olkin measure of sampling adequacy indicated that the strength of the relationships among variables was moderate. Bartlett's test of sphericity, which tests the overall significance of all the correlations within the correlation matrix, was significant. The discussions and results have some significant implications to the governments. For now, the government has to play multiple roles of providing housing and that of a market enabler.","collection-title":"Selected papers from Creative Construction Conference 2016","container-title":"Procedia Engineering","DOI":"10.1016/j.proeng.2016.11.624","ISSN":"1877-7058","journalAbbreviation":"Procedia Engineering","page":"307-314","source":"ScienceDirect","title":"A Framework for Affordable Housing Governance for the Nigerian Property Market","URL":"https://www.sciencedirect.com/science/article/pii/S1877705816339650","volume":"164","author":[{"family":"Olanrewaju","given":"AbdulLateef"},{"family":"Anavhe","given":"Paul"},{"family":"Hai","given":"Tey Kim"}],"accessed":{"date-parts":[["2024",1,31]]},"issued":{"date-parts":[["2016",1,1]]}}}],"schema":"https://github.com/citation-style-language/schema/raw/master/csl-citation.json"}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(Bah et al., 2018; Ezennia, 2022; Olanrewaju et al., 2016)</w:t>
      </w:r>
      <w:r w:rsidRPr="00103457">
        <w:rPr>
          <w:rFonts w:ascii="Times New Roman" w:hAnsi="Times New Roman"/>
          <w:color w:val="000000"/>
        </w:rPr>
        <w:fldChar w:fldCharType="end"/>
      </w:r>
      <w:r w:rsidRPr="00103457">
        <w:rPr>
          <w:rFonts w:ascii="Times New Roman" w:hAnsi="Times New Roman"/>
          <w:color w:val="000000"/>
        </w:rPr>
        <w:t xml:space="preserve">. Also, real estate development has risen since the 2007/2008 financial crisis, and African cities such as Accra and Lagos are seen as frontiers for new development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{"citationID":"qyihHzDl","properties":{"formattedCitation":"(Goodfellow, 2020; Watson, 2014)","plainCitation":"(Goodfellow, 2020; Watson, 2014)","noteIndex":0},"citationItems":[{"id":465,"uris":["http://zotero.org/users/8906743/items/Q342HTTW"],"itemData":{"id":465,"type":"article-journal","abstract":"Financial flows into Africa are being reoriented through the pervasive discourse of the ‘infrastructure gap’. The article argues that the generation of new infrastructures identified as ‘alternative assets’ by global finance is also creating landscapes of opportunity for urban capital accumulation by more locally embedded actors. Thus, as international financial flows are becoming ‘infrastructuralised’, domestic capital is increasingly ‘real-estatised’. The conceptualisation of African urban economies in terms of deficits has obscured the extent to which they are also characterised by surfeits, including of certain kinds of property development and speculation, with important implications for the politics of urban accumulation, dispossession and violence.","container-title":"Review of African Political Economy","DOI":"10.1080/03056244.2020.1722088","ISSN":"0305-6244","issue":"164","note":"publisher: Routledge\n_eprint: https://doi.org/10.1080/03056244.2020.1722088","page":"256-274","source":"Taylor and Francis+NEJM","title":"Finance, infrastructure and urban capital: the political economy of African ‘gap-filling’","title-short":"Finance, infrastructure and urban capital","URL":"https://doi.org/10.1080/03056244.2020.1722088","volume":"47","author":[{"family":"Goodfellow","given":"Tom"}],"accessed":{"date-parts":[["2022",8,23]]},"issued":{"date-parts":[["2020",4,2]]}}},{"id":630,"uris":["http://zotero.org/users/8906743/items/U224KXSW"],"itemData":{"id":630,"type":"article-journal","abstract":"Labelled as the “last frontier” for international property development, sub-Saharan Africa’s larger cities are currently being revisioned in the image of cities such as Dubai, Shanghai and Singapore, which claim top positions in the world-class city leagues. Draped in the rhetoric of “smart cities” and “eco-cities”, these plans promise to modernize African cities and turn them into gateways for international investors and showpieces for ambitious politicians. Yet the reality in all of these cities stands in stark contrast to the glass-box towers, manicured lawns and water features on developers’ and architects’ websites. With the majority of urban populations living in deep poverty and with minimal urban services, the most likely outcome of these fantasy plans is a steady worsening of the marginalization and inequalities that already beset these cities.","container-title":"Environment and Urbanization","DOI":"10.1177/0956247813513705","ISSN":"0956-2478, 1746-0301","issue":"1","journalAbbreviation":"Environment and Urbanization","language":"en","page":"215-231","source":"DOI.org (Crossref)","title":"African urban fantasies: dreams or nightmares?","title-short":"African urban fantasies","URL":"http://journals.sagepub.com/doi/10.1177/0956247813513705","volume":"26","author":[{"family":"Watson","given":"Vanessa"}],"accessed":{"date-parts":[["2020",4,12]]},"issued":{"date-parts":[["2014",4]]}}}],"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(Goodfellow, 2020; Watson, 2014)</w:t>
      </w:r>
      <w:r w:rsidRPr="00103457">
        <w:rPr>
          <w:rFonts w:ascii="Times New Roman" w:hAnsi="Times New Roman"/>
          <w:color w:val="000000"/>
        </w:rPr>
        <w:fldChar w:fldCharType="end"/>
      </w:r>
      <w:r w:rsidRPr="00103457">
        <w:rPr>
          <w:rFonts w:ascii="Times New Roman" w:hAnsi="Times New Roman"/>
          <w:color w:val="000000"/>
        </w:rPr>
        <w:t xml:space="preserve">. Land acquired through eminent domain has often been repurposed for high-end real estate development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{"citationID":"ZMmm4jaR","properties":{"formattedCitation":"(A. Korah, 2020; Yeboah et al., 2021)","plainCitation":"(A. Korah, 2020; Yeboah et al., 2021)","dontUpdate":true,"noteIndex":0},"citationItems":[{"id":1933,"uris":["http://zotero.org/users/8906743/items/SSSHMC48"],"itemData":{"id":1933,"type":"thesis","event-place":"Oxford, Ohio","genre":"Master's thesis","language":"en","publisher":"Miami University","publisher-place":"Oxford, Ohio","source":"etd.ohiolink.edu","title":"Frontier Urbanization and Affirmative Action in Urban Ghana: A Case of Airport City, Accra","title-short":"Frontier Urbanization and Affirmative Action in Urban Ghana","URL":"https://etd.ohiolink.edu/acprod/odb_etd/etd/r/1501/10?clear=10&amp;p10_accession_num=miami1595878309570218","author":[{"family":"Korah","given":"Andrews"}],"accessed":{"date-parts":[["2024",2,7]]},"issued":{"date-parts":[["2020"]]}}},{"id":472,"uris":["http://zotero.org/users/8906743/items/EK77KK5Q"],"itemData":{"id":472,"type":"article-journal","container-title":"GeoJournal","DOI":"10.1007/s10708-021-10469-4","ISSN":"0343-2521, 1572-9893","journalAbbreviation":"GeoJournal","language":"en","source":"DOI.org (Crossref)","title":"Regimes of accumulation and the production of the built environment of Cantonments, Accra-Tema City-Region","URL":"https://link.springer.com/10.1007/s10708-021-10469-4","author":[{"family":"Yeboah","given":"Ian E. A."},{"family":"Arku","given":"Godwin"},{"family":"Maingi","given":"John K."}],"accessed":{"date-parts":[["2022",8,23]]},"issued":{"date-parts":[["2021",7,31]]}},"label":"page"}],"schema":"https://github.com/citation-style-language/schema/raw/master/csl-citation.json"}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(Korah, 2020; Yeboah et al., 2021)</w:t>
      </w:r>
      <w:r w:rsidRPr="00103457">
        <w:rPr>
          <w:rFonts w:ascii="Times New Roman" w:hAnsi="Times New Roman"/>
          <w:color w:val="000000"/>
        </w:rPr>
        <w:fldChar w:fldCharType="end"/>
      </w:r>
      <w:r w:rsidRPr="00103457">
        <w:rPr>
          <w:rFonts w:ascii="Times New Roman" w:hAnsi="Times New Roman"/>
          <w:color w:val="000000"/>
        </w:rPr>
        <w:t xml:space="preserve">. Although governments aim to modernize urban landscapes, unregulated land markets and insecure tenure contribute to land dispossession, and emerging development mostly targets the middle- and high-income classes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{"citationID":"W4g2vP5a","properties":{"formattedCitation":"(Gillespie, 2016; Shin, 2016)","plainCitation":"(Gillespie, 2016; Shin, 2016)","noteIndex":0},"citationItems":[{"id":161,"uris":["http://zotero.org/users/8906743/items/4LSMZSTA"],"itemData":{"id":161,"type":"article-journal","container-title":"Transactions of the Institute of British Geographers","DOI":"10.1111/tran.12105","ISSN":"00202754","issue":"1","journalAbbreviation":"Trans Inst Br Geogr","language":"en","page":"66-77","source":"DOI.org (Crossref)","title":"Accumulation by urban dispossession: struggles over urban space in Accra, Ghana","title-short":"Accumulation by urban dispossession","URL":"http://doi.wiley.com/10.1111/tran.12105","volume":"41","author":[{"family":"Gillespie","given":"Tom"}],"accessed":{"date-parts":[["2020",4,12]]},"issued":{"date-parts":[["2016",1]]}}},{"id":349,"uris":["http://zotero.org/users/8906743/items/KX93DKUV"],"itemData":{"id":349,"type":"article-journal","abstract":"Gentrification requires properties to be available for investment through market transactions. In mainland China which has gone through transition from a planned to a market economy, it is necessary to unleash decommodified real estate properties and make them amenable to investment. This entails inhabitants? dispossession to dissociate them from claiming their rights to the properties and to their neighbourhoods. This paper argues that while China?s urban accumulation may have produced new-build gentrification, redevelopment projects have been targeting dilapidated urban spaces that are yet to be fully converted into commodities. This means that dispossession is a precursor to gentrification. Dispossession occurs through both coercion and co-optation, and reflects the path-dependency of China?s socialist legacy. The findings contribute to the debates on contextualising the workings of gentrification in the global South, and highlight the importance of identifying multiple urban processes at work to produce gentrification and speculative urban accumulation.","container-title":"Urban Studies","DOI":"10.1177/0042098015597111","ISSN":"0042-0980","issue":"3","journalAbbreviation":"Urban Studies","note":"publisher: SAGE Publications Ltd","page":"471-489","source":"SAGE Journals","title":"Economic transition and speculative urbanisation in China: Gentrification versus dispossession","title-short":"Economic transition and speculative urbanisation in China","URL":"https://doi.org/10.1177/0042098015597111","volume":"53","author":[{"family":"Shin","given":"Hyun Bang"}],"accessed":{"date-parts":[["2022",8,23]]},"issued":{"date-parts":[["2016",2,1]]}}}],"schema":"https://github.com/citation-style-language/schema/raw/master/csl-citation.json"}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(Gillespie, 2016; Shin, 2016)</w:t>
      </w:r>
      <w:r w:rsidRPr="00103457">
        <w:rPr>
          <w:rFonts w:ascii="Times New Roman" w:hAnsi="Times New Roman"/>
          <w:color w:val="000000"/>
        </w:rPr>
        <w:fldChar w:fldCharType="end"/>
      </w:r>
      <w:r w:rsidRPr="00103457">
        <w:rPr>
          <w:rFonts w:ascii="Times New Roman" w:hAnsi="Times New Roman"/>
          <w:color w:val="000000"/>
        </w:rPr>
        <w:t xml:space="preserve">. Apart from real estate developments (largely for profit), individual developments are increasing, and many new developments are unregulated due to ineffective planning frameworks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{"citationID":"wci35j0r","properties":{"formattedCitation":"(Akeem et al., 2018; Kleemann, Inkoom, et al., 2017)","plainCitation":"(Akeem et al., 2018; Kleemann, Inkoom, et al., 2017)","noteIndex":0},"citationItems":[{"id":763,"uris":["http://zotero.org/users/8906743/items/Q84IC3UK"],"itemData":{"id":763,"type":"article-journal","abstract":"This paper examines the influence of governance in post- colonial Nigeria in the shaping of urban development. It investigates how rapid population and urban growth had severely affected planning development and management in Lagos state. The paper reinforces the argument that weak implementation of planning regulations and the lack of political determination have resulted in the poor implementation of planning standards and laws regulating urban improvement. Planning regulations were partially or not enforced to standard. Examples of areas where there is much neglect are controlled in the building of residential estate, industrial layout, waste management, public health and unchecked building of petrol station within and around the city. Conflicts between town planners and political realities of postcolonial governance are considered, particularly the opposition of the political elites and the urban poor within the city. Above all, the paper traces the historical origins of planning regulations, the primary forces contributing to their intensification in recent years, and the various mechanisms for the implementation of the laws and the attendant challenges experienced over the years since independence.","container-title":"Journal of Globalization Studies","DOI":"10.30884/jogs/2018.01.07","ISSN":"20758103","issue":"1","journalAbbreviation":"jogs","language":"en","page":"91-106","source":"DOI.org (Crossref)","title":"Planning Regulations and Implementation Mechanisms in Postcolonial Lagos","URL":"https://www.sociostudies.org/journal/articles/1643742/","volume":"9","author":[{"family":"Akeem","given":"Oladiti Abiodun"},{"family":"Olutayo","given":"Odunola Olaitan"},{"family":"Theophilus","given":"Alabi Abimbola"}],"accessed":{"date-parts":[["2023",8,23]]},"issued":{"date-parts":[["2018",5]]}}},{"id":544,"uris":["http://zotero.org/users/8906743/items/F8GQXCKI"],"itemData":{"id":544,"type":"article-journal","container-title":"Landscape and Urban Planning","DOI":"10.1016/j.landurbplan.2017.02.004","ISSN":"01692046","journalAbbreviation":"Landscape and Urban Planning","language":"en","page":"280-294","source":"DOI.org (Crossref)","title":"Peri-urban land use pattern and its relation to land use planning in Ghana, West Africa","URL":"https://linkinghub.elsevier.com/retrieve/pii/S0169204617300270","volume":"165","author":[{"family":"Kleemann","given":"Janina"},{"family":"Inkoom","given":"Justice Nana"},{"family":"Thiel","given":"Michael"},{"family":"Shankar","given":"Sangeetha"},{"family":"Lautenbach","given":"Sven"},{"family":"Fürst","given":"Christine"}],"accessed":{"date-parts":[["2022",2,15]]},"issued":{"date-parts":[["2017",9]]}}}],"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rPr>
        <w:t>(Akeem et al., 2018; Kleemann, Inkoom, et al., 2017)</w:t>
      </w:r>
      <w:r w:rsidRPr="00103457">
        <w:rPr>
          <w:rFonts w:ascii="Times New Roman" w:hAnsi="Times New Roman"/>
          <w:color w:val="000000"/>
        </w:rPr>
        <w:fldChar w:fldCharType="end"/>
      </w:r>
      <w:r w:rsidRPr="00103457">
        <w:rPr>
          <w:rFonts w:ascii="Times New Roman" w:hAnsi="Times New Roman"/>
          <w:color w:val="000000"/>
        </w:rPr>
        <w:t xml:space="preserve">. These challenges will likely </w:t>
      </w:r>
      <w:r w:rsidRPr="00103457">
        <w:rPr>
          <w:rFonts w:ascii="Times New Roman" w:hAnsi="Times New Roman"/>
          <w:color w:val="000000"/>
        </w:rPr>
        <w:lastRenderedPageBreak/>
        <w:t>increase in the region as urban populations and the number of cities continue to grow; therefore, it is important to understand the patterns of expansion as a step towards realizing the UN Sustainable Development Goal 11</w:t>
      </w:r>
      <w:r w:rsidR="003C344C">
        <w:rPr>
          <w:rFonts w:ascii="Times New Roman" w:hAnsi="Times New Roman"/>
          <w:color w:val="000000"/>
        </w:rPr>
        <w:t>,</w:t>
      </w:r>
      <w:r w:rsidRPr="00103457">
        <w:rPr>
          <w:rFonts w:ascii="Times New Roman" w:hAnsi="Times New Roman"/>
          <w:color w:val="000000"/>
        </w:rPr>
        <w:t xml:space="preserve"> that seeks to achieve inclusive and resilient societies by 2030. </w:t>
      </w:r>
    </w:p>
    <w:p w14:paraId="101BB74F" w14:textId="77777777" w:rsidR="00D301DA" w:rsidRPr="00103457" w:rsidRDefault="00D301DA" w:rsidP="00D301DA">
      <w:pPr>
        <w:spacing w:line="240" w:lineRule="auto"/>
        <w:ind w:firstLine="360"/>
        <w:rPr>
          <w:rFonts w:ascii="Times New Roman" w:hAnsi="Times New Roman"/>
          <w:color w:val="000000"/>
        </w:rPr>
      </w:pPr>
    </w:p>
    <w:p w14:paraId="55008E98" w14:textId="77777777" w:rsidR="006F7C17" w:rsidRPr="00103457" w:rsidRDefault="006F7C17" w:rsidP="00277F12">
      <w:pPr>
        <w:pStyle w:val="Heading3"/>
        <w:rPr>
          <w:rFonts w:ascii="Times" w:hAnsi="Times"/>
        </w:rPr>
      </w:pPr>
      <w:bookmarkStart w:id="22" w:name="_Toc172288707"/>
      <w:r w:rsidRPr="00103457">
        <w:t>Geospatial analysis of urban network expansion</w:t>
      </w:r>
      <w:bookmarkEnd w:id="22"/>
    </w:p>
    <w:p w14:paraId="116B37CF"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 xml:space="preserve">The growth of cities depends on their sizes as well as their spatial arrangement within the urban system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{"citationID":"BIS0UClO","properties":{"formattedCitation":"(Curiel et al., 2017; Shores et al., 2019)","plainCitation":"(Curiel et al., 2017; Shores et al., 2019)","noteIndex":0},"citationItems":[{"id":402,"uris":["http://zotero.org/users/8906743/items/NK7W42RS",["http://zotero.org/users/8906743/items/NK7W42RS"]],"itemData":{"id":402,"type":"report","abstract":"Over the past 60 years, urbanisation and cities have fundamentally transformed the social, economic and political geography of West Africa. The number of people living in cities increased from 5 million in 1950 to 133 million in 2010. During the same period, the number of towns and cities with more than 10 000 inhabitants grew from 159 to close to 2 000. A large majority of these agglomerations are secondary cities and small towns that act as hubs and catalysts for local and regional production and supply chains, as well as for the transfer of goods, people and information, linking the local and regional economies to the global economy. The intensity of the spatial interactions of cities has strongly increased with population growth, urbanisation and higher urban density. This paper, part of ongoing work within the Sahel and West Africa Club Secretariat to integrate urbanisation and city growth into analyses of major trends in the region, lays the foundation for the development of a systematic method to capture and describe these spatial interactions. It does so by examining four variables: city size, market potential, urbanisation level and local dominance. These variables, in turn, help to define seven different city groups that can be used to classify West African agglomerations. The initial results of this work reveal the diversity and distinctive behaviours of cities in the region, providing a new perspective on urbanisation dynamics and the influence of spatial variables on urban growth rates, the emergence of new agglomerations and the clustering of cities.","genre":"West African Papers","language":"en","note":"collection-title: West African Papers\nvolume: 5\nDOI: 10.1787/57b30601-en","number":"5","source":"DOI.org (Crossref)","title":"Cities and Spatial Interactions in West Africa","URL":"https://www.oecd-ilibrary.org/development/cities-and-spatial-interactions-in-west-africa_57b30601-en","author":[{"family":"Curiel","given":"Rafael Prieto"},{"family":"Heinrigs","given":"Philipp"},{"family":"Heo","given":"Inhoi"}],"accessed":{"date-parts":[["2022",2,4]]},"issued":{"date-parts":[["2017",3,31]]}}},{"id":640,"uris":["http://zotero.org/users/8906743/items/7KX39JC3"],"itemData":{"id":640,"type":"article-journal","abstract":"Introduction: Urbanization and the continued growth of cities, both demographically and spatially, are topics of research studied across a range of disciplines in the urban millennium — a time in history when the majority of people live in cities. However, scholarly research has focused little attention on secondary cities, despite being the most rapidly growing cities in many low-and middle-income countries. Secondary cities, defined by their function rather than population size, are vital nodes for regional commerce and services. As these cities have historically been understudied, they lack geospatial data and the associated analyses important for local planners to understand how to meet current needs and plan for future growth. With this research, openly available geospatial data are evaluated, including both global (i.e., population distribution), local (i.e., municipal data), and data for four service categories (i.e., education, social, health, and food services). This research presents techniques to provide baseline understanding of data needs and accessibility of services in secondary cities with limited geospatial data and expertise.","container-title":"Applied Network Science","DOI":"10.1007/s41109-019-0229-x","ISSN":"2364-8228","issue":"1","journalAbbreviation":"Appl Netw Sci","language":"en","page":"109","source":"DOI.org (Crossref)","title":"Networks of need: a geospatial analysis of secondary cities","title-short":"Networks of need","URL":"https://appliednetsci.springeropen.com/articles/10.1007/s41109-019-0229-x","volume":"4","author":[{"family":"Shores","given":"Amanda"},{"family":"Johnson","given":"Hanna"},{"family":"Fugate","given":"Debbie"},{"family":"Laituri","given":"Melinda"}],"accessed":{"date-parts":[["2021",1,31]]},"issued":{"date-parts":[["2019",12]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(Curiel et al., 2017; Shores et al., 2019)</w:t>
      </w:r>
      <w:r w:rsidRPr="00103457">
        <w:rPr>
          <w:rFonts w:ascii="Times New Roman" w:hAnsi="Times New Roman"/>
          <w:color w:val="000000"/>
        </w:rPr>
        <w:fldChar w:fldCharType="end"/>
      </w:r>
      <w:r w:rsidRPr="00103457">
        <w:rPr>
          <w:rFonts w:ascii="Times New Roman" w:hAnsi="Times New Roman"/>
          <w:color w:val="000000"/>
        </w:rPr>
        <w:t xml:space="preserve">. Gibrat's law, which posits that growth rate is independent of size, has been used as a null model in previous urban expansion studies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{"citationID":"GreBaBJb","properties":{"formattedCitation":"(Egidi et al., 2020; Ning et al., 2022; Zhao et al., 2015)","plainCitation":"(Egidi et al., 2020; Ning et al., 2022; Zhao et al., 2015)","noteIndex":0},"citationItems":[{"id":622,"uris":["http://zotero.org/users/8906743/items/32V3GUAA"],"itemData":{"id":622,"type":"article-journal","abstract":"A comparative investigation of population growth gives accurate information on urban transformations at local and regional scales. A comprehensive understanding of future trends in global urbanization may beneﬁt from a long-term analysis of city size, a key variable inﬂuencing population growth. Taken as a dynamic feature of urban systems, the relationship between city size and population growth was investigated in 1857 agglomerations (&gt; 300,000 inhabitants in 2014) of 155 countries across the globe between 1950 and 2030. Despite important regional diﬀerences, an inverse relationship between population growth and city size was observed up to the late 1990s. Slowdown of population growth during more recent decades and higher spatial heterogeneity in population trends may reﬂect a transition from high to low fertility, ageing and spatially diversiﬁed migration patterns. Present (and future) population trends in urban agglomerations (will) overlap only partly with those observed in the past, being more unpredictable over time and space. Analysis of changes in the relationship between city size and population growth deﬁnitely contributes in the debate about the future development of urban agglomerations worldwide.","container-title":"Sustainable Cities and Society","DOI":"10.1016/j.scs.2020.102148","ISSN":"22106707","journalAbbreviation":"Sustainable Cities and Society","language":"en","page":"102148","source":"DOI.org (Crossref)","title":"The long way to tipperary: City size and worldwide urban population trends, 1950–2030","title-short":"The long way to tipperary","URL":"https://linkinghub.elsevier.com/retrieve/pii/S2210670720301359","volume":"60","author":[{"family":"Egidi","given":"Gianluca"},{"family":"Salvati","given":"Luca"},{"family":"Vinci","given":"Sabato"}],"accessed":{"date-parts":[["2023",3,11]]},"issued":{"date-parts":[["2020",9]]}}},{"id":650,"uris":["http://zotero.org/users/8906743/items/76L9UXXR"],"itemData":{"id":650,"type":"article-journal","abstract":"It is undeniable that the process of urbanization in China is a massive phenomenon of scale and speed in hu­ manity history. The relentless march of urbanization poses a critical challenge for creating a comprehensive analysis of the integrated characteristics of contemporary cities. Here, we integrated 30 m continuous and consistent human settlement areas to quantify spatiotemporal dynamics of urban development in 344 prefectural-level cities of China from 1987 to 2017 via Gibrat's law. Results indicated that China had experienced a rapid urbanization process during the past three decades with annual expansion and annual growth rates of 3877.93 km2 and 5.84%, respectively. A key finding was that city growth rate was inversely proportional to initial city size, therefore contradicting Gibrat's law, whose performance was relevant to shifts in urbanization policies. Furthermore, results also highlighted interregional disparities between the southwest and northwest and other regions, as well as intra-regional differences within geographical, urban sizes, and administrative levels. Exploring the validity of Gibrat's law involving the links between city size and growth rate in China deepens our theoretical insights and, more importantly, will make policymakers aware of the need to adopt a holistic approach by considering the uneven nature of urbanization toward better sustainability.","container-title":"Cities","DOI":"10.1016/j.cities.2022.103717","ISSN":"02642751","journalAbbreviation":"Cities","language":"en","page":"103717","source":"DOI.org (Crossref)","title":"Urban growth rates, trajectories, and multi-dimensional disparities in China","URL":"https://linkinghub.elsevier.com/retrieve/pii/S0264275122001561","volume":"126","author":[{"family":"Ning","given":"Ying"},{"family":"Liu","given":"Shuguang"},{"family":"Zhao","given":"Shuqing"},{"family":"Liu","given":"Maochou"},{"family":"Gao","given":"Haiqiang"},{"family":"Gong","given":"Peng"}],"accessed":{"date-parts":[["2023",3,11]]},"issued":{"date-parts":[["2022",7]]}},"label":"page"},{"id":63,"uris":["http://zotero.org/users/8906743/items/W3WHFFLD","http://zotero.org/users/8906743/items/RMWWQIGN"],"itemData":{"id":63,"type":"article-journal","abstract":"The scale of urbanization in China during the past three decades is unprecedented in human history, and the processes are poorly understood. Here we present an eﬀort to map the urban land expansion processes of 32 major cities in China from 1978 to 2010 using Landsat satellite data to understand the temporal and spatial characteristics. Results showed that the urban extent of the 32 cities expanded exponentially with very high annual rates varying from 3.2% to 12.8%. Temporal ﬂuctuation in urban expansion rates in these 32 cities was obvious, with unexpected and alarming expansion rates from 2005 to 2010 that drastically exceeded their expectation, which was calculated from the long-term trend between 1978 and 2005, by 45%. Overall, we found that the growth rates of cities during the entire study period were inversely related to city size, contradicting the theory or Gibrat’s law, which states that the growth rate is independent of city size. More detailed analysis indicated that city growth in China has transitioned from contradicting to conforming to Gibrat’s law since 1995. Our study suggests that the urban expansion theory (i.e., Gibrat’s law) does not ﬁt Chinese expansion consistently over time, and the exact causes are unknown. Exploring the causes in future research will improve our understanding of the theory and, more importantly, understand the feasibility of the theoretical relationship between city size and expansion rate in guiding contemporary urban expansion planning.","container-title":"Environmental Science &amp; Technology","DOI":"10.1021/acs.est.5b00065","ISSN":"0013-936X, 1520-5851","issue":"16","journalAbbreviation":"Environ. Sci. Technol.","language":"en","page":"9600-9609","source":"DOI.org (Crossref)","title":"Spatial and Temporal Dimensions of Urban Expansion in China","URL":"https://pubs.acs.org/doi/10.1021/acs.est.5b00065","volume":"49","author":[{"family":"Zhao","given":"Shuqing"},{"family":"Zhou","given":"Decheng"},{"family":"Zhu","given":"Chao"},{"family":"Sun","given":"Yan"},{"family":"Wu","given":"Wenjia"},{"family":"Liu","given":"Shuguang"}],"accessed":{"date-parts":[["2023",3,11]]},"issued":{"date-parts":[["2015",8,18]]}}}],"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(Egidi et al., 2020; Ning et al., 2022; Zhao et al., 2015)</w:t>
      </w:r>
      <w:r w:rsidRPr="00103457">
        <w:rPr>
          <w:rFonts w:ascii="Times New Roman" w:hAnsi="Times New Roman"/>
          <w:color w:val="000000"/>
        </w:rPr>
        <w:fldChar w:fldCharType="end"/>
      </w:r>
      <w:r w:rsidRPr="00103457">
        <w:rPr>
          <w:rFonts w:ascii="Times New Roman" w:hAnsi="Times New Roman"/>
          <w:color w:val="000000"/>
        </w:rPr>
        <w:t xml:space="preserve">. Some studies found that cities with large populations had higher urban expansion rates due to their increased national, regional, and global interconnections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{"citationID":"UFn0qxI5","properties":{"formattedCitation":"(Glaeser &amp; Shapiro, 2003; Xu et al., 2019)","plainCitation":"(Glaeser &amp; Shapiro, 2003; Xu et al., 2019)","noteIndex":0},"citationItems":[{"id":757,"uris":["http://zotero.org/users/8906743/items/NSSWDTQM"],"itemData":{"id":757,"type":"article-journal","container-title":"Journal of Regional Science","issue":"1","page":"139-165","title":"Urban growth in the 1990s: Is city living back?","title-short":"Urban growth in the 1990s","volume":"43","author":[{"family":"Glaeser","given":"Edward L."},{"family":"Shapiro","given":"Jesse M."}],"issued":{"date-parts":[["2003"]]}}},{"id":60,"uris":["http://zotero.org/users/8906743/items/GN2WL2FH"],"itemData":{"id":60,"type":"article-journal","abstract":"Africa has been experiencing rapid urbanization, yet limited studies have systematically investigated urban growth dynamics across African cities. Using 25 cities as cases, we quantiﬁed urban growth and form changes in Africa via spatiotemporal analysis of urban land densities in concentric rings over three time points (1990, 2000, and 2014). The results show that African cities have rapidly grown both in population and built-up areas, which increased by about 4% and more than 5% per annum, respectively. Urban land density (deﬁned as the proportion of the built-up area to the buildable area) in each concentric ring decreases from the city center to the urban periphery with diverse patterns among cities. Comparatively, small cities have a lower urban land density and a more dispersed urban form than medium-sized and large cities in Africa. The international comparisons between cities with over one million population in Africa, Asia (e.g., China and India), Europe, and North America (i.e., the United States) reveal that African cities have a relatively less compact urban form. Implications of these ﬁndings for the future of African cities are further proffered.","container-title":"Journal of Cleaner Production","DOI":"10.1016/j.jclepro.2019.03.276","ISSN":"09596526","journalAbbreviation":"Journal of Cleaner Production","language":"en","page":"802-810","source":"DOI.org (Crossref)","title":"Urban expansion and form changes across African cities with a global outlook: Spatiotemporal analysis of urban land densities","title-short":"Urban expansion and form changes across African cities with a global outlook","URL":"https://linkinghub.elsevier.com/retrieve/pii/S0959652619309862","volume":"224","author":[{"family":"Xu","given":"Gang"},{"family":"Dong","given":"Ting"},{"family":"Cobbinah","given":"Patrick Brandful"},{"family":"Jiao","given":"Limin"},{"family":"Sumari","given":"Neema S."},{"family":"Chai","given":"Baohui"},{"family":"Liu","given":"Yaolin"}],"accessed":{"date-parts":[["2020",4,12]]},"issued":{"date-parts":[["2019",7]]}}}],"schema":"https://github.com/citation-style-language/schema/raw/master/csl-citation.json"}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(Glaeser &amp; Shapiro, 2003; Xu et al., 2019)</w:t>
      </w:r>
      <w:r w:rsidRPr="00103457">
        <w:rPr>
          <w:rFonts w:ascii="Times New Roman" w:hAnsi="Times New Roman"/>
          <w:color w:val="000000"/>
        </w:rPr>
        <w:fldChar w:fldCharType="end"/>
      </w:r>
      <w:r w:rsidRPr="00103457">
        <w:rPr>
          <w:rFonts w:ascii="Times New Roman" w:hAnsi="Times New Roman"/>
          <w:color w:val="000000"/>
        </w:rPr>
        <w:t xml:space="preserve">. Other studies found that less populated cities expanded more rapidly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{"citationID":"Ik8lfgxB","properties":{"formattedCitation":"(G\\uc0\\u252{}neralp et al., 2020; Zhao et al., 2015)","plainCitation":"(Güneralp et al., 2020; Zhao et al., 2015)","noteIndex":0},"citationItems":[{"id":624,"uris":["http://zotero.org/users/8906743/items/RYJ3GWJE"],"itemData":{"id":624,"type":"article-journal","abstract":"Abstract\n            \n              The physical expansion of urban areas lead to lasting impacts on landscapes and livelihoods. Here, we conduct a global synthesis of trends in urban land expansion, in urban population densities, and lands converted into urban from 1970 to 2010. We find that small-medium urban areas lead their larger counterparts in both rates of urban land expansion and decreases in urban population densities. Urban population densities have consistently declined only in India, China, North America, and Europe with significant exceptions across city sizes. Over 60% of the reported urban expansion was formerly agricultural land with China, Southeast Asia, and Europe in the lead. Counterfactual analysis suggests that, due to the decrease in urban population densities, an estimated 125 000 km\n              2\n              land was converted to urban land uses that could have otherwise remained in cultivation or as natural vegetation. In particular, in India and Nigeria, with much of their populations dependent on agriculture,  85% and 30% more land, respectively, was converted to urban land due to decreasing urban population densities. With increasing urbanization, proactive management of urban land expansion, especially in small and medium cities, will be critical for saving agricultural lands in peri-urban regions while creating equitable and affordable urban landscapes.","container-title":"Environmental Research Letters","DOI":"10.1088/1748-9326/ab6669","ISSN":"1748-9326","issue":"4","journalAbbreviation":"Environ. Res. Lett.","language":"en","page":"044015","source":"DOI.org (Crossref)","title":"Trends in urban land expansion, density, and land transitions from 1970 to 2010: a global synthesis","title-short":"Trends in urban land expansion, density, and land transitions from 1970 to 2010","URL":"https://iopscience.iop.org/article/10.1088/1748-9326/ab6669","volume":"15","author":[{"family":"Güneralp","given":"Burak"},{"family":"Reba","given":"Meredith"},{"family":"Hales","given":"Billy U"},{"family":"Wentz","given":"Elizabeth A"},{"family":"Seto","given":"Karen C"}],"accessed":{"date-parts":[["2023",3,11]]},"issued":{"date-parts":[["2020",4,1]]}},"label":"page"},{"id":63,"uris":["http://zotero.org/users/8906743/items/W3WHFFLD","http://zotero.org/users/8906743/items/RMWWQIGN"],"itemData":{"id":63,"type":"article-journal","abstract":"The scale of urbanization in China during the past three decades is unprecedented in human history, and the processes are poorly understood. Here we present an eﬀort to map the urban land expansion processes of 32 major cities in China from 1978 to 2010 using Landsat satellite data to understand the temporal and spatial characteristics. Results showed that the urban extent of the 32 cities expanded exponentially with very high annual rates varying from 3.2% to 12.8%. Temporal ﬂuctuation in urban expansion rates in these 32 cities was obvious, with unexpected and alarming expansion rates from 2005 to 2010 that drastically exceeded their expectation, which was calculated from the long-term trend between 1978 and 2005, by 45%. Overall, we found that the growth rates of cities during the entire study period were inversely related to city size, contradicting the theory or Gibrat’s law, which states that the growth rate is independent of city size. More detailed analysis indicated that city growth in China has transitioned from contradicting to conforming to Gibrat’s law since 1995. Our study suggests that the urban expansion theory (i.e., Gibrat’s law) does not ﬁt Chinese expansion consistently over time, and the exact causes are unknown. Exploring the causes in future research will improve our understanding of the theory and, more importantly, understand the feasibility of the theoretical relationship between city size and expansion rate in guiding contemporary urban expansion planning.","container-title":"Environmental Science &amp; Technology","DOI":"10.1021/acs.est.5b00065","ISSN":"0013-936X, 1520-5851","issue":"16","journalAbbreviation":"Environ. Sci. Technol.","language":"en","page":"9600-9609","source":"DOI.org (Crossref)","title":"Spatial and Temporal Dimensions of Urban Expansion in China","URL":"https://pubs.acs.org/doi/10.1021/acs.est.5b00065","volume":"49","author":[{"family":"Zhao","given":"Shuqing"},{"family":"Zhou","given":"Decheng"},{"family":"Zhu","given":"Chao"},{"family":"Sun","given":"Yan"},{"family":"Wu","given":"Wenjia"},{"family":"Liu","given":"Shuguang"}],"accessed":{"date-parts":[["2023",3,11]]},"issued":{"date-parts":[["2015",8,18]]}}}],"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(Güneralp et al., 2020; Zhao et al., 2015)</w:t>
      </w:r>
      <w:r w:rsidRPr="00103457">
        <w:rPr>
          <w:rFonts w:ascii="Times New Roman" w:hAnsi="Times New Roman"/>
          <w:color w:val="000000"/>
        </w:rPr>
        <w:fldChar w:fldCharType="end"/>
      </w:r>
      <w:r w:rsidRPr="00103457">
        <w:rPr>
          <w:rFonts w:ascii="Times New Roman" w:hAnsi="Times New Roman"/>
          <w:color w:val="000000"/>
        </w:rPr>
        <w:t xml:space="preserve"> or that there were no differences in expansion rates across different-sized cities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{"citationID":"kzBROGnd","properties":{"formattedCitation":"(Kourtit &amp; Nijkamp, 2013)","plainCitation":"(Kourtit &amp; Nijkamp, 2013)","noteIndex":0},"citationItems":[{"id":756,"uris":["http://zotero.org/users/8906743/items/47PZT6S9"],"itemData":{"id":756,"type":"article-journal","abstract":"This paper argues that in the historical evolution of cities, large-scale urbanization is not only a fact, but a necessary outcome of the forces of globalization and competition. The current trend towards large cities and megacities in a complex global urban system, operating and interacting at a local to global multi-layer scale, is inevitable. However, their dynamics is as yet a poorly understood phenomenon that deserves full-scale policy action and research attention in our highly diversiﬁed space-economy.","container-title":"Regional Science Policy &amp; Practice","DOI":"10.1111/rsp3.12002","ISSN":"17577802","issue":"2","journalAbbreviation":"Regional Science Policy &amp; Practice","language":"en","page":"167-182","source":"DOI.org (Crossref)","title":"In praise of megacities in a global world: In praise of megacities in a global world","title-short":"In praise of megacities in a global world","URL":"https://onlinelibrary.wiley.com/doi/10.1111/rsp3.12002","volume":"5","author":[{"family":"Kourtit","given":"Karima"},{"family":"Nijkamp","given":"Peter"}],"accessed":{"date-parts":[["2023",8,23]]},"issued":{"date-parts":[["2013",6]]}}}],"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(Kourtit &amp; Nijkamp, 2013)</w:t>
      </w:r>
      <w:r w:rsidRPr="00103457">
        <w:rPr>
          <w:rFonts w:ascii="Times New Roman" w:hAnsi="Times New Roman"/>
          <w:color w:val="000000"/>
        </w:rPr>
        <w:fldChar w:fldCharType="end"/>
      </w:r>
      <w:r w:rsidRPr="00103457">
        <w:rPr>
          <w:rFonts w:ascii="Times New Roman" w:hAnsi="Times New Roman"/>
          <w:color w:val="000000"/>
        </w:rPr>
        <w:t>. Analyses of the relationships between city size and expansion rates are often based on population, although</w:t>
      </w:r>
      <w:r w:rsidRPr="00103457" w:rsidDel="00BA0C1E">
        <w:rPr>
          <w:rFonts w:ascii="Times New Roman" w:hAnsi="Times New Roman"/>
          <w:color w:val="000000"/>
        </w:rPr>
        <w:fldChar w:fldCharType="begin"/>
      </w:r>
      <w:r w:rsidRPr="00103457" w:rsidDel="00BA0C1E">
        <w:rPr>
          <w:rFonts w:ascii="Times New Roman" w:hAnsi="Times New Roman"/>
          <w:color w:val="000000"/>
        </w:rPr>
        <w:fldChar w:fldCharType="separate"/>
      </w:r>
      <w:r w:rsidRPr="00103457" w:rsidDel="00BA0C1E">
        <w:rPr>
          <w:rFonts w:ascii="Times New Roman" w:hAnsi="Times New Roman"/>
          <w:color w:val="000000"/>
        </w:rPr>
        <w:t>(e.g., Egidi et al., 2020)</w:t>
      </w:r>
      <w:r w:rsidRPr="00103457" w:rsidDel="00BA0C1E">
        <w:rPr>
          <w:rFonts w:ascii="Times New Roman" w:hAnsi="Times New Roman"/>
          <w:color w:val="000000"/>
        </w:rPr>
        <w:fldChar w:fldCharType="end"/>
      </w:r>
      <w:r w:rsidRPr="00103457">
        <w:rPr>
          <w:rFonts w:ascii="Times New Roman" w:hAnsi="Times New Roman"/>
          <w:color w:val="000000"/>
        </w:rPr>
        <w:t xml:space="preserve"> a few studies in China have used urban developed area as a measure of city size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{"citationID":"btv3rGZ6","properties":{"formattedCitation":"(Jia et al., 2020; Ning et al., 2022; Zhao et al., 2015)","plainCitation":"(Jia et al., 2020; Ning et al., 2022; Zhao et al., 2015)","noteIndex":0},"citationItems":[{"id":561,"uris":["http://zotero.org/users/8906743/items/CJF7ZDNH"],"itemData":{"id":561,"type":"article-journal","abstract":"Public policies play a vital role in shaping our cities. However, the impact of public policies on the spatial expansion of urban areas needs to be better understood in order to achieve better policy outcomes. During the period of China’s economic reform, the central government of China has made many changes in three sets of public policies—regional development policies, the household registration (hukou) system, and urban land and housing market policies—to promote coordinated development of small, medium and large cities. This study aims to examine the effects of these public policy changes on urban expansion across 265 Chinese cities at or above prefecture level. We first quantify the spatial patterns of urban areas and evaluate the extent of urban sprawl of the 265 cities from 1995 to 2015 using multi-temporal land cover data. These cities are classified into six categories according to a city tier system used in China. Through a set of individual fixed-effects models, we then explore how changes in the three sets of policies have influenced urban expansion differently across different-tier cities. Results show that sprawling patterns of urban expansion, which have been more prominent in small and medium sized cities since 2000, are associated with shifts in policies to support stronger economic and population growth as well as real estate development. Our findings highlight the need for policymakers to take a holistic approach by considering the size of cities together with their social, environmental, and economic characteristics in order to minimise inequality and achieve coordinated urban development goals.","container-title":"Land Use Policy","DOI":"10.1016/j.landusepol.2020.104754","ISSN":"02648377","journalAbbreviation":"Land Use Policy","language":"en","page":"104754","source":"DOI.org (Crossref)","title":"Public policy change and its impact on urban expansion: An evaluation of 265 cities in China","title-short":"Public policy change and its impact on urban expansion","URL":"https://linkinghub.elsevier.com/retrieve/pii/S026483772030079X","volume":"97","author":[{"family":"Jia","given":"Mengyuan"},{"family":"Liu","given":"Yan"},{"family":"Lieske","given":"Scott N."},{"family":"Chen","given":"Tian"}],"accessed":{"date-parts":[["2024",1,23]]},"issued":{"date-parts":[["2020",9]]}}},{"id":650,"uris":["http://zotero.org/users/8906743/items/76L9UXXR"],"itemData":{"id":650,"type":"article-journal","abstract":"It is undeniable that the process of urbanization in China is a massive phenomenon of scale and speed in hu­ manity history. The relentless march of urbanization poses a critical challenge for creating a comprehensive analysis of the integrated characteristics of contemporary cities. Here, we integrated 30 m continuous and consistent human settlement areas to quantify spatiotemporal dynamics of urban development in 344 prefectural-level cities of China from 1987 to 2017 via Gibrat's law. Results indicated that China had experienced a rapid urbanization process during the past three decades with annual expansion and annual growth rates of 3877.93 km2 and 5.84%, respectively. A key finding was that city growth rate was inversely proportional to initial city size, therefore contradicting Gibrat's law, whose performance was relevant to shifts in urbanization policies. Furthermore, results also highlighted interregional disparities between the southwest and northwest and other regions, as well as intra-regional differences within geographical, urban sizes, and administrative levels. Exploring the validity of Gibrat's law involving the links between city size and growth rate in China deepens our theoretical insights and, more importantly, will make policymakers aware of the need to adopt a holistic approach by considering the uneven nature of urbanization toward better sustainability.","container-title":"Cities","DOI":"10.1016/j.cities.2022.103717","ISSN":"02642751","journalAbbreviation":"Cities","language":"en","page":"103717","source":"DOI.org (Crossref)","title":"Urban growth rates, trajectories, and multi-dimensional disparities in China","URL":"https://linkinghub.elsevier.com/retrieve/pii/S0264275122001561","volume":"126","author":[{"family":"Ning","given":"Ying"},{"family":"Liu","given":"Shuguang"},{"family":"Zhao","given":"Shuqing"},{"family":"Liu","given":"Maochou"},{"family":"Gao","given":"Haiqiang"},{"family":"Gong","given":"Peng"}],"accessed":{"date-parts":[["2023",3,11]]},"issued":{"date-parts":[["2022",7]]}},"label":"page"},{"id":63,"uris":["http://zotero.org/users/8906743/items/W3WHFFLD","http://zotero.org/users/8906743/items/RMWWQIGN"],"itemData":{"id":63,"type":"article-journal","abstract":"The scale of urbanization in China during the past three decades is unprecedented in human history, and the processes are poorly understood. Here we present an eﬀort to map the urban land expansion processes of 32 major cities in China from 1978 to 2010 using Landsat satellite data to understand the temporal and spatial characteristics. Results showed that the urban extent of the 32 cities expanded exponentially with very high annual rates varying from 3.2% to 12.8%. Temporal ﬂuctuation in urban expansion rates in these 32 cities was obvious, with unexpected and alarming expansion rates from 2005 to 2010 that drastically exceeded their expectation, which was calculated from the long-term trend between 1978 and 2005, by 45%. Overall, we found that the growth rates of cities during the entire study period were inversely related to city size, contradicting the theory or Gibrat’s law, which states that the growth rate is independent of city size. More detailed analysis indicated that city growth in China has transitioned from contradicting to conforming to Gibrat’s law since 1995. Our study suggests that the urban expansion theory (i.e., Gibrat’s law) does not ﬁt Chinese expansion consistently over time, and the exact causes are unknown. Exploring the causes in future research will improve our understanding of the theory and, more importantly, understand the feasibility of the theoretical relationship between city size and expansion rate in guiding contemporary urban expansion planning.","container-title":"Environmental Science &amp; Technology","DOI":"10.1021/acs.est.5b00065","ISSN":"0013-936X, 1520-5851","issue":"16","journalAbbreviation":"Environ. Sci. Technol.","language":"en","page":"9600-9609","source":"DOI.org (Crossref)","title":"Spatial and Temporal Dimensions of Urban Expansion in China","URL":"https://pubs.acs.org/doi/10.1021/acs.est.5b00065","volume":"49","author":[{"family":"Zhao","given":"Shuqing"},{"family":"Zhou","given":"Decheng"},{"family":"Zhu","given":"Chao"},{"family":"Sun","given":"Yan"},{"family":"Wu","given":"Wenjia"},{"family":"Liu","given":"Shuguang"}],"accessed":{"date-parts":[["2023",3,11]]},"issued":{"date-parts":[["2015",8,18]]}}}],"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(Jia et al., 2020; Ning et al., 2022; Zhao et al., 2015)</w:t>
      </w:r>
      <w:r w:rsidRPr="00103457">
        <w:rPr>
          <w:rFonts w:ascii="Times New Roman" w:hAnsi="Times New Roman"/>
          <w:color w:val="000000"/>
        </w:rPr>
        <w:fldChar w:fldCharType="end"/>
      </w:r>
      <w:r w:rsidRPr="00103457">
        <w:rPr>
          <w:rFonts w:ascii="Times New Roman" w:hAnsi="Times New Roman"/>
          <w:color w:val="000000"/>
        </w:rPr>
        <w:t xml:space="preserve">, In addition to city size, the pattern of the urban network also affects urban expansion. Large cities with populations over 1 million are regional and global centers of investment with more health, educational, and economic opportunities than smaller cities. These attractors influence the expansion rates of primary cities and secondary cities located nearby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{"citationID":"sjldjhkJ","properties":{"formattedCitation":"(Curiel et al., 2017; Zimmer et al., 2020)","plainCitation":"(Curiel et al., 2017; Zimmer et al., 2020)","noteIndex":0},"citationItems":[{"id":402,"uris":["http://zotero.org/users/8906743/items/NK7W42RS",["http://zotero.org/users/8906743/items/NK7W42RS"]],"itemData":{"id":402,"type":"report","abstract":"Over the past 60 years, urbanisation and cities have fundamentally transformed the social, economic and political geography of West Africa. The number of people living in cities increased from 5 million in 1950 to 133 million in 2010. During the same period, the number of towns and cities with more than 10 000 inhabitants grew from 159 to close to 2 000. A large majority of these agglomerations are secondary cities and small towns that act as hubs and catalysts for local and regional production and supply chains, as well as for the transfer of goods, people and information, linking the local and regional economies to the global economy. The intensity of the spatial interactions of cities has strongly increased with population growth, urbanisation and higher urban density. This paper, part of ongoing work within the Sahel and West Africa Club Secretariat to integrate urbanisation and city growth into analyses of major trends in the region, lays the foundation for the development of a systematic method to capture and describe these spatial interactions. It does so by examining four variables: city size, market potential, urbanisation level and local dominance. These variables, in turn, help to define seven different city groups that can be used to classify West African agglomerations. The initial results of this work reveal the diversity and distinctive behaviours of cities in the region, providing a new perspective on urbanisation dynamics and the influence of spatial variables on urban growth rates, the emergence of new agglomerations and the clustering of cities.","genre":"West African Papers","language":"en","note":"collection-title: West African Papers\nvolume: 5\nDOI: 10.1787/57b30601-en","number":"5","source":"DOI.org (Crossref)","title":"Cities and Spatial Interactions in West Africa","URL":"https://www.oecd-ilibrary.org/development/cities-and-spatial-interactions-in-west-africa_57b30601-en","author":[{"family":"Curiel","given":"Rafael Prieto"},{"family":"Heinrigs","given":"Philipp"},{"family":"Heo","given":"Inhoi"}],"accessed":{"date-parts":[["2022",2,4]]},"issued":{"date-parts":[["2017",3,31]]}}},{"id":55,"uris":["http://zotero.org/users/8906743/items/B73BWZCU"],"itemData":{"id":55,"type":"article-journal","abstract":"Objectives We document the spatial distribution and temporal patterns of SUA’s in eight countries across Southern Africa between 1975 and 2015. We further explore the relationships between SUA’s growth rates and climate, land use and geographic proximity to other urban areas.\nMethods Our analysis integrates spatially explicit gridded population, land use, infrastructure and climate datasets. We use descriptive statistics and spatial lag and ordinary least squares regression models to quantify SUA growth rates across three periods and explore factors that are associated with the SUA growth patterns.\nResults Average SUA growth rates are 2.44% between 1975 and 1990. We show that the climate, distance and land use signiﬁcantly relate to urbanization trajectories. In addition, we ﬁnd that the proximity of SUA to the largest cities also signiﬁcantly relates to urban growth.\nConclusions Our results highlight the importance of SUA’s within broader African urbanization trends. SUA are undergoing rapid population changes and are important components of economic development processes and livelihoods. Quantifying patterns of SUA urbanization is important for elevating these small but critically important urban areas into the broader context of sustainable urbanization in Africa.","container-title":"Landscape Ecology","DOI":"10.1007/s10980-020-01086-6","ISSN":"0921-2973, 1572-9761","issue":"11","journalAbbreviation":"Landscape Ecol","language":"en","page":"2501-2516","source":"DOI.org (Crossref)","title":"Dynamics of population growth in secondary cities across southern Africa","URL":"http://link.springer.com/10.1007/s10980-020-01086-6","volume":"35","author":[{"family":"Zimmer","given":"Andrew"},{"family":"Guido","given":"Zack"},{"family":"Tuholske","given":"Cascade"},{"family":"Pakalniskis","given":"Alex"},{"family":"Lopus","given":"Sara"},{"family":"Caylor","given":"Kelly"},{"family":"Evans","given":"Tom"}],"accessed":{"date-parts":[["2021",1,31]]},"issued":{"date-parts":[["2020",11]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(Curiel et al., 2017; Zimmer et al., 2020)</w:t>
      </w:r>
      <w:r w:rsidRPr="00103457">
        <w:rPr>
          <w:rFonts w:ascii="Times New Roman" w:hAnsi="Times New Roman"/>
          <w:color w:val="000000"/>
        </w:rPr>
        <w:fldChar w:fldCharType="end"/>
      </w:r>
      <w:r w:rsidRPr="00103457">
        <w:rPr>
          <w:rFonts w:ascii="Times New Roman" w:hAnsi="Times New Roman"/>
          <w:color w:val="000000"/>
        </w:rPr>
        <w:t xml:space="preserve">. Therefore, analyzing the effects of city size and characteristics of nearby cities on urban expansion is essential for understanding historical changes and projecting future urban expansion across national and regional urban systems. To date, no such comprehensive analysis of urban change exists in Africa. </w:t>
      </w:r>
    </w:p>
    <w:p w14:paraId="5948CAD4" w14:textId="6941673A" w:rsidR="00103457" w:rsidRDefault="00103457" w:rsidP="00103457">
      <w:pPr>
        <w:ind w:firstLine="360"/>
        <w:rPr>
          <w:rFonts w:ascii="Times New Roman" w:hAnsi="Times New Roman"/>
          <w:color w:val="000000"/>
        </w:rPr>
      </w:pPr>
      <w:r w:rsidRPr="00103457">
        <w:rPr>
          <w:rFonts w:ascii="Times New Roman" w:hAnsi="Times New Roman"/>
          <w:color w:val="000000"/>
        </w:rPr>
        <w:lastRenderedPageBreak/>
        <w:t xml:space="preserve">Satellite-based urban land cover products such as the Global Human Settlement Layers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{"citationID":"ZDOUqEZm","properties":{"formattedCitation":"(Pesaresi et al., 2015)","plainCitation":"(Pesaresi et al., 2015)","noteIndex":0},"citationItems":[{"id":701,"uris":["http://zotero.org/users/8906743/items/H2YA38NF"],"itemData":{"id":701,"type":"article-journal","language":"en","note":"publisher: European Commission, Joint Research Centre (JRC)","source":"data.jrc.ec.europa.eu","title":"GHS-BUILT R2015B - GHS built-up grid, derived from Landsat, multitemporal (1975, 1990, 2000, 2014) - OBSOLETE RELEASE","URL":"http://data.europa.eu/89h/jrc-ghsl-ghs_built_ldsmt_globe_r2015b","author":[{"family":"Pesaresi","given":"Martino"},{"family":"Ehrlich","given":"Daniele"},{"family":"Florczyk","given":"Aneta"},{"family":"Freire","given":"Sergio"},{"family":"Julea","given":"Andreea"},{"family":"Kemper","given":"Thomas"},{"family":"Soille","given":"Pierre"},{"family":"Syrris","given":"Vasileios"}],"accessed":{"date-parts":[["2023",9,13]]},"issued":{"date-parts":[["2015",1,12]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(Pesaresi et al., 2015)</w:t>
      </w:r>
      <w:r w:rsidRPr="00103457">
        <w:rPr>
          <w:rFonts w:ascii="Times New Roman" w:hAnsi="Times New Roman"/>
          <w:color w:val="000000"/>
        </w:rPr>
        <w:fldChar w:fldCharType="end"/>
      </w:r>
      <w:r w:rsidRPr="00103457">
        <w:rPr>
          <w:rFonts w:ascii="Times New Roman" w:hAnsi="Times New Roman"/>
          <w:color w:val="000000"/>
        </w:rPr>
        <w:t xml:space="preserve">, Global Human Built-up and Settlement Extent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{"citationID":"bVToqKlz","properties":{"formattedCitation":"(Wang et al., 2017)","plainCitation":"(Wang et al., 2017)","noteIndex":0},"citationItems":[{"id":393,"uris":["http://zotero.org/users/8906743/items/WDDYTK4S"],"itemData":{"id":393,"type":"document","publisher":"NASA Socioeconomic Data and Applications Center (SEDAC)","title":"Global Human Built-up And Settlement Extent (HBASE) Dataset From Landsat","URL":"https://doi.org/10.7927/H4DN434S","author":[{"family":"Wang","given":"P"},{"family":"Huang","given":"C"},{"family":"Brown de Colstoun","given":"E. C"},{"family":"Tilton","given":"J. C"},{"family":"Tan","given":"B"}],"issued":{"date-parts":[["2017"]]}}}],"schema":"https://github.com/citation-style-language/schema/raw/master/csl-citation.json"}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(Wang et al., 2017)</w:t>
      </w:r>
      <w:r w:rsidRPr="00103457">
        <w:rPr>
          <w:rFonts w:ascii="Times New Roman" w:hAnsi="Times New Roman"/>
          <w:color w:val="000000"/>
        </w:rPr>
        <w:fldChar w:fldCharType="end"/>
      </w:r>
      <w:r w:rsidRPr="00103457">
        <w:rPr>
          <w:rFonts w:ascii="Times New Roman" w:hAnsi="Times New Roman"/>
          <w:color w:val="000000"/>
        </w:rPr>
        <w:t xml:space="preserve">, Global Man-Made Impervious Surface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{"citationID":"CYNmo5QA","properties":{"formattedCitation":"(Brown de Colstoun et al., 2017)","plainCitation":"(Brown de Colstoun et al., 2017)","noteIndex":0},"citationItems":[{"id":394,"uris":["http://zotero.org/users/8906743/items/TWZUD9QB"],"itemData":{"id":394,"type":"document","publisher":"NASA Socioeconomic Data and Applications Center (SEDAC)","title":"Global Man-made Impervious Surface (GMIS) Dataset From Landsat","URL":"https://doi.org/10.7927/H4P55KKF","author":[{"family":"Brown de Colstoun","given":"E. C."},{"family":"Huang","given":"C"},{"family":"Wang","given":"P"},{"family":"Tilton","given":"J. C"},{"family":"Tan","given":"B"},{"family":"Phillips","given":"J"},{"family":"Niemczura","given":"S"},{"family":"Ling","given":"P.-Y"},{"family":"Wolfe","given":"R. E."}],"issued":{"date-parts":[["2017"]]}}}],"schema":"https://github.com/citation-style-language/schema/raw/master/csl-citation.json"}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(Brown de Colstoun et al., 2017)</w:t>
      </w:r>
      <w:r w:rsidRPr="00103457">
        <w:rPr>
          <w:rFonts w:ascii="Times New Roman" w:hAnsi="Times New Roman"/>
          <w:color w:val="000000"/>
        </w:rPr>
        <w:fldChar w:fldCharType="end"/>
      </w:r>
      <w:r w:rsidRPr="00103457">
        <w:rPr>
          <w:rFonts w:ascii="Times New Roman" w:hAnsi="Times New Roman"/>
          <w:color w:val="000000"/>
        </w:rPr>
        <w:t xml:space="preserve">, and the Global Impervious Area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{"citationID":"rh4ohqTl","properties":{"formattedCitation":"(Gong et al., 2020)","plainCitation":"(Gong et al., 2020)","noteIndex":0},"citationItems":[{"id":626,"uris":["http://zotero.org/users/8906743/items/P4P428TH"],"itemData":{"id":626,"type":"article-journal","abstract":"Artiﬁcial impervious areas are predominant indicators of human settlements. Timely, accurate, and frequent information on artiﬁcial impervious areas is critical to understanding the process of urbanization and land use/ cover change, as well as of their impacts on the environment and biodiversity. Despite their importance, there still lack annual maps of high-resolution Global Artiﬁcial Impervious Areas (GAIA) with longer than 30-year records, due to the high demand of high performance computation and the lack of eﬀective mapping algorithms. In this paper, we mapped annual GAIA from 1985 to 2018 using the full archive of 30-m resolution Landsat images on the Google Earth Engine platform. With ancillary datasets, including the nighttime light data and the Sentinel-1 Synthetic Aperture Radar data, we improved the performance of our previously developed algorithm in arid areas. We evaluated the GAIA data for 1985, 1990, 1995, 2000, 2005, 2010, and 2015, and the mean overall accuracy is higher than 90%. A cross-product comparison indicates the GAIA data are the only dataset spanning over 30 years. The temporal trend in GAIA agrees well with other datasets at the local, regional, and global scales. Our results indicate that the GAIA reached 797,076 km2 in 2018, which is 1.5 times more than that in 1990. China and the United States (US) rank among the top two in artiﬁcial impervious area, accounting for approximately 50% of the world's total in 2018. The artiﬁcial impervious area of China surpassed that of the US in 2015. By 2018, the remaining eight among the top ten countries are India, Russia, Brazil, France, Italy, Germany, Japan, and Canada. The GAIA dataset can be freely downloaded from http://data.ess.tsinghua.edu.cn.","container-title":"Remote Sensing of Environment","DOI":"10.1016/j.rse.2019.111510","ISSN":"00344257","journalAbbreviation":"Remote Sensing of Environment","language":"en","page":"111510","source":"DOI.org (Crossref)","title":"Annual maps of global artificial impervious area (GAIA) between 1985 and 2018","URL":"https://linkinghub.elsevier.com/retrieve/pii/S0034425719305292","volume":"236","author":[{"family":"Gong","given":"Peng"},{"family":"Li","given":"Xuecao"},{"family":"Wang","given":"Jie"},{"family":"Bai","given":"Yuqi"},{"family":"Chen","given":"Bin"},{"family":"Hu","given":"Tengyun"},{"family":"Liu","given":"Xiaoping"},{"family":"Xu","given":"Bing"},{"family":"Yang","given":"Jun"},{"family":"Zhang","given":"Wei"},{"family":"Zhou","given":"Yuyu"}],"accessed":{"date-parts":[["2021",5,3]]},"issued":{"date-parts":[["2020",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(Gong et al., 2020)</w:t>
      </w:r>
      <w:r w:rsidRPr="00103457">
        <w:rPr>
          <w:rFonts w:ascii="Times New Roman" w:hAnsi="Times New Roman"/>
          <w:color w:val="000000"/>
        </w:rPr>
        <w:fldChar w:fldCharType="end"/>
      </w:r>
      <w:r w:rsidRPr="00103457">
        <w:rPr>
          <w:rFonts w:ascii="Times New Roman" w:hAnsi="Times New Roman"/>
          <w:color w:val="000000"/>
        </w:rPr>
        <w:t xml:space="preserve"> provide data on urban impervious surfaces. These data have been used to</w:t>
      </w:r>
      <w:r w:rsidRPr="00103457" w:rsidDel="00DC1ACB">
        <w:rPr>
          <w:rFonts w:ascii="Times New Roman" w:hAnsi="Times New Roman"/>
          <w:color w:val="000000"/>
        </w:rPr>
        <w:t xml:space="preserve"> </w:t>
      </w:r>
      <w:r w:rsidRPr="00103457">
        <w:rPr>
          <w:rFonts w:ascii="Times New Roman" w:hAnsi="Times New Roman"/>
          <w:color w:val="000000"/>
        </w:rPr>
        <w:t xml:space="preserve">quantify urban land changes and analyze economic and ecological impacts. However, the existing data are globally calibrated and are not necessarily suitable for regional analysis since they overestimate or underestimate urban extent in some study areas due to different impervious morphologies across regions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{"citationID":"2cPke33F","properties":{"formattedCitation":"(Tulbure et al., 2022)","plainCitation":"(Tulbure et al., 2022)","noteIndex":0},"citationItems":[{"id":"1t4WkopC/J7cCHzuv","uris":["http://zotero.org/users/8906743/items/AYTVCY2C"],"itemData":{"id":1070,"type":"article-journal","journalAbbreviation":"REmote Sensing in Ecology and Conservation","title":"Regional matters: On the usefulness of regional land-cover datasets in times of global change","author":[{"family":"Tulbure","given":"Mirela. G."},{"family":"Hostert","given":"Patrick"},{"family":"Kuemmerle","given":"Tobias"},{"family":"Broich","given":"Mark"}],"issued":{"date-parts":[["2022"]]}}}],"schema":"https://github.com/citation-style-language/schema/raw/master/csl-citation.json"}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(Tulbure et al., 2022)</w:t>
      </w:r>
      <w:r w:rsidRPr="00103457">
        <w:rPr>
          <w:rFonts w:ascii="Times New Roman" w:hAnsi="Times New Roman"/>
          <w:color w:val="000000"/>
        </w:rPr>
        <w:fldChar w:fldCharType="end"/>
      </w:r>
      <w:r w:rsidRPr="00103457">
        <w:rPr>
          <w:rFonts w:ascii="Times New Roman" w:hAnsi="Times New Roman"/>
          <w:color w:val="000000"/>
        </w:rPr>
        <w:t>. Also, most global products only provide data for larger primary cities and do not include smaller secondary cities, especially in Africa. Novel sources of regionally optimized urban land cover data encompassing a wide range of city sizes are needed to</w:t>
      </w:r>
      <w:r w:rsidRPr="00103457" w:rsidDel="00BC2D8C">
        <w:rPr>
          <w:rFonts w:ascii="Times New Roman" w:hAnsi="Times New Roman"/>
          <w:color w:val="000000"/>
        </w:rPr>
        <w:t xml:space="preserve"> </w:t>
      </w:r>
      <w:r w:rsidRPr="00103457">
        <w:rPr>
          <w:rFonts w:ascii="Times New Roman" w:hAnsi="Times New Roman"/>
          <w:color w:val="000000"/>
        </w:rPr>
        <w:t>support sustainable regional, national, and local urban planning and enable research on the impacts of urban expansion on people and the environment.</w:t>
      </w:r>
    </w:p>
    <w:p w14:paraId="67853815" w14:textId="77777777" w:rsidR="00BC7A0C" w:rsidRPr="00103457" w:rsidRDefault="00BC7A0C" w:rsidP="00BC7A0C">
      <w:pPr>
        <w:spacing w:line="240" w:lineRule="auto"/>
        <w:ind w:firstLine="360"/>
        <w:rPr>
          <w:rFonts w:ascii="Times New Roman" w:hAnsi="Times New Roman"/>
          <w:color w:val="000000"/>
        </w:rPr>
      </w:pPr>
    </w:p>
    <w:p w14:paraId="5899FD8E" w14:textId="77777777" w:rsidR="006F7C17" w:rsidRPr="00103457" w:rsidRDefault="006F7C17" w:rsidP="00277F12">
      <w:pPr>
        <w:pStyle w:val="Heading3"/>
        <w:rPr>
          <w:rFonts w:ascii="Times" w:hAnsi="Times"/>
        </w:rPr>
      </w:pPr>
      <w:bookmarkStart w:id="23" w:name="_Toc172288708"/>
      <w:r w:rsidRPr="00103457">
        <w:t>Study rationale and objectives</w:t>
      </w:r>
      <w:bookmarkEnd w:id="23"/>
    </w:p>
    <w:p w14:paraId="26A128EC"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 xml:space="preserve">This study uses a comparative case study methodology that analyzes the expansion of different cities in the four West African countries. Several studies in China have used similar methods to describe and model the relationship between growth rates and city size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{"citationID":"exc1aC8m","properties":{"formattedCitation":"(Jia et al., 2020; Ning et al., 2022; Zhao et al., 2015)","plainCitation":"(Jia et al., 2020; Ning et al., 2022; Zhao et al., 2015)","noteIndex":0},"citationItems":[{"id":561,"uris":["http://zotero.org/users/8906743/items/CJF7ZDNH"],"itemData":{"id":561,"type":"article-journal","abstract":"Public policies play a vital role in shaping our cities. However, the impact of public policies on the spatial expansion of urban areas needs to be better understood in order to achieve better policy outcomes. During the period of China’s economic reform, the central government of China has made many changes in three sets of public policies—regional development policies, the household registration (hukou) system, and urban land and housing market policies—to promote coordinated development of small, medium and large cities. This study aims to examine the effects of these public policy changes on urban expansion across 265 Chinese cities at or above prefecture level. We first quantify the spatial patterns of urban areas and evaluate the extent of urban sprawl of the 265 cities from 1995 to 2015 using multi-temporal land cover data. These cities are classified into six categories according to a city tier system used in China. Through a set of individual fixed-effects models, we then explore how changes in the three sets of policies have influenced urban expansion differently across different-tier cities. Results show that sprawling patterns of urban expansion, which have been more prominent in small and medium sized cities since 2000, are associated with shifts in policies to support stronger economic and population growth as well as real estate development. Our findings highlight the need for policymakers to take a holistic approach by considering the size of cities together with their social, environmental, and economic characteristics in order to minimise inequality and achieve coordinated urban development goals.","container-title":"Land Use Policy","DOI":"10.1016/j.landusepol.2020.104754","ISSN":"02648377","journalAbbreviation":"Land Use Policy","language":"en","page":"104754","source":"DOI.org (Crossref)","title":"Public policy change and its impact on urban expansion: An evaluation of 265 cities in China","title-short":"Public policy change and its impact on urban expansion","URL":"https://linkinghub.elsevier.com/retrieve/pii/S026483772030079X","volume":"97","author":[{"family":"Jia","given":"Mengyuan"},{"family":"Liu","given":"Yan"},{"family":"Lieske","given":"Scott N."},{"family":"Chen","given":"Tian"}],"accessed":{"date-parts":[["2024",1,23]]},"issued":{"date-parts":[["2020",9]]}}},{"id":650,"uris":["http://zotero.org/users/8906743/items/76L9UXXR"],"itemData":{"id":650,"type":"article-journal","abstract":"It is undeniable that the process of urbanization in China is a massive phenomenon of scale and speed in hu­ manity history. The relentless march of urbanization poses a critical challenge for creating a comprehensive analysis of the integrated characteristics of contemporary cities. Here, we integrated 30 m continuous and consistent human settlement areas to quantify spatiotemporal dynamics of urban development in 344 prefectural-level cities of China from 1987 to 2017 via Gibrat's law. Results indicated that China had experienced a rapid urbanization process during the past three decades with annual expansion and annual growth rates of 3877.93 km2 and 5.84%, respectively. A key finding was that city growth rate was inversely proportional to initial city size, therefore contradicting Gibrat's law, whose performance was relevant to shifts in urbanization policies. Furthermore, results also highlighted interregional disparities between the southwest and northwest and other regions, as well as intra-regional differences within geographical, urban sizes, and administrative levels. Exploring the validity of Gibrat's law involving the links between city size and growth rate in China deepens our theoretical insights and, more importantly, will make policymakers aware of the need to adopt a holistic approach by considering the uneven nature of urbanization toward better sustainability.","container-title":"Cities","DOI":"10.1016/j.cities.2022.103717","ISSN":"02642751","journalAbbreviation":"Cities","language":"en","page":"103717","source":"DOI.org (Crossref)","title":"Urban growth rates, trajectories, and multi-dimensional disparities in China","URL":"https://linkinghub.elsevier.com/retrieve/pii/S0264275122001561","volume":"126","author":[{"family":"Ning","given":"Ying"},{"family":"Liu","given":"Shuguang"},{"family":"Zhao","given":"Shuqing"},{"family":"Liu","given":"Maochou"},{"family":"Gao","given":"Haiqiang"},{"family":"Gong","given":"Peng"}],"accessed":{"date-parts":[["2023",3,11]]},"issued":{"date-parts":[["2022",7]]}},"label":"page"},{"id":63,"uris":["http://zotero.org/users/8906743/items/W3WHFFLD","http://zotero.org/users/8906743/items/RMWWQIGN"],"itemData":{"id":63,"type":"article-journal","abstract":"The scale of urbanization in China during the past three decades is unprecedented in human history, and the processes are poorly understood. Here we present an eﬀort to map the urban land expansion processes of 32 major cities in China from 1978 to 2010 using Landsat satellite data to understand the temporal and spatial characteristics. Results showed that the urban extent of the 32 cities expanded exponentially with very high annual rates varying from 3.2% to 12.8%. Temporal ﬂuctuation in urban expansion rates in these 32 cities was obvious, with unexpected and alarming expansion rates from 2005 to 2010 that drastically exceeded their expectation, which was calculated from the long-term trend between 1978 and 2005, by 45%. Overall, we found that the growth rates of cities during the entire study period were inversely related to city size, contradicting the theory or Gibrat’s law, which states that the growth rate is independent of city size. More detailed analysis indicated that city growth in China has transitioned from contradicting to conforming to Gibrat’s law since 1995. Our study suggests that the urban expansion theory (i.e., Gibrat’s law) does not ﬁt Chinese expansion consistently over time, and the exact causes are unknown. Exploring the causes in future research will improve our understanding of the theory and, more importantly, understand the feasibility of the theoretical relationship between city size and expansion rate in guiding contemporary urban expansion planning.","container-title":"Environmental Science &amp; Technology","DOI":"10.1021/acs.est.5b00065","ISSN":"0013-936X, 1520-5851","issue":"16","journalAbbreviation":"Environ. Sci. Technol.","language":"en","page":"9600-9609","source":"DOI.org (Crossref)","title":"Spatial and Temporal Dimensions of Urban Expansion in China","URL":"https://pubs.acs.org/doi/10.1021/acs.est.5b00065","volume":"49","author":[{"family":"Zhao","given":"Shuqing"},{"family":"Zhou","given":"Decheng"},{"family":"Zhu","given":"Chao"},{"family":"Sun","given":"Yan"},{"family":"Wu","given":"Wenjia"},{"family":"Liu","given":"Shuguang"}],"accessed":{"date-parts":[["2023",3,11]]},"issued":{"date-parts":[["2015",8,18]]}}}],"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(Jia et al., 2020; Ning et al., 2022; Zhao et al., 2015)</w:t>
      </w:r>
      <w:r w:rsidRPr="00103457">
        <w:rPr>
          <w:rFonts w:ascii="Times New Roman" w:hAnsi="Times New Roman"/>
          <w:color w:val="000000"/>
        </w:rPr>
        <w:fldChar w:fldCharType="end"/>
      </w:r>
      <w:r w:rsidRPr="00103457">
        <w:rPr>
          <w:rFonts w:ascii="Times New Roman" w:hAnsi="Times New Roman"/>
          <w:color w:val="000000"/>
        </w:rPr>
        <w:t xml:space="preserve">. However, most previous studies have only analyzed a subset of the largest cities, whereas our study analyzed an entire West African urban system encompassing all cities over a wide range of sizes. Our study also considers the spatial pattern of urban expansion at two levels: the arrangement of cities within the broader urban network and the relative amount of sprawl versus infill development within individual cities. In the context of this study, we defined sprawl from a structural perspective: sparse developments occurring at the periphery and detached from previously developed areas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{"citationID":"IFOJ3L5C","properties":{"formattedCitation":"(Angel et al., 2021; Jia et al., 2022)","plainCitation":"(Angel et al., 2021; Jia et al., 2022)","noteIndex":0},"citationItems":[{"id":85,"uris":["http://zotero.org/users/8906743/items/T7YDXD9K","http://zotero.org/users/8906743/items/7739YXBP"],"itemData":{"id":85,"type":"article-journal","abstract":"Serious concerns with accelerating global warming have been translated into urgent calls for increasing urban densities: higher densities are associated with lower greenhouse gas emissions, especially those related to vehicle kilometers traveled (VKT). In order to densify meaningfully in the coming decades, cities need to make room within their existing footprints to accommodate more people. In the absence of adequate room within their existing footprints, cities create more room through outward expansion, typically resulting in lower overall densities. We introduce a quantitative dimension to this process, focusing on the population added to a global stratiﬁed sample of 200 cities between 1990 and 2014. In three-quarters of the cities we studied, the areas built before 1990 gained population and thus densiﬁed signiﬁcantly. On average, however, only one-quarter of the total population added to the 200 cities in the sample in the 1990–2014 period were accommodated within their 1990 urban footprints, while three-quarters were accommodated within their newly built expansion areas. That resulted in an overall decline in average urban densities during the 1990–2014 period despite the near-global, decades-old and rarely questioned consensus that urban expansion must be contained.","container-title":"Sustainability","DOI":"10.3390/su13073835","ISSN":"2071-1050","issue":"7","journalAbbreviation":"Sustainability","language":"en","page":"3835","source":"DOI.org (Crossref)","title":"Densify and Expand: A Global Analysis of Recent Urban Growth","title-short":"Densify and Expand","URL":"https://www.mdpi.com/2071-1050/13/7/3835","volume":"13","author":[{"family":"Angel","given":"Shlomo"},{"family":"Lamson-Hall","given":"Patrick"},{"family":"Blei","given":"Alejandro"},{"family":"Shingade","given":"Sharad"},{"family":"Kumar","given":"Suman"}],"accessed":{"date-parts":[["2022",1,30]]},"issued":{"date-parts":[["2021",3,31]]}}},{"id":568,"uris":["http://zotero.org/users/8906743/items/J7TVA64R"],"itemData":{"id":568,"type":"article-journal","abstract":"Urban sprawl has become a global phenomenon resulting in many critical social and environmental problems, but its characteristics and causes vary in different contexts, especially in developing countries such as China. Despite many studies on the urban growth of Chinese cities, not much is known about the county-level small cities. To better understand the dynamics of urban growth pattern across different sized cities, this study defined whether urban growth patterns are compactness or sprawl in each of six dimensions: land use efficiency, spatial pattern of urban land, inner structure of urban space, mixed uses, accessibility, and environmental impacts. Taking the 2 municipalities, 7 prefecture-level cities, and 93 county-level cities in Beijing-Tianjin-Hebei (BTH) region as cases, we assessed their urban growth patterns during 2015–2018. The results show that the regional policy on coordinated development of BTH region has promoted the growth of small cities, but these cities also tend to suffer from greater sprawl than larger cities. The differences of urban growth pattern between small and large cities exist in terms of the spatial pattern of urban land, inner structure of urban space, and environmental impacts. As small cities expand, they become spatially fragmented and decentralised. However, urban growth in larger cities has a greater negative impact on the natural environment. These findings suggest that we need to carefully consider the local context when developing urban growth management policies.","container-title":"Ecological Indicators","DOI":"10.1016/j.ecolind.2022.108816","ISSN":"1470160X","journalAbbreviation":"Ecological Indicators","language":"en","page":"108816","source":"DOI.org (Crossref)","title":"Compactness or sprawl: Multi-dimensional approach to understanding the urban growth patterns in Beijing-Tianjin-Hebei region, China","title-short":"Compactness or sprawl","URL":"https://linkinghub.elsevier.com/retrieve/pii/S1470160X22002874","volume":"138","author":[{"family":"Jia","given":"Mengyuan"},{"family":"Zhang","given":"Haoran"},{"family":"Yang","given":"Zhen"}],"accessed":{"date-parts":[["2024",1,23]]},"issued":{"date-parts":[["2022",5]]}}}],"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(Angel et al., 2021; Jia et al., 2022)</w:t>
      </w:r>
      <w:r w:rsidRPr="00103457">
        <w:rPr>
          <w:rFonts w:ascii="Times New Roman" w:hAnsi="Times New Roman"/>
          <w:color w:val="000000"/>
        </w:rPr>
        <w:fldChar w:fldCharType="end"/>
      </w:r>
      <w:r w:rsidRPr="00103457">
        <w:rPr>
          <w:rFonts w:ascii="Times New Roman" w:hAnsi="Times New Roman"/>
          <w:color w:val="000000"/>
        </w:rPr>
        <w:t xml:space="preserve">. </w:t>
      </w:r>
      <w:r w:rsidRPr="00103457">
        <w:rPr>
          <w:rFonts w:ascii="Times New Roman" w:hAnsi="Times New Roman"/>
          <w:color w:val="000000"/>
        </w:rPr>
        <w:lastRenderedPageBreak/>
        <w:t xml:space="preserve">The main objective was to characterize the urban expansion dynamics of cities in Ghana, Togo, Benin, and Nigeria. We addressed three questions. 1) How do urban expansion rates vary among cities with different populations? 2) How do relative amounts of sprawl versus infill expansion vary among cities with different populations? and 3) How do the rates of urban expansion vary with city size and spatial arrangement within the urban system? </w:t>
      </w:r>
    </w:p>
    <w:p w14:paraId="0FABB4A3"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Because of the limitations of global urban datasets highlighted in the preceding paragraph, we use a Random Forest machine learning algorithm and LandTrendr time series algorithms to generate a regional impervious surface dataset from 2001-2020 using Landsat 7 and 8 data.</w:t>
      </w:r>
      <w:r w:rsidRPr="00103457" w:rsidDel="00A91EDD">
        <w:rPr>
          <w:rFonts w:ascii="Times New Roman" w:hAnsi="Times New Roman"/>
          <w:color w:val="000000"/>
        </w:rPr>
        <w:t xml:space="preserve"> </w:t>
      </w:r>
      <w:r w:rsidRPr="00103457">
        <w:rPr>
          <w:rFonts w:ascii="Times New Roman" w:hAnsi="Times New Roman"/>
          <w:color w:val="000000"/>
        </w:rPr>
        <w:t>These data enabled us to quantify the amount and rates of changes within city boundaries and model the associations of growth rates with city size and proximity as predictors.</w:t>
      </w:r>
      <w:r w:rsidRPr="00103457">
        <w:rPr>
          <w:rFonts w:ascii="Times New Roman" w:hAnsi="Times New Roman"/>
          <w:color w:val="000000"/>
          <w:kern w:val="2"/>
        </w:rPr>
        <w:t xml:space="preserve"> Thus, our research </w:t>
      </w:r>
      <w:r w:rsidRPr="00103457">
        <w:rPr>
          <w:rFonts w:ascii="Times New Roman" w:hAnsi="Times New Roman"/>
          <w:color w:val="000000"/>
        </w:rPr>
        <w:t>is the first to provide a comprehensive assessment of expansion dynamics of all the cities in West Africa. Given that cities are interconnected, changes in one or more cities may influence the expansion of other cities, and our research also explores these relationships.</w:t>
      </w:r>
    </w:p>
    <w:p w14:paraId="493D8EF5" w14:textId="77777777" w:rsidR="00103457" w:rsidRPr="00103457" w:rsidRDefault="00103457" w:rsidP="00103457">
      <w:pPr>
        <w:ind w:firstLine="360"/>
        <w:rPr>
          <w:rFonts w:ascii="Times New Roman" w:hAnsi="Times New Roman"/>
          <w:color w:val="000000"/>
        </w:rPr>
      </w:pPr>
    </w:p>
    <w:p w14:paraId="59A21A41" w14:textId="77777777" w:rsidR="006F7C17" w:rsidRPr="00103457" w:rsidRDefault="006F7C17" w:rsidP="005322C7">
      <w:pPr>
        <w:pStyle w:val="Heading2"/>
      </w:pPr>
      <w:bookmarkStart w:id="24" w:name="_Toc172288709"/>
      <w:r w:rsidRPr="00103457">
        <w:t>Materials and Methods</w:t>
      </w:r>
      <w:bookmarkEnd w:id="24"/>
    </w:p>
    <w:p w14:paraId="3AD613DE" w14:textId="1F61C226"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This research involves multiple stages including urban change data generation, classification of urban change data, validation, classification of cities, summary of developed areas within Africapolis city boundaries, and modeling the relationship between expansion rate and predictors (developed area and gravity index). These processes are summarized in a flow chart</w:t>
      </w:r>
      <w:r w:rsidR="00381518">
        <w:rPr>
          <w:rFonts w:ascii="Times New Roman" w:hAnsi="Times New Roman"/>
          <w:color w:val="000000"/>
        </w:rPr>
        <w:t xml:space="preserve"> (</w:t>
      </w:r>
      <w:r w:rsidR="00381518" w:rsidRPr="00381518">
        <w:rPr>
          <w:rFonts w:ascii="Times New Roman" w:hAnsi="Times New Roman"/>
          <w:color w:val="000000"/>
        </w:rPr>
        <w:fldChar w:fldCharType="begin"/>
      </w:r>
      <w:r w:rsidR="00381518" w:rsidRPr="00381518">
        <w:rPr>
          <w:rFonts w:ascii="Times New Roman" w:hAnsi="Times New Roman"/>
          <w:color w:val="000000"/>
        </w:rPr>
        <w:instrText xml:space="preserve"> REF _Ref169888016 \h  \* MERGEFORMAT </w:instrText>
      </w:r>
      <w:r w:rsidR="00381518" w:rsidRPr="00381518">
        <w:rPr>
          <w:rFonts w:ascii="Times New Roman" w:hAnsi="Times New Roman"/>
          <w:color w:val="000000"/>
        </w:rPr>
      </w:r>
      <w:r w:rsidR="00381518" w:rsidRPr="00381518">
        <w:rPr>
          <w:rFonts w:ascii="Times New Roman" w:hAnsi="Times New Roman"/>
          <w:color w:val="000000"/>
        </w:rPr>
        <w:fldChar w:fldCharType="separate"/>
      </w:r>
      <w:r w:rsidR="00B129D9" w:rsidRPr="00B129D9">
        <w:rPr>
          <w:rFonts w:ascii="Times New Roman" w:hAnsi="Times New Roman"/>
          <w:color w:val="000000"/>
        </w:rPr>
        <w:t xml:space="preserve">Figure </w:t>
      </w:r>
      <w:r w:rsidR="00B129D9" w:rsidRPr="00B129D9">
        <w:rPr>
          <w:rFonts w:ascii="Times New Roman" w:hAnsi="Times New Roman"/>
          <w:noProof/>
          <w:color w:val="000000"/>
        </w:rPr>
        <w:t>1</w:t>
      </w:r>
      <w:r w:rsidR="00381518" w:rsidRPr="00381518">
        <w:rPr>
          <w:rFonts w:ascii="Times New Roman" w:hAnsi="Times New Roman"/>
          <w:color w:val="000000"/>
        </w:rPr>
        <w:fldChar w:fldCharType="end"/>
      </w:r>
      <w:r w:rsidR="00381518" w:rsidRPr="00381518">
        <w:rPr>
          <w:rFonts w:ascii="Times New Roman" w:hAnsi="Times New Roman"/>
          <w:color w:val="000000"/>
        </w:rPr>
        <w:t>).</w:t>
      </w:r>
    </w:p>
    <w:p w14:paraId="744FD009" w14:textId="699129BD" w:rsidR="003D4AFD" w:rsidRDefault="003D4AFD" w:rsidP="00103457">
      <w:pPr>
        <w:spacing w:line="240" w:lineRule="auto"/>
        <w:rPr>
          <w:rFonts w:ascii="Times New Roman" w:hAnsi="Times New Roman"/>
          <w:color w:val="000000"/>
        </w:rPr>
      </w:pPr>
      <w:bookmarkStart w:id="25" w:name="_Ref157544278"/>
      <w:r w:rsidRPr="004F7AEF">
        <w:rPr>
          <w:rFonts w:ascii="Times New Roman" w:hAnsi="Times New Roman"/>
          <w:noProof/>
          <w:color w:val="000000" w:themeColor="text1"/>
          <w:lang w:bidi="ar-SA"/>
        </w:rPr>
        <w:lastRenderedPageBreak/>
        <mc:AlternateContent>
          <mc:Choice Requires="wpc">
            <w:drawing>
              <wp:inline distT="0" distB="0" distL="0" distR="0" wp14:anchorId="00FB19AC" wp14:editId="275C126D">
                <wp:extent cx="5943600" cy="3936365"/>
                <wp:effectExtent l="0" t="0" r="0" b="26035"/>
                <wp:docPr id="1423222058" name="Canvas 142322205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33315373" name="Picture 533315373" descr="A picture containing text, tree, outdoor&#10;&#10;Description automatically generated"/>
                          <pic:cNvPicPr>
                            <a:picLocks noChangeAspect="1"/>
                          </pic:cNvPicPr>
                        </pic:nvPicPr>
                        <pic:blipFill>
                          <a:blip r:embed="rId12"/>
                          <a:stretch>
                            <a:fillRect/>
                          </a:stretch>
                        </pic:blipFill>
                        <pic:spPr>
                          <a:xfrm>
                            <a:off x="4860916" y="2"/>
                            <a:ext cx="996421" cy="1033452"/>
                          </a:xfrm>
                          <a:prstGeom prst="rect">
                            <a:avLst/>
                          </a:prstGeom>
                        </pic:spPr>
                      </pic:pic>
                      <wps:wsp>
                        <wps:cNvPr id="349315043" name="Rectangle 349315043"/>
                        <wps:cNvSpPr/>
                        <wps:spPr>
                          <a:xfrm>
                            <a:off x="73154" y="62658"/>
                            <a:ext cx="2029966" cy="939928"/>
                          </a:xfrm>
                          <a:prstGeom prst="rect">
                            <a:avLst/>
                          </a:prstGeom>
                          <a:ln w="19050">
                            <a:solidFill>
                              <a:schemeClr val="accent1">
                                <a:lumMod val="75000"/>
                              </a:schemeClr>
                            </a:solidFill>
                          </a:ln>
                        </wps:spPr>
                        <wps:style>
                          <a:lnRef idx="2">
                            <a:schemeClr val="dk1"/>
                          </a:lnRef>
                          <a:fillRef idx="1">
                            <a:schemeClr val="lt1"/>
                          </a:fillRef>
                          <a:effectRef idx="0">
                            <a:schemeClr val="dk1"/>
                          </a:effectRef>
                          <a:fontRef idx="minor">
                            <a:schemeClr val="dk1"/>
                          </a:fontRef>
                        </wps:style>
                        <wps:txbx>
                          <w:txbxContent>
                            <w:p w14:paraId="1DD73C42" w14:textId="77777777" w:rsidR="005A41EC" w:rsidRPr="003D4AFD" w:rsidRDefault="005A41EC" w:rsidP="003D4AFD">
                              <w:pPr>
                                <w:spacing w:line="254" w:lineRule="auto"/>
                                <w:jc w:val="center"/>
                                <w:rPr>
                                  <w:sz w:val="22"/>
                                  <w:szCs w:val="22"/>
                                </w:rPr>
                              </w:pPr>
                              <w:r w:rsidRPr="003D4AFD">
                                <w:rPr>
                                  <w:rFonts w:ascii="Microsoft Sans Serif" w:hAnsi="Microsoft Sans Serif" w:cs="Microsoft Sans Serif"/>
                                  <w:sz w:val="22"/>
                                  <w:szCs w:val="22"/>
                                </w:rPr>
                                <w:t>Landsat 7 &amp; 8 surface reflectance image collection processing, spectral index calculation, and annual composite generation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2919870" name="Rectangle 1192919870"/>
                        <wps:cNvSpPr/>
                        <wps:spPr>
                          <a:xfrm>
                            <a:off x="2501660" y="200333"/>
                            <a:ext cx="2061712" cy="655607"/>
                          </a:xfrm>
                          <a:prstGeom prst="rect">
                            <a:avLst/>
                          </a:prstGeom>
                          <a:ln w="19050">
                            <a:solidFill>
                              <a:schemeClr val="accent1">
                                <a:lumMod val="75000"/>
                              </a:schemeClr>
                            </a:solidFill>
                          </a:ln>
                        </wps:spPr>
                        <wps:style>
                          <a:lnRef idx="2">
                            <a:schemeClr val="dk1"/>
                          </a:lnRef>
                          <a:fillRef idx="1">
                            <a:schemeClr val="lt1"/>
                          </a:fillRef>
                          <a:effectRef idx="0">
                            <a:schemeClr val="dk1"/>
                          </a:effectRef>
                          <a:fontRef idx="minor">
                            <a:schemeClr val="dk1"/>
                          </a:fontRef>
                        </wps:style>
                        <wps:txbx>
                          <w:txbxContent>
                            <w:p w14:paraId="652F6CBE" w14:textId="77777777" w:rsidR="005A41EC" w:rsidRPr="004918FE" w:rsidRDefault="005A41EC" w:rsidP="003D4AFD">
                              <w:pPr>
                                <w:spacing w:line="256"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46,790 total interpreted plots</w:t>
                              </w:r>
                            </w:p>
                            <w:p w14:paraId="676B9AC6" w14:textId="77777777" w:rsidR="005A41EC" w:rsidRPr="004918FE" w:rsidRDefault="005A41EC" w:rsidP="003D4AFD">
                              <w:pPr>
                                <w:spacing w:line="256"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75% for training</w:t>
                              </w:r>
                            </w:p>
                            <w:p w14:paraId="261D9165" w14:textId="77777777" w:rsidR="005A41EC" w:rsidRPr="004918FE" w:rsidRDefault="005A41EC" w:rsidP="003D4AFD">
                              <w:pPr>
                                <w:spacing w:line="256"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25% for validation</w:t>
                              </w:r>
                            </w:p>
                            <w:p w14:paraId="575FA602" w14:textId="77777777" w:rsidR="005A41EC" w:rsidRPr="004918FE" w:rsidRDefault="005A41EC" w:rsidP="003D4AFD">
                              <w:pPr>
                                <w:spacing w:line="256" w:lineRule="auto"/>
                                <w:jc w:val="center"/>
                                <w:rPr>
                                  <w:rFonts w:ascii="Times New Roman" w:eastAsia="Calibri" w:hAnsi="Times New Roman"/>
                                  <w:sz w:val="22"/>
                                  <w:szCs w:val="22"/>
                                </w:rPr>
                              </w:pPr>
                              <w:r w:rsidRPr="004918FE">
                                <w:rPr>
                                  <w:rFonts w:eastAsia="Calibri"/>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2215020" name="Rectangle 1112215020"/>
                        <wps:cNvSpPr/>
                        <wps:spPr>
                          <a:xfrm>
                            <a:off x="64528" y="1296227"/>
                            <a:ext cx="2454386" cy="267080"/>
                          </a:xfrm>
                          <a:prstGeom prst="rect">
                            <a:avLst/>
                          </a:prstGeom>
                          <a:ln w="19050">
                            <a:solidFill>
                              <a:srgbClr val="C00000"/>
                            </a:solidFill>
                          </a:ln>
                        </wps:spPr>
                        <wps:style>
                          <a:lnRef idx="2">
                            <a:schemeClr val="dk1"/>
                          </a:lnRef>
                          <a:fillRef idx="1">
                            <a:schemeClr val="lt1"/>
                          </a:fillRef>
                          <a:effectRef idx="0">
                            <a:schemeClr val="dk1"/>
                          </a:effectRef>
                          <a:fontRef idx="minor">
                            <a:schemeClr val="dk1"/>
                          </a:fontRef>
                        </wps:style>
                        <wps:txbx>
                          <w:txbxContent>
                            <w:p w14:paraId="0B707E29" w14:textId="6E1CF3B8" w:rsidR="005A41EC" w:rsidRPr="004918FE" w:rsidRDefault="005A41EC" w:rsidP="003D4AFD">
                              <w:pPr>
                                <w:spacing w:line="256"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Model fitting with random forest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75448381" name="Rectangle 2075448381"/>
                        <wps:cNvSpPr/>
                        <wps:spPr>
                          <a:xfrm>
                            <a:off x="3209027" y="2583226"/>
                            <a:ext cx="2631056" cy="445872"/>
                          </a:xfrm>
                          <a:prstGeom prst="rect">
                            <a:avLst/>
                          </a:prstGeom>
                          <a:ln w="19050">
                            <a:solidFill>
                              <a:schemeClr val="accent1">
                                <a:lumMod val="75000"/>
                              </a:schemeClr>
                            </a:solidFill>
                          </a:ln>
                        </wps:spPr>
                        <wps:style>
                          <a:lnRef idx="2">
                            <a:schemeClr val="dk1"/>
                          </a:lnRef>
                          <a:fillRef idx="1">
                            <a:schemeClr val="lt1"/>
                          </a:fillRef>
                          <a:effectRef idx="0">
                            <a:schemeClr val="dk1"/>
                          </a:effectRef>
                          <a:fontRef idx="minor">
                            <a:schemeClr val="dk1"/>
                          </a:fontRef>
                        </wps:style>
                        <wps:txbx>
                          <w:txbxContent>
                            <w:p w14:paraId="75A49FCA" w14:textId="77777777" w:rsidR="005A41EC" w:rsidRPr="004918FE" w:rsidRDefault="005A41EC" w:rsidP="003D4AFD">
                              <w:pPr>
                                <w:spacing w:line="254"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Classification of cities (small, medium, and large) using Africapolis 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57211328" name="Rectangle 1357211328"/>
                        <wps:cNvSpPr/>
                        <wps:spPr>
                          <a:xfrm>
                            <a:off x="3195703" y="1296139"/>
                            <a:ext cx="2653006" cy="284332"/>
                          </a:xfrm>
                          <a:prstGeom prst="rect">
                            <a:avLst/>
                          </a:prstGeom>
                          <a:ln w="19050">
                            <a:solidFill>
                              <a:srgbClr val="C00000"/>
                            </a:solidFill>
                          </a:ln>
                        </wps:spPr>
                        <wps:style>
                          <a:lnRef idx="2">
                            <a:schemeClr val="dk1"/>
                          </a:lnRef>
                          <a:fillRef idx="1">
                            <a:schemeClr val="lt1"/>
                          </a:fillRef>
                          <a:effectRef idx="0">
                            <a:schemeClr val="dk1"/>
                          </a:effectRef>
                          <a:fontRef idx="minor">
                            <a:schemeClr val="dk1"/>
                          </a:fontRef>
                        </wps:style>
                        <wps:txbx>
                          <w:txbxContent>
                            <w:p w14:paraId="479311BA" w14:textId="77777777" w:rsidR="005A41EC" w:rsidRDefault="005A41EC" w:rsidP="003D4AFD">
                              <w:pPr>
                                <w:spacing w:line="252" w:lineRule="auto"/>
                                <w:jc w:val="center"/>
                                <w:rPr>
                                  <w:rFonts w:ascii="Microsoft Sans Serif" w:eastAsia="Calibri" w:hAnsi="Microsoft Sans Serif"/>
                                </w:rPr>
                              </w:pPr>
                              <w:r>
                                <w:rPr>
                                  <w:rFonts w:ascii="Microsoft Sans Serif" w:eastAsia="Calibri" w:hAnsi="Microsoft Sans Serif"/>
                                </w:rPr>
                                <w:t>LandTrendr temporal segmentation</w:t>
                              </w:r>
                            </w:p>
                            <w:p w14:paraId="701BE475" w14:textId="77777777" w:rsidR="005A41EC" w:rsidRDefault="005A41EC" w:rsidP="003D4AFD">
                              <w:pPr>
                                <w:spacing w:line="254" w:lineRule="auto"/>
                                <w:jc w:val="center"/>
                                <w:rPr>
                                  <w:rFonts w:ascii="Microsoft Sans Serif" w:eastAsia="Calibri" w:hAnsi="Microsoft Sans Serif"/>
                                </w:rPr>
                              </w:pPr>
                            </w:p>
                            <w:p w14:paraId="79185F2D" w14:textId="77777777" w:rsidR="005A41EC" w:rsidRDefault="005A41EC" w:rsidP="003D4AFD">
                              <w:pPr>
                                <w:spacing w:line="252" w:lineRule="auto"/>
                                <w:jc w:val="center"/>
                                <w:rPr>
                                  <w:rFonts w:ascii="Microsoft Sans Serif" w:eastAsia="Calibri" w:hAnsi="Microsoft Sans Serif"/>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74341110" name="Rectangle 1174341110"/>
                        <wps:cNvSpPr/>
                        <wps:spPr>
                          <a:xfrm>
                            <a:off x="3209027" y="1809703"/>
                            <a:ext cx="2631056" cy="437273"/>
                          </a:xfrm>
                          <a:prstGeom prst="rect">
                            <a:avLst/>
                          </a:prstGeom>
                          <a:ln w="19050">
                            <a:solidFill>
                              <a:schemeClr val="accent1"/>
                            </a:solidFill>
                            <a:prstDash val="sysDash"/>
                          </a:ln>
                        </wps:spPr>
                        <wps:style>
                          <a:lnRef idx="2">
                            <a:schemeClr val="dk1"/>
                          </a:lnRef>
                          <a:fillRef idx="1">
                            <a:schemeClr val="lt1"/>
                          </a:fillRef>
                          <a:effectRef idx="0">
                            <a:schemeClr val="dk1"/>
                          </a:effectRef>
                          <a:fontRef idx="minor">
                            <a:schemeClr val="dk1"/>
                          </a:fontRef>
                        </wps:style>
                        <wps:txbx>
                          <w:txbxContent>
                            <w:p w14:paraId="37083929" w14:textId="77777777" w:rsidR="005A41EC" w:rsidRPr="004918FE" w:rsidRDefault="005A41EC" w:rsidP="003D4AFD">
                              <w:pPr>
                                <w:spacing w:line="252"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LandTrendr annual continuous impervious surface cover (2001 -2020)</w:t>
                              </w:r>
                            </w:p>
                            <w:p w14:paraId="51859E74" w14:textId="77777777" w:rsidR="005A41EC" w:rsidRPr="004918FE" w:rsidRDefault="005A41EC" w:rsidP="003D4AFD">
                              <w:pPr>
                                <w:spacing w:line="256" w:lineRule="auto"/>
                                <w:jc w:val="center"/>
                                <w:rPr>
                                  <w:rFonts w:ascii="Times New Roman" w:eastAsia="Calibri" w:hAnsi="Times New Roman"/>
                                  <w:sz w:val="22"/>
                                  <w:szCs w:val="22"/>
                                </w:rPr>
                              </w:pPr>
                              <w:r w:rsidRPr="004918FE">
                                <w:rPr>
                                  <w:rFonts w:eastAsia="Calibri"/>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73517919" name="Rectangle 1173517919"/>
                        <wps:cNvSpPr/>
                        <wps:spPr>
                          <a:xfrm>
                            <a:off x="73154" y="1809825"/>
                            <a:ext cx="2445760" cy="437273"/>
                          </a:xfrm>
                          <a:prstGeom prst="rect">
                            <a:avLst/>
                          </a:prstGeom>
                          <a:ln w="19050">
                            <a:solidFill>
                              <a:schemeClr val="accent1"/>
                            </a:solidFill>
                            <a:prstDash val="sysDash"/>
                          </a:ln>
                        </wps:spPr>
                        <wps:style>
                          <a:lnRef idx="2">
                            <a:schemeClr val="dk1"/>
                          </a:lnRef>
                          <a:fillRef idx="1">
                            <a:schemeClr val="lt1"/>
                          </a:fillRef>
                          <a:effectRef idx="0">
                            <a:schemeClr val="dk1"/>
                          </a:effectRef>
                          <a:fontRef idx="minor">
                            <a:schemeClr val="dk1"/>
                          </a:fontRef>
                        </wps:style>
                        <wps:txbx>
                          <w:txbxContent>
                            <w:p w14:paraId="0E1CA9B3" w14:textId="77777777" w:rsidR="005A41EC" w:rsidRPr="004918FE" w:rsidRDefault="005A41EC" w:rsidP="003D4AFD">
                              <w:pPr>
                                <w:spacing w:line="252"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Developed area classification and accuracy assessment (2001 -2020)</w:t>
                              </w:r>
                            </w:p>
                            <w:p w14:paraId="7CA6FE88" w14:textId="77777777" w:rsidR="005A41EC" w:rsidRPr="004918FE" w:rsidRDefault="005A41EC" w:rsidP="003D4AFD">
                              <w:pPr>
                                <w:spacing w:line="254" w:lineRule="auto"/>
                                <w:jc w:val="center"/>
                                <w:rPr>
                                  <w:rFonts w:ascii="Times New Roman" w:eastAsia="Calibri" w:hAnsi="Times New Roman"/>
                                  <w:sz w:val="22"/>
                                  <w:szCs w:val="22"/>
                                </w:rPr>
                              </w:pPr>
                              <w:r w:rsidRPr="004918FE">
                                <w:rPr>
                                  <w:rFonts w:eastAsia="Calibri"/>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34735411" name="Rectangle 2134735411"/>
                        <wps:cNvSpPr/>
                        <wps:spPr>
                          <a:xfrm>
                            <a:off x="73153" y="2519344"/>
                            <a:ext cx="2446264" cy="596378"/>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D7FA4B0" w14:textId="77777777" w:rsidR="005A41EC" w:rsidRPr="004918FE" w:rsidRDefault="005A41EC" w:rsidP="003D4AFD">
                              <w:pPr>
                                <w:spacing w:line="252" w:lineRule="auto"/>
                                <w:jc w:val="center"/>
                                <w:rPr>
                                  <w:rFonts w:ascii="Times New Roman" w:eastAsia="Calibri" w:hAnsi="Times New Roman" w:cs="Arial"/>
                                  <w:sz w:val="22"/>
                                  <w:szCs w:val="22"/>
                                </w:rPr>
                              </w:pPr>
                              <w:r w:rsidRPr="004918FE">
                                <w:rPr>
                                  <w:rFonts w:ascii="Microsoft Sans Serif" w:eastAsia="Calibri" w:hAnsi="Microsoft Sans Serif" w:cs="Arial"/>
                                  <w:sz w:val="22"/>
                                  <w:szCs w:val="22"/>
                                </w:rPr>
                                <w:t>Generate developed area summaries within Africapolis city boundaries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42554176" name="Rectangle 1342554176"/>
                        <wps:cNvSpPr/>
                        <wps:spPr>
                          <a:xfrm>
                            <a:off x="3209027" y="3398438"/>
                            <a:ext cx="2605178" cy="436880"/>
                          </a:xfrm>
                          <a:prstGeom prst="rect">
                            <a:avLst/>
                          </a:prstGeom>
                          <a:ln w="19050">
                            <a:solidFill>
                              <a:schemeClr val="accent1"/>
                            </a:solidFill>
                            <a:prstDash val="sysDash"/>
                          </a:ln>
                        </wps:spPr>
                        <wps:style>
                          <a:lnRef idx="2">
                            <a:schemeClr val="dk1"/>
                          </a:lnRef>
                          <a:fillRef idx="1">
                            <a:schemeClr val="lt1"/>
                          </a:fillRef>
                          <a:effectRef idx="0">
                            <a:schemeClr val="dk1"/>
                          </a:effectRef>
                          <a:fontRef idx="minor">
                            <a:schemeClr val="dk1"/>
                          </a:fontRef>
                        </wps:style>
                        <wps:txbx>
                          <w:txbxContent>
                            <w:p w14:paraId="14DDC264" w14:textId="77777777" w:rsidR="005A41EC" w:rsidRPr="004918FE" w:rsidRDefault="005A41EC" w:rsidP="003D4AFD">
                              <w:pPr>
                                <w:spacing w:line="252" w:lineRule="auto"/>
                                <w:jc w:val="center"/>
                                <w:rPr>
                                  <w:rFonts w:ascii="Microsoft Sans Serif" w:eastAsia="Calibri" w:hAnsi="Microsoft Sans Serif" w:cs="Arial"/>
                                  <w:sz w:val="22"/>
                                  <w:szCs w:val="22"/>
                                </w:rPr>
                              </w:pPr>
                              <w:r w:rsidRPr="004918FE">
                                <w:rPr>
                                  <w:rFonts w:ascii="Microsoft Sans Serif" w:eastAsia="Calibri" w:hAnsi="Microsoft Sans Serif" w:cs="Arial"/>
                                  <w:sz w:val="22"/>
                                  <w:szCs w:val="22"/>
                                </w:rPr>
                                <w:t>Compute gravity index for secondary cities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4004341" name="Rectangle 324004341"/>
                        <wps:cNvSpPr/>
                        <wps:spPr>
                          <a:xfrm>
                            <a:off x="56431" y="3326684"/>
                            <a:ext cx="2453855" cy="607146"/>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A7730A0" w14:textId="77777777" w:rsidR="005A41EC" w:rsidRPr="004918FE" w:rsidRDefault="005A41EC" w:rsidP="003D4AFD">
                              <w:pPr>
                                <w:spacing w:line="252" w:lineRule="auto"/>
                                <w:jc w:val="center"/>
                                <w:rPr>
                                  <w:rFonts w:ascii="Microsoft Sans Serif" w:eastAsia="Calibri" w:hAnsi="Microsoft Sans Serif" w:cs="Arial"/>
                                  <w:sz w:val="22"/>
                                  <w:szCs w:val="22"/>
                                </w:rPr>
                              </w:pPr>
                              <w:r w:rsidRPr="004918FE">
                                <w:rPr>
                                  <w:rFonts w:ascii="Microsoft Sans Serif" w:eastAsia="Calibri" w:hAnsi="Microsoft Sans Serif" w:cs="Arial"/>
                                  <w:sz w:val="22"/>
                                  <w:szCs w:val="22"/>
                                </w:rPr>
                                <w:t>Model the relationship between expansion rate versus developed area and gravity index</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7537325" name="Straight Arrow Connector 367537325"/>
                        <wps:cNvCnPr>
                          <a:stCxn id="533315373" idx="1"/>
                        </wps:cNvCnPr>
                        <wps:spPr>
                          <a:xfrm flipH="1">
                            <a:off x="4554746" y="516694"/>
                            <a:ext cx="306170" cy="28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71076088" name="Straight Arrow Connector 1671076088"/>
                        <wps:cNvCnPr/>
                        <wps:spPr>
                          <a:xfrm>
                            <a:off x="1078301" y="1011216"/>
                            <a:ext cx="0" cy="2849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1654561" name="Straight Arrow Connector 551654561"/>
                        <wps:cNvCnPr/>
                        <wps:spPr>
                          <a:xfrm>
                            <a:off x="2518914" y="1425184"/>
                            <a:ext cx="67678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5666457" name="Straight Arrow Connector 105666457"/>
                        <wps:cNvCnPr/>
                        <wps:spPr>
                          <a:xfrm>
                            <a:off x="4511615" y="1580574"/>
                            <a:ext cx="0" cy="2293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79573675" name="Straight Arrow Connector 879573675"/>
                        <wps:cNvCnPr/>
                        <wps:spPr>
                          <a:xfrm>
                            <a:off x="1259457" y="2247237"/>
                            <a:ext cx="0" cy="2724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6669497" name="Straight Arrow Connector 1526669497"/>
                        <wps:cNvCnPr/>
                        <wps:spPr>
                          <a:xfrm>
                            <a:off x="2501660" y="855884"/>
                            <a:ext cx="0" cy="440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40083662" name="Straight Arrow Connector 1640083662"/>
                        <wps:cNvCnPr/>
                        <wps:spPr>
                          <a:xfrm flipH="1">
                            <a:off x="2518914" y="2028326"/>
                            <a:ext cx="69011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52781170" name="Straight Arrow Connector 2052781170"/>
                        <wps:cNvCnPr/>
                        <wps:spPr>
                          <a:xfrm flipH="1">
                            <a:off x="2519417" y="2799570"/>
                            <a:ext cx="6896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70579336" name="Straight Arrow Connector 2070579336"/>
                        <wps:cNvCnPr/>
                        <wps:spPr>
                          <a:xfrm flipH="1">
                            <a:off x="2506093" y="3617988"/>
                            <a:ext cx="6896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6067404" name="Straight Arrow Connector 376067404"/>
                        <wps:cNvCnPr/>
                        <wps:spPr>
                          <a:xfrm>
                            <a:off x="1271954" y="3115893"/>
                            <a:ext cx="0" cy="211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7393344" name="Straight Arrow Connector 367393344"/>
                        <wps:cNvCnPr/>
                        <wps:spPr>
                          <a:xfrm>
                            <a:off x="4524375" y="3028893"/>
                            <a:ext cx="0" cy="3693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55271885" name="Straight Arrow Connector 1755271885"/>
                        <wps:cNvCnPr/>
                        <wps:spPr>
                          <a:xfrm>
                            <a:off x="2518914" y="3115301"/>
                            <a:ext cx="690113" cy="3100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0FB19AC" id="Canvas 1423222058" o:spid="_x0000_s1026" editas="canvas" style="width:468pt;height:309.95pt;mso-position-horizontal-relative:char;mso-position-vertical-relative:line" coordsize="59436,39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9363;visibility:visible;mso-wrap-style:square" filled="t">
                  <v:fill o:detectmouseclick="t"/>
                  <v:path o:connecttype="none"/>
                </v:shape>
                <v:shape id="Picture 533315373" o:spid="_x0000_s1028" type="#_x0000_t75" alt="A picture containing text, tree, outdoor&#10;&#10;Description automatically generated" style="position:absolute;left:48609;width:9964;height:10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">
                  <v:imagedata r:id="rId13" o:title="A picture containing text, tree, outdoor&#10;&#10;Description automatically generated"/>
                </v:shape>
                <v:rect id="Rectangle 349315043" o:spid="_x0000_s1029" style="position:absolute;left:731;top:626;width:20300;height:9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" fillcolor="white [3201]" strokecolor="#365f91 [2404]" strokeweight="1.5pt">
                  <v:textbox>
                    <w:txbxContent>
                      <w:p w14:paraId="1DD73C42" w14:textId="77777777" w:rsidR="005A41EC" w:rsidRPr="003D4AFD" w:rsidRDefault="005A41EC" w:rsidP="003D4AFD">
                        <w:pPr>
                          <w:spacing w:line="254" w:lineRule="auto"/>
                          <w:jc w:val="center"/>
                          <w:rPr>
                            <w:sz w:val="22"/>
                            <w:szCs w:val="22"/>
                          </w:rPr>
                        </w:pPr>
                        <w:r w:rsidRPr="003D4AFD">
                          <w:rPr>
                            <w:rFonts w:ascii="Microsoft Sans Serif" w:hAnsi="Microsoft Sans Serif" w:cs="Microsoft Sans Serif"/>
                            <w:sz w:val="22"/>
                            <w:szCs w:val="22"/>
                          </w:rPr>
                          <w:t>Landsat 7 &amp; 8 surface reflectance image collection processing, spectral index calculation, and annual composite generation</w:t>
                        </w:r>
                      </w:p>
                    </w:txbxContent>
                  </v:textbox>
                </v:rect>
                <v:rect id="Rectangle 1192919870" o:spid="_x0000_s1030" style="position:absolute;left:25016;top:2003;width:20617;height:6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" fillcolor="white [3201]" strokecolor="#365f91 [2404]" strokeweight="1.5pt">
                  <v:textbox>
                    <w:txbxContent>
                      <w:p w14:paraId="652F6CBE" w14:textId="77777777" w:rsidR="005A41EC" w:rsidRPr="004918FE" w:rsidRDefault="005A41EC" w:rsidP="003D4AFD">
                        <w:pPr>
                          <w:spacing w:line="256"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46,790 total interpreted plots</w:t>
                        </w:r>
                      </w:p>
                      <w:p w14:paraId="676B9AC6" w14:textId="77777777" w:rsidR="005A41EC" w:rsidRPr="004918FE" w:rsidRDefault="005A41EC" w:rsidP="003D4AFD">
                        <w:pPr>
                          <w:spacing w:line="256"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75% for training</w:t>
                        </w:r>
                      </w:p>
                      <w:p w14:paraId="261D9165" w14:textId="77777777" w:rsidR="005A41EC" w:rsidRPr="004918FE" w:rsidRDefault="005A41EC" w:rsidP="003D4AFD">
                        <w:pPr>
                          <w:spacing w:line="256"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25% for validation</w:t>
                        </w:r>
                      </w:p>
                      <w:p w14:paraId="575FA602" w14:textId="77777777" w:rsidR="005A41EC" w:rsidRPr="004918FE" w:rsidRDefault="005A41EC" w:rsidP="003D4AFD">
                        <w:pPr>
                          <w:spacing w:line="256" w:lineRule="auto"/>
                          <w:jc w:val="center"/>
                          <w:rPr>
                            <w:rFonts w:ascii="Times New Roman" w:eastAsia="Calibri" w:hAnsi="Times New Roman"/>
                            <w:sz w:val="22"/>
                            <w:szCs w:val="22"/>
                          </w:rPr>
                        </w:pPr>
                        <w:r w:rsidRPr="004918FE">
                          <w:rPr>
                            <w:rFonts w:eastAsia="Calibri"/>
                            <w:sz w:val="22"/>
                            <w:szCs w:val="22"/>
                          </w:rPr>
                          <w:t> </w:t>
                        </w:r>
                      </w:p>
                    </w:txbxContent>
                  </v:textbox>
                </v:rect>
                <v:rect id="Rectangle 1112215020" o:spid="_x0000_s1031" style="position:absolute;left:645;top:12962;width:24544;height:2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" fillcolor="white [3201]" strokecolor="#c00000" strokeweight="1.5pt">
                  <v:textbox>
                    <w:txbxContent>
                      <w:p w14:paraId="0B707E29" w14:textId="6E1CF3B8" w:rsidR="005A41EC" w:rsidRPr="004918FE" w:rsidRDefault="005A41EC" w:rsidP="003D4AFD">
                        <w:pPr>
                          <w:spacing w:line="256"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Model fitting with random forest</w:t>
                        </w:r>
                      </w:p>
                    </w:txbxContent>
                  </v:textbox>
                </v:rect>
                <v:rect id="Rectangle 2075448381" o:spid="_x0000_s1032" style="position:absolute;left:32090;top:25832;width:26310;height:4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" fillcolor="white [3201]" strokecolor="#365f91 [2404]" strokeweight="1.5pt">
                  <v:textbox>
                    <w:txbxContent>
                      <w:p w14:paraId="75A49FCA" w14:textId="77777777" w:rsidR="005A41EC" w:rsidRPr="004918FE" w:rsidRDefault="005A41EC" w:rsidP="003D4AFD">
                        <w:pPr>
                          <w:spacing w:line="254"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Classification of cities (small, medium, and large) using Africapolis data</w:t>
                        </w:r>
                      </w:p>
                    </w:txbxContent>
                  </v:textbox>
                </v:rect>
                <v:rect id="Rectangle 1357211328" o:spid="_x0000_s1033" style="position:absolute;left:31957;top:12961;width:26530;height:2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" fillcolor="white [3201]" strokecolor="#c00000" strokeweight="1.5pt">
                  <v:textbox>
                    <w:txbxContent>
                      <w:p w14:paraId="479311BA" w14:textId="77777777" w:rsidR="005A41EC" w:rsidRDefault="005A41EC" w:rsidP="003D4AFD">
                        <w:pPr>
                          <w:spacing w:line="252" w:lineRule="auto"/>
                          <w:jc w:val="center"/>
                          <w:rPr>
                            <w:rFonts w:ascii="Microsoft Sans Serif" w:eastAsia="Calibri" w:hAnsi="Microsoft Sans Serif"/>
                          </w:rPr>
                        </w:pPr>
                        <w:r>
                          <w:rPr>
                            <w:rFonts w:ascii="Microsoft Sans Serif" w:eastAsia="Calibri" w:hAnsi="Microsoft Sans Serif"/>
                          </w:rPr>
                          <w:t>LandTrendr temporal segmentation</w:t>
                        </w:r>
                      </w:p>
                      <w:p w14:paraId="701BE475" w14:textId="77777777" w:rsidR="005A41EC" w:rsidRDefault="005A41EC" w:rsidP="003D4AFD">
                        <w:pPr>
                          <w:spacing w:line="254" w:lineRule="auto"/>
                          <w:jc w:val="center"/>
                          <w:rPr>
                            <w:rFonts w:ascii="Microsoft Sans Serif" w:eastAsia="Calibri" w:hAnsi="Microsoft Sans Serif"/>
                          </w:rPr>
                        </w:pPr>
                      </w:p>
                      <w:p w14:paraId="79185F2D" w14:textId="77777777" w:rsidR="005A41EC" w:rsidRDefault="005A41EC" w:rsidP="003D4AFD">
                        <w:pPr>
                          <w:spacing w:line="252" w:lineRule="auto"/>
                          <w:jc w:val="center"/>
                          <w:rPr>
                            <w:rFonts w:ascii="Microsoft Sans Serif" w:eastAsia="Calibri" w:hAnsi="Microsoft Sans Serif"/>
                          </w:rPr>
                        </w:pPr>
                      </w:p>
                    </w:txbxContent>
                  </v:textbox>
                </v:rect>
                <v:rect id="Rectangle 1174341110" o:spid="_x0000_s1034" style="position:absolute;left:32090;top:18097;width:26310;height:4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" fillcolor="white [3201]" strokecolor="#4f81bd [3204]" strokeweight="1.5pt">
                  <v:stroke dashstyle="3 1"/>
                  <v:textbox>
                    <w:txbxContent>
                      <w:p w14:paraId="37083929" w14:textId="77777777" w:rsidR="005A41EC" w:rsidRPr="004918FE" w:rsidRDefault="005A41EC" w:rsidP="003D4AFD">
                        <w:pPr>
                          <w:spacing w:line="252"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LandTrendr annual continuous impervious surface cover (2001 -2020)</w:t>
                        </w:r>
                      </w:p>
                      <w:p w14:paraId="51859E74" w14:textId="77777777" w:rsidR="005A41EC" w:rsidRPr="004918FE" w:rsidRDefault="005A41EC" w:rsidP="003D4AFD">
                        <w:pPr>
                          <w:spacing w:line="256" w:lineRule="auto"/>
                          <w:jc w:val="center"/>
                          <w:rPr>
                            <w:rFonts w:ascii="Times New Roman" w:eastAsia="Calibri" w:hAnsi="Times New Roman"/>
                            <w:sz w:val="22"/>
                            <w:szCs w:val="22"/>
                          </w:rPr>
                        </w:pPr>
                        <w:r w:rsidRPr="004918FE">
                          <w:rPr>
                            <w:rFonts w:eastAsia="Calibri"/>
                            <w:sz w:val="22"/>
                            <w:szCs w:val="22"/>
                          </w:rPr>
                          <w:t> </w:t>
                        </w:r>
                      </w:p>
                    </w:txbxContent>
                  </v:textbox>
                </v:rect>
                <v:rect id="Rectangle 1173517919" o:spid="_x0000_s1035" style="position:absolute;left:731;top:18098;width:24458;height:4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" fillcolor="white [3201]" strokecolor="#4f81bd [3204]" strokeweight="1.5pt">
                  <v:stroke dashstyle="3 1"/>
                  <v:textbox>
                    <w:txbxContent>
                      <w:p w14:paraId="0E1CA9B3" w14:textId="77777777" w:rsidR="005A41EC" w:rsidRPr="004918FE" w:rsidRDefault="005A41EC" w:rsidP="003D4AFD">
                        <w:pPr>
                          <w:spacing w:line="252" w:lineRule="auto"/>
                          <w:jc w:val="center"/>
                          <w:rPr>
                            <w:rFonts w:ascii="Microsoft Sans Serif" w:eastAsia="Calibri" w:hAnsi="Microsoft Sans Serif"/>
                            <w:sz w:val="22"/>
                            <w:szCs w:val="22"/>
                          </w:rPr>
                        </w:pPr>
                        <w:r w:rsidRPr="004918FE">
                          <w:rPr>
                            <w:rFonts w:ascii="Microsoft Sans Serif" w:eastAsia="Calibri" w:hAnsi="Microsoft Sans Serif"/>
                            <w:sz w:val="22"/>
                            <w:szCs w:val="22"/>
                          </w:rPr>
                          <w:t>Developed area classification and accuracy assessment (2001 -2020)</w:t>
                        </w:r>
                      </w:p>
                      <w:p w14:paraId="7CA6FE88" w14:textId="77777777" w:rsidR="005A41EC" w:rsidRPr="004918FE" w:rsidRDefault="005A41EC" w:rsidP="003D4AFD">
                        <w:pPr>
                          <w:spacing w:line="254" w:lineRule="auto"/>
                          <w:jc w:val="center"/>
                          <w:rPr>
                            <w:rFonts w:ascii="Times New Roman" w:eastAsia="Calibri" w:hAnsi="Times New Roman"/>
                            <w:sz w:val="22"/>
                            <w:szCs w:val="22"/>
                          </w:rPr>
                        </w:pPr>
                        <w:r w:rsidRPr="004918FE">
                          <w:rPr>
                            <w:rFonts w:eastAsia="Calibri"/>
                            <w:sz w:val="22"/>
                            <w:szCs w:val="22"/>
                          </w:rPr>
                          <w:t> </w:t>
                        </w:r>
                      </w:p>
                    </w:txbxContent>
                  </v:textbox>
                </v:rect>
                <v:rect id="Rectangle 2134735411" o:spid="_x0000_s1036" style="position:absolute;left:731;top:25193;width:24463;height:5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" fillcolor="white [3201]" strokecolor="black [3200]" strokeweight="1.5pt">
                  <v:textbox>
                    <w:txbxContent>
                      <w:p w14:paraId="2D7FA4B0" w14:textId="77777777" w:rsidR="005A41EC" w:rsidRPr="004918FE" w:rsidRDefault="005A41EC" w:rsidP="003D4AFD">
                        <w:pPr>
                          <w:spacing w:line="252" w:lineRule="auto"/>
                          <w:jc w:val="center"/>
                          <w:rPr>
                            <w:rFonts w:ascii="Times New Roman" w:eastAsia="Calibri" w:hAnsi="Times New Roman" w:cs="Arial"/>
                            <w:sz w:val="22"/>
                            <w:szCs w:val="22"/>
                          </w:rPr>
                        </w:pPr>
                        <w:r w:rsidRPr="004918FE">
                          <w:rPr>
                            <w:rFonts w:ascii="Microsoft Sans Serif" w:eastAsia="Calibri" w:hAnsi="Microsoft Sans Serif" w:cs="Arial"/>
                            <w:sz w:val="22"/>
                            <w:szCs w:val="22"/>
                          </w:rPr>
                          <w:t>Generate developed area summaries within Africapolis city boundaries</w:t>
                        </w:r>
                      </w:p>
                    </w:txbxContent>
                  </v:textbox>
                </v:rect>
                <v:rect id="Rectangle 1342554176" o:spid="_x0000_s1037" style="position:absolute;left:32090;top:33984;width:26052;height:4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" fillcolor="white [3201]" strokecolor="#4f81bd [3204]" strokeweight="1.5pt">
                  <v:stroke dashstyle="3 1"/>
                  <v:textbox>
                    <w:txbxContent>
                      <w:p w14:paraId="14DDC264" w14:textId="77777777" w:rsidR="005A41EC" w:rsidRPr="004918FE" w:rsidRDefault="005A41EC" w:rsidP="003D4AFD">
                        <w:pPr>
                          <w:spacing w:line="252" w:lineRule="auto"/>
                          <w:jc w:val="center"/>
                          <w:rPr>
                            <w:rFonts w:ascii="Microsoft Sans Serif" w:eastAsia="Calibri" w:hAnsi="Microsoft Sans Serif" w:cs="Arial"/>
                            <w:sz w:val="22"/>
                            <w:szCs w:val="22"/>
                          </w:rPr>
                        </w:pPr>
                        <w:r w:rsidRPr="004918FE">
                          <w:rPr>
                            <w:rFonts w:ascii="Microsoft Sans Serif" w:eastAsia="Calibri" w:hAnsi="Microsoft Sans Serif" w:cs="Arial"/>
                            <w:sz w:val="22"/>
                            <w:szCs w:val="22"/>
                          </w:rPr>
                          <w:t>Compute gravity index for secondary cities</w:t>
                        </w:r>
                      </w:p>
                    </w:txbxContent>
                  </v:textbox>
                </v:rect>
                <v:rect id="Rectangle 324004341" o:spid="_x0000_s1038" style="position:absolute;left:564;top:33266;width:24538;height:6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" fillcolor="white [3201]" strokecolor="black [3200]" strokeweight="1.5pt">
                  <v:textbox>
                    <w:txbxContent>
                      <w:p w14:paraId="1A7730A0" w14:textId="77777777" w:rsidR="005A41EC" w:rsidRPr="004918FE" w:rsidRDefault="005A41EC" w:rsidP="003D4AFD">
                        <w:pPr>
                          <w:spacing w:line="252" w:lineRule="auto"/>
                          <w:jc w:val="center"/>
                          <w:rPr>
                            <w:rFonts w:ascii="Microsoft Sans Serif" w:eastAsia="Calibri" w:hAnsi="Microsoft Sans Serif" w:cs="Arial"/>
                            <w:sz w:val="22"/>
                            <w:szCs w:val="22"/>
                          </w:rPr>
                        </w:pPr>
                        <w:r w:rsidRPr="004918FE">
                          <w:rPr>
                            <w:rFonts w:ascii="Microsoft Sans Serif" w:eastAsia="Calibri" w:hAnsi="Microsoft Sans Serif" w:cs="Arial"/>
                            <w:sz w:val="22"/>
                            <w:szCs w:val="22"/>
                          </w:rPr>
                          <w:t>Model the relationship between expansion rate versus developed area and gravity index</w:t>
                        </w:r>
                      </w:p>
                    </w:txbxContent>
                  </v:textbox>
                </v:rect>
                <v:shapetype id="_x0000_t32" coordsize="21600,21600" o:spt="32" o:oned="t" path="m,l21600,21600e" filled="f">
                  <v:path arrowok="t" fillok="f" o:connecttype="none"/>
                  <o:lock v:ext="edit" shapetype="t"/>
                </v:shapetype>
                <v:shape id="Straight Arrow Connector 367537325" o:spid="_x0000_s1039" type="#_x0000_t32" style="position:absolute;left:45547;top:5166;width:3062;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" strokecolor="black [3040]">
                  <v:stroke endarrow="block"/>
                </v:shape>
                <v:shape id="Straight Arrow Connector 1671076088" o:spid="_x0000_s1040" type="#_x0000_t32" style="position:absolute;left:10783;top:10112;width:0;height:28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" strokecolor="black [3040]">
                  <v:stroke endarrow="block"/>
                </v:shape>
                <v:shape id="Straight Arrow Connector 551654561" o:spid="_x0000_s1041" type="#_x0000_t32" style="position:absolute;left:25189;top:14251;width:67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" strokecolor="black [3040]">
                  <v:stroke endarrow="block"/>
                </v:shape>
                <v:shape id="Straight Arrow Connector 105666457" o:spid="_x0000_s1042" type="#_x0000_t32" style="position:absolute;left:45116;top:15805;width:0;height:22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" strokecolor="black [3040]">
                  <v:stroke endarrow="block"/>
                </v:shape>
                <v:shape id="Straight Arrow Connector 879573675" o:spid="_x0000_s1043" type="#_x0000_t32" style="position:absolute;left:12594;top:22472;width:0;height:2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" strokecolor="black [3040]">
                  <v:stroke endarrow="block"/>
                </v:shape>
                <v:shape id="Straight Arrow Connector 1526669497" o:spid="_x0000_s1044" type="#_x0000_t32" style="position:absolute;left:25016;top:8558;width:0;height:4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" strokecolor="black [3040]">
                  <v:stroke endarrow="block"/>
                </v:shape>
                <v:shape id="Straight Arrow Connector 1640083662" o:spid="_x0000_s1045" type="#_x0000_t32" style="position:absolute;left:25189;top:20283;width:6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" strokecolor="black [3040]">
                  <v:stroke endarrow="block"/>
                </v:shape>
                <v:shape id="Straight Arrow Connector 2052781170" o:spid="_x0000_s1046" type="#_x0000_t32" style="position:absolute;left:25194;top:27995;width:68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" strokecolor="black [3040]">
                  <v:stroke endarrow="block"/>
                </v:shape>
                <v:shape id="Straight Arrow Connector 2070579336" o:spid="_x0000_s1047" type="#_x0000_t32" style="position:absolute;left:25060;top:36179;width:68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" strokecolor="black [3040]">
                  <v:stroke endarrow="block"/>
                </v:shape>
                <v:shape id="Straight Arrow Connector 376067404" o:spid="_x0000_s1048" type="#_x0000_t32" style="position:absolute;left:12719;top:31158;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" strokecolor="black [3040]">
                  <v:stroke endarrow="block"/>
                </v:shape>
                <v:shape id="Straight Arrow Connector 367393344" o:spid="_x0000_s1049" type="#_x0000_t32" style="position:absolute;left:45243;top:30288;width:0;height:36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" strokecolor="black [3040]">
                  <v:stroke endarrow="block"/>
                </v:shape>
                <v:shape id="Straight Arrow Connector 1755271885" o:spid="_x0000_s1050" type="#_x0000_t32" style="position:absolute;left:25189;top:31153;width:6901;height:31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" strokecolor="black [3040]">
                  <v:stroke endarrow="block"/>
                </v:shape>
                <w10:anchorlock/>
              </v:group>
            </w:pict>
          </mc:Fallback>
        </mc:AlternateContent>
      </w:r>
    </w:p>
    <w:p w14:paraId="7FE25768" w14:textId="77777777" w:rsidR="003D4AFD" w:rsidRDefault="003D4AFD" w:rsidP="00103457">
      <w:pPr>
        <w:spacing w:line="240" w:lineRule="auto"/>
        <w:rPr>
          <w:rFonts w:ascii="Times New Roman" w:hAnsi="Times New Roman"/>
          <w:color w:val="000000"/>
        </w:rPr>
      </w:pPr>
    </w:p>
    <w:p w14:paraId="3EA41BC1" w14:textId="2F9B5D33" w:rsidR="00103457" w:rsidRPr="00103457" w:rsidRDefault="00103457" w:rsidP="00103457">
      <w:pPr>
        <w:spacing w:line="240" w:lineRule="auto"/>
        <w:rPr>
          <w:rFonts w:ascii="Times New Roman" w:hAnsi="Times New Roman"/>
          <w:color w:val="000000"/>
        </w:rPr>
      </w:pPr>
      <w:bookmarkStart w:id="26" w:name="_Ref169888016"/>
      <w:bookmarkStart w:id="27" w:name="_Toc172233498"/>
      <w:r w:rsidRPr="00D22164">
        <w:rPr>
          <w:rFonts w:ascii="Times New Roman" w:hAnsi="Times New Roman"/>
          <w:b/>
          <w:bCs/>
          <w:color w:val="000000"/>
        </w:rPr>
        <w:t xml:space="preserve">Figure </w:t>
      </w:r>
      <w:r w:rsidRPr="00D22164">
        <w:rPr>
          <w:rFonts w:ascii="Times New Roman" w:hAnsi="Times New Roman"/>
          <w:b/>
          <w:bCs/>
          <w:color w:val="000000"/>
        </w:rPr>
        <w:fldChar w:fldCharType="begin"/>
      </w:r>
      <w:r w:rsidRPr="00D22164">
        <w:rPr>
          <w:rFonts w:ascii="Times New Roman" w:hAnsi="Times New Roman"/>
          <w:b/>
          <w:bCs/>
          <w:color w:val="000000"/>
        </w:rPr>
        <w:instrText xml:space="preserve"> SEQ Figure \* ARABIC </w:instrText>
      </w:r>
      <w:r w:rsidRPr="00D22164">
        <w:rPr>
          <w:rFonts w:ascii="Times New Roman" w:hAnsi="Times New Roman"/>
          <w:b/>
          <w:bCs/>
          <w:color w:val="000000"/>
        </w:rPr>
        <w:fldChar w:fldCharType="separate"/>
      </w:r>
      <w:r w:rsidR="00B129D9">
        <w:rPr>
          <w:rFonts w:ascii="Times New Roman" w:hAnsi="Times New Roman"/>
          <w:b/>
          <w:bCs/>
          <w:noProof/>
          <w:color w:val="000000"/>
        </w:rPr>
        <w:t>1</w:t>
      </w:r>
      <w:r w:rsidRPr="00D22164">
        <w:rPr>
          <w:rFonts w:ascii="Times New Roman" w:hAnsi="Times New Roman"/>
          <w:b/>
          <w:bCs/>
          <w:color w:val="000000"/>
        </w:rPr>
        <w:fldChar w:fldCharType="end"/>
      </w:r>
      <w:bookmarkEnd w:id="25"/>
      <w:bookmarkEnd w:id="26"/>
      <w:r w:rsidRPr="00103457">
        <w:rPr>
          <w:rFonts w:ascii="Times New Roman" w:hAnsi="Times New Roman"/>
          <w:color w:val="000000"/>
        </w:rPr>
        <w:t>: Flow chart showing the data processing and analysis methods used in this study. The blue boxes indicate raw data, the red boxes indicate algorithms used to process the data, the dashed blue boxes show processed data, and the black boxes show the data summary and analysis stages.</w:t>
      </w:r>
      <w:bookmarkEnd w:id="27"/>
      <w:r w:rsidRPr="00103457">
        <w:rPr>
          <w:rFonts w:ascii="Times New Roman" w:hAnsi="Times New Roman"/>
          <w:color w:val="000000"/>
        </w:rPr>
        <w:t xml:space="preserve"> </w:t>
      </w:r>
    </w:p>
    <w:p w14:paraId="38C9970D" w14:textId="77777777" w:rsidR="00103457" w:rsidRPr="00103457" w:rsidRDefault="00103457" w:rsidP="00103457">
      <w:pPr>
        <w:rPr>
          <w:rFonts w:ascii="Times New Roman" w:hAnsi="Times New Roman"/>
          <w:color w:val="000000"/>
        </w:rPr>
      </w:pPr>
    </w:p>
    <w:p w14:paraId="28B4A2B1" w14:textId="77777777" w:rsidR="006F7C17" w:rsidRPr="00103457" w:rsidRDefault="006F7C17" w:rsidP="00277F12">
      <w:pPr>
        <w:pStyle w:val="Heading3"/>
        <w:rPr>
          <w:rFonts w:ascii="Times" w:hAnsi="Times"/>
        </w:rPr>
      </w:pPr>
      <w:bookmarkStart w:id="28" w:name="_Toc172288710"/>
      <w:bookmarkStart w:id="29" w:name="_Hlk157967491"/>
      <w:r w:rsidRPr="00103457">
        <w:t>Study area</w:t>
      </w:r>
      <w:bookmarkEnd w:id="28"/>
    </w:p>
    <w:p w14:paraId="34D23964" w14:textId="77777777" w:rsidR="00103457" w:rsidRPr="00103457" w:rsidRDefault="00103457" w:rsidP="00103457">
      <w:pPr>
        <w:ind w:firstLine="360"/>
        <w:rPr>
          <w:rFonts w:ascii="Times New Roman" w:hAnsi="Times New Roman"/>
          <w:color w:val="000000"/>
        </w:rPr>
      </w:pPr>
      <w:bookmarkStart w:id="30" w:name="_Hlk142311396"/>
      <w:bookmarkStart w:id="31" w:name="_Hlk142311423"/>
      <w:bookmarkEnd w:id="29"/>
      <w:r w:rsidRPr="00103457">
        <w:rPr>
          <w:rFonts w:ascii="Times New Roman" w:hAnsi="Times New Roman"/>
          <w:color w:val="000000"/>
        </w:rPr>
        <w:t>We focused on Ghana, Togo, Benin, and Nigeria, which cover approximately 1.3 million km</w:t>
      </w:r>
      <w:r w:rsidRPr="00103457">
        <w:rPr>
          <w:rFonts w:ascii="Times New Roman" w:hAnsi="Times New Roman"/>
          <w:color w:val="000000"/>
          <w:vertAlign w:val="superscript"/>
        </w:rPr>
        <w:t>2</w:t>
      </w:r>
      <w:r w:rsidRPr="00103457">
        <w:rPr>
          <w:rFonts w:ascii="Times New Roman" w:hAnsi="Times New Roman"/>
          <w:color w:val="000000"/>
        </w:rPr>
        <w:t xml:space="preserve"> and contain 73% of the urban residents </w:t>
      </w:r>
      <w:bookmarkEnd w:id="30"/>
      <w:r w:rsidRPr="00103457">
        <w:rPr>
          <w:rFonts w:ascii="Times New Roman" w:hAnsi="Times New Roman"/>
          <w:color w:val="000000"/>
        </w:rPr>
        <w:t xml:space="preserve">in West Africa. The number of urban centers also grew rapidly from 152 to 2296 between 1950 - 2020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{"citationID":"46xl4pr5","properties":{"formattedCitation":"(OECD/SWAC,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(OECD/SWAC, 2020)</w:t>
      </w:r>
      <w:r w:rsidRPr="00103457">
        <w:rPr>
          <w:rFonts w:ascii="Times New Roman" w:hAnsi="Times New Roman"/>
          <w:color w:val="000000"/>
        </w:rPr>
        <w:fldChar w:fldCharType="end"/>
      </w:r>
      <w:r w:rsidRPr="00103457">
        <w:rPr>
          <w:rFonts w:ascii="Times New Roman" w:hAnsi="Times New Roman"/>
          <w:color w:val="000000"/>
        </w:rPr>
        <w:t xml:space="preserve">. The four countries also contain 70% (1603) of the 2296 cities in the region. For consistent analysis of cities’ expansion, we used the Africapolis city boundaries, which are based on a continuous built-up area with less than 200 meters between individual buildings and at least 10,000 population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{"citationID":"9gphxV86","properties":{"formattedCitation":"(OECD/SWAC,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(OECD/SWAC, 2020)</w:t>
      </w:r>
      <w:r w:rsidRPr="00103457">
        <w:rPr>
          <w:rFonts w:ascii="Times New Roman" w:hAnsi="Times New Roman"/>
          <w:color w:val="000000"/>
        </w:rPr>
        <w:fldChar w:fldCharType="end"/>
      </w:r>
      <w:r w:rsidRPr="00103457">
        <w:rPr>
          <w:rFonts w:ascii="Times New Roman" w:hAnsi="Times New Roman"/>
          <w:color w:val="000000"/>
        </w:rPr>
        <w:t xml:space="preserve">. To our knowledge, this is the only database that consistently identifies cities across Africa, allowing for comparative studies. Based on Africapolis population data of cities in 2015, </w:t>
      </w:r>
      <w:r w:rsidRPr="00103457">
        <w:rPr>
          <w:rFonts w:ascii="Times New Roman" w:hAnsi="Times New Roman"/>
          <w:color w:val="000000"/>
        </w:rPr>
        <w:lastRenderedPageBreak/>
        <w:t>we grouped the 1603 cities across the four countries into three types: small (population &gt; 10,000 and &lt;= 50,000), medium (population &gt; 50,000 and =&lt; 1,000,000), and large (population &gt; 1,000,000)</w:t>
      </w:r>
      <w:bookmarkEnd w:id="31"/>
      <w:r w:rsidRPr="00103457">
        <w:rPr>
          <w:rFonts w:ascii="Times New Roman" w:hAnsi="Times New Roman"/>
          <w:color w:val="000000"/>
        </w:rPr>
        <w:t xml:space="preserve">. The small and medium types are the secondary cities with less than a million population, whereas the large type represents the primary cities with over a million people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{"citationID":"si3uKI3a","properties":{"formattedCitation":"(P. I. Korah et al., 2023; Marais &amp; Cloete, 2017)","plainCitation":"(P. I. Korah et al., 2023; Marais &amp; Cloete, 2017)","dontUpdate":true,"noteIndex":0},"citationItems":[{"id":821,"uris":["http://zotero.org/users/8906743/items/A9R5KVJI"],"itemData":{"id":821,"type":"article-journal","abstract":"Urbanization induced growth of secondary cities presents several issues and challenges for sustainable development. Yet, secondary cities continue to receive less attention from scholars, city planners and policymakers in Africa. Understanding the spatial and temporal dynamics of secondary cities is critical for achieving Sustainable Development Goal 11. This paper examines the emerging spatial and temporal evolution of two secondary cities in Northern Ghana. The paper utilizes raster data (1990–2019) and applied landscape metrics to analyze spatial development in Wa and Bolgatanga municipalities along three concentric rings. The results show significant increase in built areas over the study period. Urban development in the two cities is becoming more or less fragmented, dispersed and contiguous. Inadequate spatial planning, weakly regulated development and uncoordi­ nated land markets account for the fragmentated spatial forms. The two cities exhibit a monocentric form that fluctuates, is dynamic, and discontin­ uous. The paper reflects on the implications of the findings and suggests the need for a planned extension of secondary cities in Africa to generate efficient urban forms, curtail sprawl and protect the natural environment.","container-title":"Journal of Urban Affairs","DOI":"10.1080/07352166.2022.2093734","ISSN":"0735-2166, 1467-9906","issue":"3","journalAbbreviation":"Journal of Urban Affairs","language":"en","page":"390-406","source":"DOI.org (Crossref)","title":"Mapping spatial and temporal dynamics in urban growth: The case of secondary cities in northern Ghana","title-short":"Mapping spatial and temporal dynamics in urban growth","URL":"https://www.tandfonline.com/doi/full/10.1080/07352166.2022.2093734","volume":"45","author":[{"family":"Korah","given":"Prosper Issahaku"},{"family":"Jambadu","given":"Lazarus"},{"family":"Nunbogu","given":"Abraham Marshall"}],"accessed":{"date-parts":[["2023",4,30]]},"issued":{"date-parts":[["2023",3,16]]}}},{"id":17,"uris":["http://zotero.org/users/8906743/items/B9ASKJRS","http://zotero.org/users/8906743/items/G8GA7FF6"],"itemData":{"id":17,"type":"article-journal","abstract":"Following on from earlier work dealing with the role of metropolitan municipalities in managing urbanisation, this article assesses the role played by secondary cities in this regard. Although secondary cities have largely provided adequate infrastructure in line with the demands of population growth, three differences between metropolitan municipalities and secondary cities should be noted. First, on most indicators, secondary cities have more outliers than do metropolitan municipalities. Second, household incomes in secondary cities remain lower than those in metropolitan municipalities. Third, the ability of secondary cities to provide basic infrastructure does not differ much from that of metropolitan municipalities. In fact, there is evidence to suggest that, in terms of certain indicators, secondary cities have managed to deliver these faster than their metropolitan counterparts. We argue that the progress made in secondary cities during the period under consideration cannot be separated from the fact that the economic growth in more than 50% of secondary cities has been linked either to mining or to another dominant economic driver.","container-title":"Development Southern Africa","DOI":"10.1080/0376835X.2016.1259993","ISSN":"0376-835X","issue":"2","note":"publisher: Routledge\n_eprint: https://doi.org/10.1080/0376835X.2016.1259993","page":"182-195","source":"Taylor and Francis+NEJM","title":"The role of secondary cities in managing urbanisation in South Africa","URL":"https://doi.org/10.1080/0376835X.2016.1259993","volume":"34","author":[{"family":"Marais","given":"Lochner"},{"family":"Cloete","given":"Jan"}],"accessed":{"date-parts":[["2023",9,4]]},"issued":{"date-parts":[["2017",3,4]]}}}],"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(Korah et al., 2023; Marais &amp; Cloete, 2017)</w:t>
      </w:r>
      <w:r w:rsidRPr="00103457">
        <w:rPr>
          <w:rFonts w:ascii="Times New Roman" w:hAnsi="Times New Roman"/>
          <w:color w:val="000000"/>
        </w:rPr>
        <w:fldChar w:fldCharType="end"/>
      </w:r>
      <w:r w:rsidRPr="00103457">
        <w:rPr>
          <w:rFonts w:ascii="Times New Roman" w:hAnsi="Times New Roman"/>
          <w:color w:val="000000"/>
        </w:rPr>
        <w:t>. There were 1305 small cities (81%), 282 medium cities (18%), and 16 large cities (1%).</w:t>
      </w:r>
    </w:p>
    <w:p w14:paraId="7FF08A0A" w14:textId="3BC7D174"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Large cities</w:t>
      </w:r>
      <w:r w:rsidRPr="00103457" w:rsidDel="00125699">
        <w:rPr>
          <w:rFonts w:ascii="Times New Roman" w:hAnsi="Times New Roman"/>
          <w:color w:val="000000"/>
        </w:rPr>
        <w:t xml:space="preserve"> </w:t>
      </w:r>
      <w:r w:rsidRPr="00103457">
        <w:rPr>
          <w:rFonts w:ascii="Times New Roman" w:hAnsi="Times New Roman"/>
          <w:color w:val="000000"/>
        </w:rPr>
        <w:t xml:space="preserve">are more globally, regionally, and nationally connected than smaller cities, and they have been the primary focus of previous work on urban expansion. Most previous studies in Africa have used 1 million thresholds to delineate secondary cities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{"citationID":"kIgzLK2C","properties":{"formattedCitation":"(P. I. Korah et al., 2023; Marais &amp; Cloete, 2017; Zimmer et al., 2020)","plainCitation":"(P. I. Korah et al., 2023; Marais &amp; Cloete, 2017; Zimmer et al., 2020)","dontUpdate":true,"noteIndex":0},"citationItems":[{"id":821,"uris":["http://zotero.org/users/8906743/items/A9R5KVJI"],"itemData":{"id":821,"type":"article-journal","abstract":"Urbanization induced growth of secondary cities presents several issues and challenges for sustainable development. Yet, secondary cities continue to receive less attention from scholars, city planners and policymakers in Africa. Understanding the spatial and temporal dynamics of secondary cities is critical for achieving Sustainable Development Goal 11. This paper examines the emerging spatial and temporal evolution of two secondary cities in Northern Ghana. The paper utilizes raster data (1990–2019) and applied landscape metrics to analyze spatial development in Wa and Bolgatanga municipalities along three concentric rings. The results show significant increase in built areas over the study period. Urban development in the two cities is becoming more or less fragmented, dispersed and contiguous. Inadequate spatial planning, weakly regulated development and uncoordi­ nated land markets account for the fragmentated spatial forms. The two cities exhibit a monocentric form that fluctuates, is dynamic, and discontin­ uous. The paper reflects on the implications of the findings and suggests the need for a planned extension of secondary cities in Africa to generate efficient urban forms, curtail sprawl and protect the natural environment.","container-title":"Journal of Urban Affairs","DOI":"10.1080/07352166.2022.2093734","ISSN":"0735-2166, 1467-9906","issue":"3","journalAbbreviation":"Journal of Urban Affairs","language":"en","page":"390-406","source":"DOI.org (Crossref)","title":"Mapping spatial and temporal dynamics in urban growth: The case of secondary cities in northern Ghana","title-short":"Mapping spatial and temporal dynamics in urban growth","URL":"https://www.tandfonline.com/doi/full/10.1080/07352166.2022.2093734","volume":"45","author":[{"family":"Korah","given":"Prosper Issahaku"},{"family":"Jambadu","given":"Lazarus"},{"family":"Nunbogu","given":"Abraham Marshall"}],"accessed":{"date-parts":[["2023",4,30]]},"issued":{"date-parts":[["2023",3,16]]}}},{"id":17,"uris":["http://zotero.org/users/8906743/items/B9ASKJRS","http://zotero.org/users/8906743/items/G8GA7FF6"],"itemData":{"id":17,"type":"article-journal","abstract":"Following on from earlier work dealing with the role of metropolitan municipalities in managing urbanisation, this article assesses the role played by secondary cities in this regard. Although secondary cities have largely provided adequate infrastructure in line with the demands of population growth, three differences between metropolitan municipalities and secondary cities should be noted. First, on most indicators, secondary cities have more outliers than do metropolitan municipalities. Second, household incomes in secondary cities remain lower than those in metropolitan municipalities. Third, the ability of secondary cities to provide basic infrastructure does not differ much from that of metropolitan municipalities. In fact, there is evidence to suggest that, in terms of certain indicators, secondary cities have managed to deliver these faster than their metropolitan counterparts. We argue that the progress made in secondary cities during the period under consideration cannot be separated from the fact that the economic growth in more than 50% of secondary cities has been linked either to mining or to another dominant economic driver.","container-title":"Development Southern Africa","DOI":"10.1080/0376835X.2016.1259993","ISSN":"0376-835X","issue":"2","note":"publisher: Routledge\n_eprint: https://doi.org/10.1080/0376835X.2016.1259993","page":"182-195","source":"Taylor and Francis+NEJM","title":"The role of secondary cities in managing urbanisation in South Africa","URL":"https://doi.org/10.1080/0376835X.2016.1259993","volume":"34","author":[{"family":"Marais","given":"Lochner"},{"family":"Cloete","given":"Jan"}],"accessed":{"date-parts":[["2023",9,4]]},"issued":{"date-parts":[["2017",3,4]]}}},{"id":55,"uris":["http://zotero.org/users/8906743/items/B73BWZCU"],"itemData":{"id":55,"type":"article-journal","abstract":"Objectives We document the spatial distribution and temporal patterns of SUA’s in eight countries across Southern Africa between 1975 and 2015. We further explore the relationships between SUA’s growth rates and climate, land use and geographic proximity to other urban areas.\nMethods Our analysis integrates spatially explicit gridded population, land use, infrastructure and climate datasets. We use descriptive statistics and spatial lag and ordinary least squares regression models to quantify SUA growth rates across three periods and explore factors that are associated with the SUA growth patterns.\nResults Average SUA growth rates are 2.44% between 1975 and 1990. We show that the climate, distance and land use signiﬁcantly relate to urbanization trajectories. In addition, we ﬁnd that the proximity of SUA to the largest cities also signiﬁcantly relates to urban growth.\nConclusions Our results highlight the importance of SUA’s within broader African urbanization trends. SUA are undergoing rapid population changes and are important components of economic development processes and livelihoods. Quantifying patterns of SUA urbanization is important for elevating these small but critically important urban areas into the broader context of sustainable urbanization in Africa.","container-title":"Landscape Ecology","DOI":"10.1007/s10980-020-01086-6","ISSN":"0921-2973, 1572-9761","issue":"11","journalAbbreviation":"Landscape Ecol","language":"en","page":"2501-2516","source":"DOI.org (Crossref)","title":"Dynamics of population growth in secondary cities across southern Africa","URL":"http://link.springer.com/10.1007/s10980-020-01086-6","volume":"35","author":[{"family":"Zimmer","given":"Andrew"},{"family":"Guido","given":"Zack"},{"family":"Tuholske","given":"Cascade"},{"family":"Pakalniskis","given":"Alex"},{"family":"Lopus","given":"Sara"},{"family":"Caylor","given":"Kelly"},{"family":"Evans","given":"Tom"}],"accessed":{"date-parts":[["2021",1,31]]},"issued":{"date-parts":[["2020",11]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(Korah et al., 2023; Marais &amp; Cloete, 2017; Zimmer et al., 2020)</w:t>
      </w:r>
      <w:r w:rsidRPr="00103457">
        <w:rPr>
          <w:rFonts w:ascii="Times New Roman" w:hAnsi="Times New Roman"/>
          <w:color w:val="000000"/>
        </w:rPr>
        <w:fldChar w:fldCharType="end"/>
      </w:r>
      <w:r w:rsidRPr="00103457">
        <w:rPr>
          <w:rFonts w:ascii="Times New Roman" w:hAnsi="Times New Roman"/>
          <w:color w:val="000000"/>
        </w:rPr>
        <w:t xml:space="preserve">. We further classified secondary cities into two classes (small and medium) using a population threshold of 50 thousand because cities below this threshold are generally absent in international databases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{"citationID":"YlmHcoxw","properties":{"formattedCitation":"(G\\uc0\\u252{}neralp et al., 2020)","plainCitation":"(Güneralp et al., 2020)","noteIndex":0},"citationItems":[{"id":624,"uris":["http://zotero.org/users/8906743/items/RYJ3GWJE"],"itemData":{"id":624,"type":"article-journal","abstract":"Abstract\n            \n              The physical expansion of urban areas lead to lasting impacts on landscapes and livelihoods. Here, we conduct a global synthesis of trends in urban land expansion, in urban population densities, and lands converted into urban from 1970 to 2010. We find that small-medium urban areas lead their larger counterparts in both rates of urban land expansion and decreases in urban population densities. Urban population densities have consistently declined only in India, China, North America, and Europe with significant exceptions across city sizes. Over 60% of the reported urban expansion was formerly agricultural land with China, Southeast Asia, and Europe in the lead. Counterfactual analysis suggests that, due to the decrease in urban population densities, an estimated 125 000 km\n              2\n              land was converted to urban land uses that could have otherwise remained in cultivation or as natural vegetation. In particular, in India and Nigeria, with much of their populations dependent on agriculture,  85% and 30% more land, respectively, was converted to urban land due to decreasing urban population densities. With increasing urbanization, proactive management of urban land expansion, especially in small and medium cities, will be critical for saving agricultural lands in peri-urban regions while creating equitable and affordable urban landscapes.","container-title":"Environmental Research Letters","DOI":"10.1088/1748-9326/ab6669","ISSN":"1748-9326","issue":"4","journalAbbreviation":"Environ. Res. Lett.","language":"en","page":"044015","source":"DOI.org (Crossref)","title":"Trends in urban land expansion, density, and land transitions from 1970 to 2010: a global synthesis","title-short":"Trends in urban land expansion, density, and land transitions from 1970 to 2010","URL":"https://iopscience.iop.org/article/10.1088/1748-9326/ab6669","volume":"15","author":[{"family":"Güneralp","given":"Burak"},{"family":"Reba","given":"Meredith"},{"family":"Hales","given":"Billy U"},{"family":"Wentz","given":"Elizabeth A"},{"family":"Seto","given":"Karen C"}],"accessed":{"date-parts":[["2023",3,11]]},"issued":{"date-parts":[["2020",4,1]]}}}],"schema":"https://github.com/citation-style-language/schema/raw/master/csl-citation.json"}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(Güneralp et al., 2020)</w:t>
      </w:r>
      <w:r w:rsidRPr="00103457">
        <w:rPr>
          <w:rFonts w:ascii="Times New Roman" w:hAnsi="Times New Roman"/>
          <w:color w:val="000000"/>
        </w:rPr>
        <w:fldChar w:fldCharType="end"/>
      </w:r>
      <w:r w:rsidRPr="00103457">
        <w:rPr>
          <w:rFonts w:ascii="Times New Roman" w:hAnsi="Times New Roman"/>
          <w:color w:val="000000"/>
        </w:rPr>
        <w:t>. Although small cities are typically more numerous than larger cities, they are usually not</w:t>
      </w:r>
      <w:r w:rsidRPr="00103457" w:rsidDel="00711705">
        <w:rPr>
          <w:rFonts w:ascii="Times New Roman" w:hAnsi="Times New Roman"/>
          <w:color w:val="000000"/>
        </w:rPr>
        <w:t xml:space="preserve"> </w:t>
      </w:r>
      <w:r w:rsidRPr="00103457">
        <w:rPr>
          <w:rFonts w:ascii="Times New Roman" w:hAnsi="Times New Roman"/>
          <w:color w:val="000000"/>
        </w:rPr>
        <w:t xml:space="preserve">included in urban expansion studies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{"citationID":"s7JdpcoI","properties":{"formattedCitation":"(G\\uc0\\u252{}neralp et al., 2020)","plainCitation":"(Güneralp et al., 2020)","noteIndex":0},"citationItems":[{"id":624,"uris":["http://zotero.org/users/8906743/items/RYJ3GWJE"],"itemData":{"id":624,"type":"article-journal","abstract":"Abstract\n            \n              The physical expansion of urban areas lead to lasting impacts on landscapes and livelihoods. Here, we conduct a global synthesis of trends in urban land expansion, in urban population densities, and lands converted into urban from 1970 to 2010. We find that small-medium urban areas lead their larger counterparts in both rates of urban land expansion and decreases in urban population densities. Urban population densities have consistently declined only in India, China, North America, and Europe with significant exceptions across city sizes. Over 60% of the reported urban expansion was formerly agricultural land with China, Southeast Asia, and Europe in the lead. Counterfactual analysis suggests that, due to the decrease in urban population densities, an estimated 125 000 km\n              2\n              land was converted to urban land uses that could have otherwise remained in cultivation or as natural vegetation. In particular, in India and Nigeria, with much of their populations dependent on agriculture,  85% and 30% more land, respectively, was converted to urban land due to decreasing urban population densities. With increasing urbanization, proactive management of urban land expansion, especially in small and medium cities, will be critical for saving agricultural lands in peri-urban regions while creating equitable and affordable urban landscapes.","container-title":"Environmental Research Letters","DOI":"10.1088/1748-9326/ab6669","ISSN":"1748-9326","issue":"4","journalAbbreviation":"Environ. Res. Lett.","language":"en","page":"044015","source":"DOI.org (Crossref)","title":"Trends in urban land expansion, density, and land transitions from 1970 to 2010: a global synthesis","title-short":"Trends in urban land expansion, density, and land transitions from 1970 to 2010","URL":"https://iopscience.iop.org/article/10.1088/1748-9326/ab6669","volume":"15","author":[{"family":"Güneralp","given":"Burak"},{"family":"Reba","given":"Meredith"},{"family":"Hales","given":"Billy U"},{"family":"Wentz","given":"Elizabeth A"},{"family":"Seto","given":"Karen C"}],"accessed":{"date-parts":[["2023",3,11]]},"issued":{"date-parts":[["2020",4,1]]}}}],"schema":"https://github.com/citation-style-language/schema/raw/master/csl-citation.json"}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(Güneralp et al., 2020)</w:t>
      </w:r>
      <w:r w:rsidRPr="00103457">
        <w:rPr>
          <w:rFonts w:ascii="Times New Roman" w:hAnsi="Times New Roman"/>
          <w:color w:val="000000"/>
        </w:rPr>
        <w:fldChar w:fldCharType="end"/>
      </w:r>
      <w:r w:rsidRPr="00103457">
        <w:rPr>
          <w:rFonts w:ascii="Times New Roman" w:hAnsi="Times New Roman"/>
          <w:color w:val="000000"/>
        </w:rPr>
        <w:t xml:space="preserve">. </w:t>
      </w:r>
      <w:r w:rsidRPr="00103457" w:rsidDel="00125699">
        <w:rPr>
          <w:rFonts w:ascii="Times New Roman" w:hAnsi="Times New Roman"/>
          <w:color w:val="000000"/>
        </w:rPr>
        <w:t>Medium</w:t>
      </w:r>
      <w:r w:rsidRPr="00103457">
        <w:rPr>
          <w:rFonts w:ascii="Times New Roman" w:hAnsi="Times New Roman"/>
          <w:color w:val="000000"/>
        </w:rPr>
        <w:t xml:space="preserve"> cities are increasingly drawing research attention because of their dual roles, containing extra populations from large cities while redistributing goods and services to small cities and rural areas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{"citationID":"oZNnlSws","properties":{"formattedCitation":"(Chai &amp; Seto, 2019; P. I. Korah et al., 2017; Marais &amp; Cloete, 2017)","plainCitation":"(Chai &amp; Seto, 2019; P. I. Korah et al., 2017; Marais &amp; Cloete, 2017)","dontUpdate":true,"noteIndex":0},"citationItems":[{"id":447,"uris":["http://zotero.org/users/8906743/items/BGWHKAXP"],"itemData":{"id":447,"type":"article-journal","abstract":"Sustainable Development Goals (SDG) require sustainable urban development and management for better human life quality. Small urban settlements—those with fewer than 500,000 people—are home to 26.5% of the world’s population. Yet, relatively little research attention has been paid to understanding the structure and dynamics of these smaller cities. In this paper, we propose a new concept, micro-urbanization, to fill this knowledge gap, and develop a methodology to characterize and map it using dense remote sensing time series data and landscape pattern metrics. We define micro-urbanization as a process of urban land change that has five primary characteristics: small, patchy, far from main urban areas, with limited geographic connection with existing urban areas and low urban intensity. We apply the method to two rapidly urbanizing countries in Africa, Nigeria and the Democratic Republic of the Congo. Results show that the methodology is capable of detecting micro-urbanization with relatively high spatial and temporal accuracy.","container-title":"Landscape and Urban Planning","DOI":"10.1016/j.landurbplan.2019.103595","ISSN":"01692046","journalAbbreviation":"Landscape and Urban Planning","language":"en","page":"103595","source":"DOI.org (Crossref)","title":"Conceptualizing and characterizing micro-urbanization: A new perspective applied to Africa","title-short":"Conceptualizing and characterizing micro-urbanization","URL":"https://linkinghub.elsevier.com/retrieve/pii/S0169204619300775","volume":"190","author":[{"family":"Chai","given":"Baohui"},{"family":"Seto","given":"Karen C."}],"accessed":{"date-parts":[["2022",2,4]]},"issued":{"date-parts":[["2019",10]]}}},{"id":36,"uris":["http://zotero.org/users/8906743/items/KMS3DXHK","http://zotero.org/users/8906743/items/L55T25ZL"],"itemData":{"id":36,"type":"article-journal","container-title":"GeoJournal","DOI":"10.1007/s10708-016-9731-1","ISSN":"0343-2521, 1572-9893","issue":"6","journalAbbreviation":"GeoJournal","language":"en","page":"1113-1134","source":"DOI.org (Crossref)","title":"Spatial plans and urban development trajectory in Kumasi, Ghana","URL":"http://link.springer.com/10.1007/s10708-016-9731-1","volume":"82","author":[{"family":"Korah","given":"Prosper Issahaku"},{"family":"Cobbinah","given":"Patrick Brandful"},{"family":"Nunbogu","given":"Abraham Marshall"},{"family":"Gyogluu","given":"Sarah"}],"accessed":{"date-parts":[["2022",2,9]]},"issued":{"date-parts":[["2017",12]]}}},{"id":17,"uris":["http://zotero.org/users/8906743/items/B9ASKJRS","http://zotero.org/users/8906743/items/G8GA7FF6"],"itemData":{"id":17,"type":"article-journal","abstract":"Following on from earlier work dealing with the role of metropolitan municipalities in managing urbanisation, this article assesses the role played by secondary cities in this regard. Although secondary cities have largely provided adequate infrastructure in line with the demands of population growth, three differences between metropolitan municipalities and secondary cities should be noted. First, on most indicators, secondary cities have more outliers than do metropolitan municipalities. Second, household incomes in secondary cities remain lower than those in metropolitan municipalities. Third, the ability of secondary cities to provide basic infrastructure does not differ much from that of metropolitan municipalities. In fact, there is evidence to suggest that, in terms of certain indicators, secondary cities have managed to deliver these faster than their metropolitan counterparts. We argue that the progress made in secondary cities during the period under consideration cannot be separated from the fact that the economic growth in more than 50% of secondary cities has been linked either to mining or to another dominant economic driver.","container-title":"Development Southern Africa","DOI":"10.1080/0376835X.2016.1259993","ISSN":"0376-835X","issue":"2","note":"publisher: Routledge\n_eprint: https://doi.org/10.1080/0376835X.2016.1259993","page":"182-195","source":"Taylor and Francis+NEJM","title":"The role of secondary cities in managing urbanisation in South Africa","URL":"https://doi.org/10.1080/0376835X.2016.1259993","volume":"34","author":[{"family":"Marais","given":"Lochner"},{"family":"Cloete","given":"Jan"}],"accessed":{"date-parts":[["2023",9,4]]},"issued":{"date-parts":[["2017",3,4]]}}}],"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(Chai &amp; Seto, 2019; Korah et al., 2017; Marais &amp; Cloete, 2017)</w:t>
      </w:r>
      <w:r w:rsidRPr="00103457">
        <w:rPr>
          <w:rFonts w:ascii="Times New Roman" w:hAnsi="Times New Roman"/>
          <w:color w:val="000000"/>
        </w:rPr>
        <w:fldChar w:fldCharType="end"/>
      </w:r>
      <w:r w:rsidRPr="00103457">
        <w:rPr>
          <w:rFonts w:ascii="Times New Roman" w:hAnsi="Times New Roman"/>
          <w:color w:val="000000"/>
        </w:rPr>
        <w:t>. Within the study area, the small and medium cities are more geographically dispersed, and the large cities are clustered in the southern coastal areas (</w:t>
      </w:r>
      <w:r w:rsidRPr="00103457">
        <w:rPr>
          <w:rFonts w:ascii="Times New Roman" w:hAnsi="Times New Roman"/>
          <w:color w:val="000000"/>
        </w:rPr>
        <w:fldChar w:fldCharType="begin"/>
      </w:r>
      <w:r w:rsidRPr="00103457">
        <w:rPr>
          <w:rFonts w:ascii="Times New Roman" w:hAnsi="Times New Roman"/>
          <w:color w:val="000000"/>
        </w:rPr>
        <w:instrText xml:space="preserve"> REF _Ref145704286 \h  \* MERGEFORMAT </w:instrText>
      </w:r>
      <w:r w:rsidRPr="00103457">
        <w:rPr>
          <w:rFonts w:ascii="Times New Roman" w:hAnsi="Times New Roman"/>
          <w:color w:val="000000"/>
        </w:rPr>
      </w:r>
      <w:r w:rsidRPr="00103457">
        <w:rPr>
          <w:rFonts w:ascii="Times New Roman" w:hAnsi="Times New Roman"/>
          <w:color w:val="000000"/>
        </w:rPr>
        <w:fldChar w:fldCharType="separate"/>
      </w:r>
      <w:r w:rsidR="00B129D9" w:rsidRPr="00B129D9">
        <w:rPr>
          <w:rFonts w:ascii="Times New Roman" w:hAnsi="Times New Roman"/>
          <w:color w:val="000000"/>
        </w:rPr>
        <w:t>Figure 2</w:t>
      </w:r>
      <w:r w:rsidRPr="00103457">
        <w:rPr>
          <w:rFonts w:ascii="Times New Roman" w:hAnsi="Times New Roman"/>
          <w:color w:val="000000"/>
        </w:rPr>
        <w:fldChar w:fldCharType="end"/>
      </w:r>
      <w:r w:rsidRPr="00103457">
        <w:rPr>
          <w:rFonts w:ascii="Times New Roman" w:hAnsi="Times New Roman"/>
          <w:color w:val="000000"/>
        </w:rPr>
        <w:t xml:space="preserve">). </w:t>
      </w:r>
      <w:r w:rsidRPr="00103457" w:rsidDel="004C505F">
        <w:rPr>
          <w:rFonts w:ascii="Times New Roman" w:hAnsi="Times New Roman"/>
          <w:color w:val="000000"/>
        </w:rPr>
        <w:t xml:space="preserve"> </w:t>
      </w:r>
    </w:p>
    <w:p w14:paraId="49ECA43C" w14:textId="33BFC6E9" w:rsidR="00103457" w:rsidRPr="00103457" w:rsidRDefault="00103457" w:rsidP="00103457">
      <w:pPr>
        <w:suppressLineNumbers/>
        <w:rPr>
          <w:rFonts w:ascii="Times New Roman" w:hAnsi="Times New Roman"/>
          <w:color w:val="000000"/>
        </w:rPr>
      </w:pPr>
      <w:r w:rsidRPr="00103457">
        <w:rPr>
          <w:rFonts w:ascii="Times New Roman" w:hAnsi="Times New Roman"/>
          <w:noProof/>
          <w:color w:val="000000"/>
          <w:lang w:bidi="ar-SA"/>
        </w:rPr>
        <w:lastRenderedPageBreak/>
        <w:drawing>
          <wp:inline distT="0" distB="0" distL="0" distR="0" wp14:anchorId="6C109FAF" wp14:editId="54CAE77F">
            <wp:extent cx="5943600" cy="3762375"/>
            <wp:effectExtent l="0" t="0" r="0" b="9525"/>
            <wp:docPr id="1855672047" name="Picture 1" descr="A map of nigeria with a map and 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72047" name="Picture 1" descr="A map of nigeria with a map and a map of the country&#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762375"/>
                    </a:xfrm>
                    <a:prstGeom prst="rect">
                      <a:avLst/>
                    </a:prstGeom>
                  </pic:spPr>
                </pic:pic>
              </a:graphicData>
            </a:graphic>
          </wp:inline>
        </w:drawing>
      </w:r>
    </w:p>
    <w:p w14:paraId="16655C5A" w14:textId="345D4284" w:rsidR="00103457" w:rsidRPr="00103457" w:rsidRDefault="00103457" w:rsidP="00103457">
      <w:pPr>
        <w:suppressLineNumbers/>
        <w:spacing w:line="240" w:lineRule="auto"/>
        <w:rPr>
          <w:rFonts w:ascii="Times New Roman" w:hAnsi="Times New Roman"/>
          <w:i/>
          <w:color w:val="000000"/>
        </w:rPr>
      </w:pPr>
      <w:bookmarkStart w:id="32" w:name="_Ref145704286"/>
      <w:bookmarkStart w:id="33" w:name="_Toc172233499"/>
      <w:r w:rsidRPr="007D7640">
        <w:rPr>
          <w:rFonts w:ascii="Times New Roman" w:hAnsi="Times New Roman"/>
          <w:b/>
          <w:bCs/>
          <w:color w:val="000000"/>
        </w:rPr>
        <w:t xml:space="preserve">Figure </w:t>
      </w:r>
      <w:r w:rsidRPr="007D7640">
        <w:rPr>
          <w:rFonts w:ascii="Times New Roman" w:hAnsi="Times New Roman"/>
          <w:b/>
          <w:bCs/>
          <w:i/>
          <w:color w:val="000000"/>
        </w:rPr>
        <w:fldChar w:fldCharType="begin"/>
      </w:r>
      <w:r w:rsidRPr="007D7640">
        <w:rPr>
          <w:rFonts w:ascii="Times New Roman" w:hAnsi="Times New Roman"/>
          <w:b/>
          <w:bCs/>
          <w:color w:val="000000"/>
        </w:rPr>
        <w:instrText xml:space="preserve"> SEQ Figure \* ARABIC </w:instrText>
      </w:r>
      <w:r w:rsidRPr="007D7640">
        <w:rPr>
          <w:rFonts w:ascii="Times New Roman" w:hAnsi="Times New Roman"/>
          <w:b/>
          <w:bCs/>
          <w:i/>
          <w:color w:val="000000"/>
        </w:rPr>
        <w:fldChar w:fldCharType="separate"/>
      </w:r>
      <w:r w:rsidR="00B129D9">
        <w:rPr>
          <w:rFonts w:ascii="Times New Roman" w:hAnsi="Times New Roman"/>
          <w:b/>
          <w:bCs/>
          <w:noProof/>
          <w:color w:val="000000"/>
        </w:rPr>
        <w:t>2</w:t>
      </w:r>
      <w:r w:rsidRPr="007D7640">
        <w:rPr>
          <w:rFonts w:ascii="Times New Roman" w:hAnsi="Times New Roman"/>
          <w:b/>
          <w:bCs/>
          <w:i/>
          <w:color w:val="000000"/>
        </w:rPr>
        <w:fldChar w:fldCharType="end"/>
      </w:r>
      <w:bookmarkEnd w:id="32"/>
      <w:r w:rsidRPr="00103457">
        <w:rPr>
          <w:rFonts w:ascii="Times New Roman" w:hAnsi="Times New Roman"/>
          <w:color w:val="000000"/>
        </w:rPr>
        <w:t>: Distribution of 1603 cities in four West African countries and their populations in 2015. For the 1305 small cities (yellow), 984 are in Nigeria, 179 in Ghana, 97 in Benin, and 45 in Togo. For the 282 medium cities (blue), 235 are in Nigeria, 28 are in Ghana, 12 are in Benin, and 7 are in Togo. For the 16 large cities (red), 12 are in Nigeria, 2 are in Ghana, and 1 each are in Benin and Togo.</w:t>
      </w:r>
      <w:bookmarkEnd w:id="33"/>
    </w:p>
    <w:p w14:paraId="4994B845" w14:textId="77777777" w:rsidR="00103457" w:rsidRPr="00103457" w:rsidRDefault="00103457" w:rsidP="00103457">
      <w:pPr>
        <w:rPr>
          <w:rFonts w:ascii="Times New Roman" w:hAnsi="Times New Roman"/>
          <w:color w:val="000000"/>
        </w:rPr>
      </w:pPr>
    </w:p>
    <w:p w14:paraId="696E0528" w14:textId="77777777" w:rsidR="006F7C17" w:rsidRPr="00103457" w:rsidRDefault="006F7C17" w:rsidP="00277F12">
      <w:pPr>
        <w:pStyle w:val="Heading3"/>
        <w:rPr>
          <w:rFonts w:ascii="Times" w:hAnsi="Times"/>
        </w:rPr>
      </w:pPr>
      <w:bookmarkStart w:id="34" w:name="_Toc172288711"/>
      <w:r w:rsidRPr="00103457">
        <w:t>Urban cover change data</w:t>
      </w:r>
      <w:bookmarkEnd w:id="34"/>
    </w:p>
    <w:p w14:paraId="3CC8C46B" w14:textId="0CF07EBA" w:rsidR="00103457" w:rsidRPr="00103457" w:rsidRDefault="00103457" w:rsidP="00103457">
      <w:pPr>
        <w:ind w:firstLine="360"/>
        <w:rPr>
          <w:rFonts w:ascii="Times New Roman" w:hAnsi="Times New Roman"/>
          <w:color w:val="000000"/>
        </w:rPr>
      </w:pPr>
      <w:r w:rsidRPr="00103457">
        <w:rPr>
          <w:rFonts w:ascii="Times New Roman" w:hAnsi="Times New Roman"/>
          <w:iCs/>
          <w:color w:val="000000"/>
        </w:rPr>
        <w:t xml:space="preserve">We generated annual </w:t>
      </w:r>
      <w:r w:rsidRPr="00103457">
        <w:rPr>
          <w:rFonts w:ascii="Times New Roman" w:hAnsi="Times New Roman"/>
          <w:color w:val="000000"/>
        </w:rPr>
        <w:t>spectral composites</w:t>
      </w:r>
      <w:r w:rsidRPr="00103457">
        <w:rPr>
          <w:rFonts w:ascii="Times New Roman" w:hAnsi="Times New Roman"/>
          <w:iCs/>
          <w:color w:val="000000"/>
        </w:rPr>
        <w:t xml:space="preserve"> using</w:t>
      </w:r>
      <w:r w:rsidRPr="00103457">
        <w:rPr>
          <w:rFonts w:ascii="Times New Roman" w:hAnsi="Times New Roman"/>
          <w:color w:val="000000"/>
        </w:rPr>
        <w:t xml:space="preserve"> all available Landsat 7 (Enhanced Thematic Mapper Plus) and Landsat 8 (Operational Land Imager) Level 2, Collection 2, Tier 1 Surface Reflectance products from 2001 – 2020. For each year, we masked clouds and cloud shadows from the annual collection of images using the C function of the mask algorithm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{"citationID":"xazvdsEg","properties":{"formattedCitation":"(Foga et al., 2017)","plainCitation":"(Foga et al., 2017)","dontUpdate":true,"noteIndex":0},"citationItems":[{"id":749,"uris":["http://zotero.org/users/8906743/items/QMB7MDYG"],"itemData":{"id":749,"type":"article-journal","abstract":"Clouds are a pervasive and unavoidable issue in satellite-borne optical imagery. Accurate, well-documented, and automated cloud detection algorithms are necessary to effectively leverage large collections of remotely sensed data. The Landsat project is uniquely suited for comparative validation of cloud assessment algorithms because the modular architecture of the Landsat ground system allows for quick evaluation of new code, and because Landsat has the most comprehensive manual truth masks of any current satellite data archive. Currently, the Landsat Level-1 Product Generation System (LPGS) uses separate algorithms for determining clouds, cirrus clouds, and snow and/or ice probability on a per-pixel basis. With more bands onboard the Landsat 8 Operational Land Imager (OLI)/Thermal Infrared Sensor (TIRS) satellite, and a greater number of cloud masking algorithms, the U.S. Geological Survey (USGS) is replacing the current cloud masking workflow with a more robust algorithm that is capable of working across multiple Landsat sensors with minimal modification. Because of the inherent error from stray light and intermittent data availability of TIRS, these algorithms need to operate both with and without thermal data. In this study, we created a workflow to evaluate cloud and cloud shadow masking algorithms using cloud validation masks manually derived from both Landsat 7 Enhanced Thematic Mapper Plus (ETM+) and Landsat 8 OLI/TIRS data. We created a new validation dataset consisting of 96 Landsat 8 scenes, representing different biomes and proportions of cloud cover. We evaluated algorithm performance by overall accuracy, omission error, and commission error for both cloud and cloud shadow. We found that CFMask, C code based on the Function of Mask (Fmask) algorithm, and its confidence bands have the best overall accuracy among the many algorithms tested using our validation data. The Artificial Thermal-Automated Cloud Cover Algorithm (AT-ACCA) is the most accurate nonthermal-based algorithm. We give preference to CFMask for operational cloud and cloud shadow detection, as it is derived from a priori knowledge of physical phenomena and is operable without geographic restriction, making it useful for current and future land imaging missions without having to be retrained in a machine-learning environment.","container-title":"Remote Sensing of Environment","DOI":"10.1016/j.rse.2017.03.026","ISSN":"0034-4257","journalAbbreviation":"Remote Sensing of Environment","page":"379-390","source":"ScienceDirect","title":"Cloud detection algorithm comparison and validation for operational Landsat data products","URL":"https://www.sciencedirect.com/science/article/pii/S0034425717301293","volume":"194","author":[{"family":"Foga","given":"Steve"},{"family":"Scaramuzza","given":"Pat L."},{"family":"Guo","given":"Song"},{"family":"Zhu","given":"Zhe"},{"family":"Dilley","given":"Ronald D."},{"family":"Beckmann","given":"Tim"},{"family":"Schmidt","given":"Gail L."},{"family":"Dwyer","given":"John L."},{"family":"Joseph Hughes","given":"M."},{"family":"Laue","given":"Brady"}],"accessed":{"date-parts":[["2023",8,23]]},"issued":{"date-parts":[["2017",6,1]]}}}],"schema":"https://github.com/citation-style-language/schema/raw/master/csl-citation.json"}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(Foga et al., 2017</w:t>
      </w:r>
      <w:r w:rsidRPr="00103457">
        <w:rPr>
          <w:rFonts w:ascii="Times New Roman" w:hAnsi="Times New Roman"/>
          <w:color w:val="000000"/>
        </w:rPr>
        <w:fldChar w:fldCharType="end"/>
      </w:r>
      <w:r w:rsidRPr="00103457">
        <w:rPr>
          <w:rFonts w:ascii="Times New Roman" w:hAnsi="Times New Roman"/>
          <w:color w:val="000000"/>
        </w:rPr>
        <w:t xml:space="preserve">, CFMASK). We computed 11 spectral indices, including normalized difference vegetation index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{"citationID":"Hj7624eP","properties":{"formattedCitation":"(Tucker, 1979)","plainCitation":"(Tucker, 1979)","dontUpdate":true,"noteIndex":0},"citationItems":[{"id":739,"uris":["http://zotero.org/users/8906743/items/GDATYRQV"],"itemData":{"id":739,"type":"article-journal","abstract":"In situ collected spectrometer data were used to evaluate and quantify the relationships between various linear combinations of red and photographic infrared radiances and experimental plot biomass, leaf water content, and chlorophyll content. The radiance variables evaluated included the red and photographic infrared (IR) radiance and the linear combinations of the IR/red ratio, the square root of the IR/red ratio, the IR-red difference, the vegetation index, and the transformed vegetation index. In addition, the corresponding green and red linear combinations were evaluated for comparative purposes. Three data sets were used from June, September, and October sampling periods. Regression analysis showed the increased utility of the IR and red linear combinations vis-à-vis the same green and red linear combinations. The red and IR linear combinations had 7% and 14% greater regression significance than the green and red linear combinations for the June and September sampling periods, respectively. The vegetation index, transformed vegetation index, and square root of the IR/red ratio were the most significant, followed closely by the IR/red ratio. Less than a 6% difference separated the highest and lowest of these four ER and red linear combinations. The use of these linear combinations was shown to be sensitive primarily to the green leaf area or green leaf biomass. As such, these linear combinations of the red and photographic IR radiances can be employed to monitor the photosynthetically active biomass of plant canopies.","container-title":"Remote Sensing of Environment","DOI":"10.1016/0034-4257(79)90013-0","ISSN":"0034-4257","issue":"2","journalAbbreviation":"Remote Sensing of Environment","page":"127-150","source":"ScienceDirect","title":"Red and photographic infrared linear combinations for monitoring vegetation","URL":"https://www.sciencedirect.com/science/article/pii/0034425779900130","volume":"8","author":[{"family":"Tucker","given":"Compton J."}],"accessed":{"date-parts":[["2023",8,23]]},"issued":{"date-parts":[["1979",5,1]]}}}],"schema":"https://github.com/citation-style-language/schema/raw/master/csl-citation.json"}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(Tucker, 1979</w:t>
      </w:r>
      <w:r w:rsidRPr="00103457">
        <w:rPr>
          <w:rFonts w:ascii="Times New Roman" w:hAnsi="Times New Roman"/>
          <w:color w:val="000000"/>
        </w:rPr>
        <w:fldChar w:fldCharType="end"/>
      </w:r>
      <w:r w:rsidRPr="00103457">
        <w:rPr>
          <w:rFonts w:ascii="Times New Roman" w:hAnsi="Times New Roman"/>
          <w:color w:val="000000"/>
        </w:rPr>
        <w:t xml:space="preserve">, NDVI), normalized burned ratio index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{"citationID":"WRqaraH7","properties":{"formattedCitation":"(Garc\\uc0\\u237{}a &amp; Caselles, 1991)","plainCitation":"(García &amp; Caselles, 1991)","dontUpdate":true,"noteIndex":0},"citationItems":[{"id":731,"uris":["http://zotero.org/users/8906743/items/7MSNBHAR"],"itemData":{"id":731,"type":"article-journal","container-title":"Geocarto International","DOI":"10.1080/10106049109354290","ISSN":"1010-6049, 1752-0762","issue":"1","journalAbbreviation":"Geocarto International","language":"en","page":"31-37","source":"DOI.org (Crossref)","title":"Mapping burns and natural reforestation using thematic Mapper data","URL":"http://www.tandfonline.com/doi/abs/10.1080/10106049109354290","volume":"6","author":[{"family":"García","given":"M.J. López"},{"family":"Caselles","given":"V."}],"accessed":{"date-parts":[["2023",8,24]]},"issued":{"date-parts":[["1991",3]]}}}],"schema":"https://github.com/citation-style-language/schema/raw/master/csl-citation.json"}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(García &amp; Caselles, 1991</w:t>
      </w:r>
      <w:r w:rsidRPr="00103457">
        <w:rPr>
          <w:rFonts w:ascii="Times New Roman" w:hAnsi="Times New Roman"/>
          <w:color w:val="000000"/>
        </w:rPr>
        <w:fldChar w:fldCharType="end"/>
      </w:r>
      <w:r w:rsidRPr="00103457">
        <w:rPr>
          <w:rFonts w:ascii="Times New Roman" w:hAnsi="Times New Roman"/>
          <w:color w:val="000000"/>
        </w:rPr>
        <w:t xml:space="preserve">, NBRI), bare soil index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{"citationID":"6DrXT8sT","properties":{"formattedCitation":"(Rikimaru et al., 2002)","plainCitation":"(Rikimaru et al., 2002)","dontUpdate":true,"noteIndex":0},"citationItems":[{"id":736,"uris":["http://zotero.org/users/8906743/items/7UYTRD9C"],"itemData":{"id":736,"type":"article-journal","journalAbbreviation":"Tropical Ecology","page":"39-49","title":"Tropical forest cover density mapping","URL":"https://api.semanticscholar.org/CorpusID:88163464","volume":"43","author":[{"family":"Rikimaru","given":"Atsushi"},{"family":"Roy","given":"Partha Sarathi"},{"family":"Miyatake","given":"Shuichi"}],"issued":{"date-parts":[["2002"]]}}}],"schema":"https://github.com/citation-style-language/schema/raw/master/csl-citation.json"}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(Rikimaru et al., 2002</w:t>
      </w:r>
      <w:r w:rsidRPr="00103457">
        <w:rPr>
          <w:rFonts w:ascii="Times New Roman" w:hAnsi="Times New Roman"/>
          <w:color w:val="000000"/>
        </w:rPr>
        <w:fldChar w:fldCharType="end"/>
      </w:r>
      <w:r w:rsidRPr="00103457">
        <w:rPr>
          <w:rFonts w:ascii="Times New Roman" w:hAnsi="Times New Roman"/>
          <w:color w:val="000000"/>
        </w:rPr>
        <w:t xml:space="preserve">, BSI), normalized difference built-up index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{"citationID":"XKSZYmZ1","properties":{"formattedCitation":"(Zha et al., 2003)","plainCitation":"(Zha et al., 2003)","dontUpdate":true,"noteIndex":0},"citationItems":[{"id":58,"uris":["http://zotero.org/users/8906743/items/RX2AGHR3"],"itemData":{"id":58,"type":"article-journal","abstract":"Remotely sensed imagery is ideally used to monitor and detect land cover changes that occur frequently in urban and peri-urban areas as a consequence of incessant urbanization. It is a lengthy process to convert satellite imagery into land cover map using the existing methods of manual interpretation and parametric image classiﬁcation digitally. In this paper we propose a new method based on Normalized Diﬀerence Built-up Index (NDBI) to automate the process of mapping built-up areas. It takes advantage of the unique spectral response of built-up areas and other land covers. Built-up areas are eﬀectively mapped through arithmetic manipulation of re-coded Normalized Diﬀerence Vegetation Index (NDVI) and NDBI images derived from TM imagery. The devised NDBI method was applied to map urban land in the city of Nanjing, eastern China. The mapped results at an accuracy of 92.6% indicate that it can be used to fulﬁl the mapping objective reliably. Compared with the maximum likelihood classiﬁcation method, the proposed NDBI is able to serve as a worthwhile alternative for quickly and objectively mapping built-up areas.","container-title":"International Journal of Remote Sensing","DOI":"10.1080/01431160304987","ISSN":"0143-1161, 1366-5901","issue":"3","journalAbbreviation":"International Journal of Remote Sensing","language":"en","page":"583-594","source":"DOI.org (Crossref)","title":"Use of normalized difference built-up index in automatically mapping urban areas from TM imagery","URL":"https://www.tandfonline.com/doi/full/10.1080/01431160304987","volume":"24","author":[{"family":"Zha","given":"Y."},{"family":"Gao","given":"J."},{"family":"Ni","given":"S."}],"accessed":{"date-parts":[["2022",10,14]]},"issued":{"date-parts":[["2003",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(Zha et al., 2003</w:t>
      </w:r>
      <w:r w:rsidRPr="00103457">
        <w:rPr>
          <w:rFonts w:ascii="Times New Roman" w:hAnsi="Times New Roman"/>
          <w:color w:val="000000"/>
        </w:rPr>
        <w:fldChar w:fldCharType="end"/>
      </w:r>
      <w:r w:rsidRPr="00103457">
        <w:rPr>
          <w:rFonts w:ascii="Times New Roman" w:hAnsi="Times New Roman"/>
          <w:color w:val="000000"/>
        </w:rPr>
        <w:t xml:space="preserve">, NDBI), band ratio for built-up area index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{"citationID":"7ZP5E5ue","properties":{"formattedCitation":"(Waqar et al., 2012)","plainCitation":"(Waqar et al., 2012)","dontUpdate":true,"noteIndex":0},"citationItems":[{"id":845,"uris":["http://zotero.org/users/8906743/items/97KJSKQ7"],"itemData":{"id":845,"type":"article-journal","abstract":"This paper presents development of new indices for the identification of built-up area and bare soil from medium resolution remote sensing data, extraction of these two spectrally confusing classes has always been a problem. For nearly three decades extensive research efforts have undergone for the development of various techniques including a number of indices to extract land cover features especially if suitable thresholds are used. These indices include for example NDVI (Normalized Difference Vegetation Index), NBI (Normalized Built up area Index), NDISI (Normalized Difference Impervious Surface Index) &amp; NDWI (Normalized Difference Water Index). All these indices use various combinations of bands in order to extract a particular land cover, and their performance depends upon spectral response of the features. As spectral response of land cover features varies from region to region due to climatic &amp; topographic changes so are their spectral curves. Due to this reason, indices developed for one area can’t be effectively applicable to another area. In this research, a few new indices have been proposed for the extraction of bare soil and built-up area using medium resolution satellite imagery (LandSat 30m). A comparison has been made among newly developed indices and previously used indices. The results show that newly developed indices for built-up area and soil increases accuracy up to 10-13% as compared to previously developed indices.","issue":"1","language":"en","page":"6","source":"Zotero","title":"Development of New Indices for Extraction of Built-Up Area &amp; Bare Soil from Landsat Data","volume":"1","author":[{"family":"Waqar","given":"Mirza Muhammad"},{"family":"Mirza","given":"Johum Fatimah"},{"family":"Mumtaz","given":"Rafia"},{"family":"Hussain","given":"Ejaz"}],"issued":{"date-parts":[["2012"]]}}}],"schema":"https://github.com/citation-style-language/schema/raw/master/csl-citation.json"}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(Waqar et al., 2012</w:t>
      </w:r>
      <w:r w:rsidRPr="00103457">
        <w:rPr>
          <w:rFonts w:ascii="Times New Roman" w:hAnsi="Times New Roman"/>
          <w:color w:val="000000"/>
        </w:rPr>
        <w:fldChar w:fldCharType="end"/>
      </w:r>
      <w:r w:rsidRPr="00103457">
        <w:rPr>
          <w:rFonts w:ascii="Times New Roman" w:hAnsi="Times New Roman"/>
          <w:color w:val="000000"/>
        </w:rPr>
        <w:t xml:space="preserve">, BRBA), built up area </w:t>
      </w:r>
      <w:r w:rsidRPr="00103457">
        <w:rPr>
          <w:rFonts w:ascii="Times New Roman" w:hAnsi="Times New Roman"/>
          <w:color w:val="000000"/>
        </w:rPr>
        <w:lastRenderedPageBreak/>
        <w:t xml:space="preserve">extraction index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{"citationID":"w9OZ1ZFI","properties":{"formattedCitation":"(Bouzekri et al., 2015)","plainCitation":"(Bouzekri et al., 2015)","dontUpdate":true,"noteIndex":0},"citationItems":[{"id":740,"uris":["http://zotero.org/users/8906743/items/GNE7Z4PF"],"itemData":{"id":740,"type":"article-journal","abstract":"This research paper presents development of a new</w:instrText>
      </w:r>
      <w:r w:rsidRPr="00C8461E">
        <w:rPr>
          <w:rFonts w:ascii="Times New Roman" w:hAnsi="Times New Roman"/>
          <w:color w:val="000000"/>
        </w:rPr>
        <w:instrText xml:space="preserve"> spectral index, it was proposed to extract the built-up area from medium spatial resolution satellite imagery data; a Landsat Operational Land Imager, and the Thermal Infrared Sensor “OLI_TIRS”. The newly developed spectral index was derived from Band ratios, it was compared with four previously used spectral indices; the Band Ratio for Built-up Area (BRBA), the Normalized Built-up Area Index (NBAI), the New Built-up Index (NBI) and the Normalized Built-up Index (NDBI). Indices were applied to extract built- up area of Djelfa city, South Algiers, in the central part of North Algeria. The results indicated that newly developed spectral index for extract the built-up area, using overall accuracy and kappa coefficient, are superior as compared to ones of the other spectral indices.","container-title":"Journal of the Indian Society of Remote Sensing","DOI":"10.1007/s12524-015-0460-6","ISSN":"0974-3006","issue":"4","journalAbbreviation":"J Indian Soc Remote Sens","language":"en","page":"867-873","source":"Springer Link","title":"A New Spectral Index for Extraction of Built-Up Area Using Landsat-8 Data","URL":"https://doi.org/10.1007/s12524-015-0460-6","volume":"43","author":[{"family":"Bouzekri","given":"Sara"},{"family":"Lasbet","given":"Abdel Aziz"},{"family":"Lachehab","given":"Ammar"}],"accessed":{"date-parts":[["2023",8,23]]},"issued":{"date-parts":[["2015",12,1]]}}}],"schema":"https://github.com/citation-style-language/schema/raw/master/csl-citation.json"} </w:instrText>
      </w:r>
      <w:r w:rsidRPr="00103457">
        <w:rPr>
          <w:rFonts w:ascii="Times New Roman" w:hAnsi="Times New Roman"/>
          <w:color w:val="000000"/>
        </w:rPr>
        <w:fldChar w:fldCharType="separate"/>
      </w:r>
      <w:r w:rsidRPr="00C8461E">
        <w:rPr>
          <w:rFonts w:ascii="Times New Roman" w:hAnsi="Times New Roman"/>
          <w:color w:val="000000"/>
        </w:rPr>
        <w:t>(Bouzekri et al., 2015</w:t>
      </w:r>
      <w:r w:rsidRPr="00103457">
        <w:rPr>
          <w:rFonts w:ascii="Times New Roman" w:hAnsi="Times New Roman"/>
          <w:color w:val="000000"/>
        </w:rPr>
        <w:fldChar w:fldCharType="end"/>
      </w:r>
      <w:r w:rsidRPr="00C8461E">
        <w:rPr>
          <w:rFonts w:ascii="Times New Roman" w:hAnsi="Times New Roman"/>
          <w:color w:val="000000"/>
        </w:rPr>
        <w:t>, BAEI), urban index</w:t>
      </w:r>
      <w:r w:rsidR="00245187" w:rsidRPr="00C8461E">
        <w:rPr>
          <w:rFonts w:ascii="Times New Roman" w:hAnsi="Times New Roman"/>
          <w:color w:val="000000"/>
        </w:rPr>
        <w:t xml:space="preserve"> </w:t>
      </w:r>
      <w:r w:rsidR="00B72048">
        <w:rPr>
          <w:rFonts w:ascii="Times New Roman" w:eastAsia="Aptos" w:hAnsi="Times New Roman"/>
        </w:rPr>
        <w:fldChar w:fldCharType="begin"/>
      </w:r>
      <w:r w:rsidR="00B72048" w:rsidRPr="00C8461E">
        <w:rPr>
          <w:rFonts w:ascii="Times New Roman" w:eastAsia="Aptos" w:hAnsi="Times New Roman"/>
        </w:rPr>
        <w:instrText xml:space="preserve"> ADDIN ZOTERO_ITEM CSL_CITATION {"citationID":"FVXOXZS8","properties":{"formattedCitation":"(Kawamura et al., 1997)","plainCitation":"(Kawamura et al., 1997)","noteIndex":0},"citationItems":[{"id":2043,"uris":["http://zotero.org/users/8906743/items/SNENKM35"],"itemData":{"id":2043,"type":"article-journal","abstract":"The rapid economic growth in Asian countries is causing increasing urbanization in major urban areas and it is severely degrading the condition of the natural environment. The objective of this study is to develop the method to evaluate the urbanization quantitatively using satellite data. The urban index UT, which is estimated using Landsat TM data, is proposed and clear relations of UI with building density, population density, energy consumption, etc, are examined for the case study of Colombo City in Sri Lanka. Quantitative evaluation of the relation between urbanization and the vegetation condition which represents the natural environment in urban areas, is discussed using UI and NDVI.","container-title":"Doboku Gakkai Ronbunshu","DOI":"10.2208/jscej.1997.580_45","ISSN":"0289-7806, 1882-7187","issue":"580","journalAbbreviation":"Doboku Gakkai Ronbunshu","language":"en","page":"45-54","source":"DOI.org (Crossref)","title":"Quantitative evaluation of urbanization in developing countries using satellite data","URL":"https://www.jstage.jst.go.jp/article/jscej1984/1997/580/1997_580_45/_article/-char/ja/","volume":"1997","author":[{"family":"Kawamura","given":"Makoto"},{"family":"Jayamanna","given":"Sanath"},{"family":"Tsujiko","given":"Yuji"}],"accessed":{"date-parts":[["2024",5,31]]},"issued":{"date-parts":[["1997",11,22]]}}}],"schema":"https://github.com/citation-style-language/schema/raw/master/csl-citation.json"} </w:instrText>
      </w:r>
      <w:r w:rsidR="00B72048">
        <w:rPr>
          <w:rFonts w:ascii="Times New Roman" w:eastAsia="Aptos" w:hAnsi="Times New Roman"/>
        </w:rPr>
        <w:fldChar w:fldCharType="separate"/>
      </w:r>
      <w:r w:rsidR="00B72048" w:rsidRPr="00C8461E">
        <w:rPr>
          <w:rFonts w:ascii="Times New Roman" w:hAnsi="Times New Roman"/>
        </w:rPr>
        <w:t>(Kawamura et al., 1997</w:t>
      </w:r>
      <w:r w:rsidR="00B72048">
        <w:rPr>
          <w:rFonts w:ascii="Times New Roman" w:eastAsia="Aptos" w:hAnsi="Times New Roman"/>
        </w:rPr>
        <w:fldChar w:fldCharType="end"/>
      </w:r>
      <w:r w:rsidR="00245187" w:rsidRPr="00C8461E">
        <w:rPr>
          <w:rFonts w:ascii="Times New Roman" w:eastAsia="Aptos" w:hAnsi="Times New Roman"/>
        </w:rPr>
        <w:t xml:space="preserve">, </w:t>
      </w:r>
      <w:r w:rsidRPr="00C8461E">
        <w:rPr>
          <w:rFonts w:ascii="Times New Roman" w:hAnsi="Times New Roman"/>
          <w:color w:val="000000"/>
        </w:rPr>
        <w:t xml:space="preserve">UID), biophysical composition index </w:t>
      </w:r>
      <w:r w:rsidRPr="00103457">
        <w:rPr>
          <w:rFonts w:ascii="Times New Roman" w:hAnsi="Times New Roman"/>
          <w:color w:val="000000"/>
        </w:rPr>
        <w:fldChar w:fldCharType="begin"/>
      </w:r>
      <w:r w:rsidRPr="00C8461E">
        <w:rPr>
          <w:rFonts w:ascii="Times New Roman" w:hAnsi="Times New Roman"/>
          <w:color w:val="000000"/>
        </w:rPr>
        <w:instrText xml:space="preserve"> ADDIN ZOTERO_ITEM CSL_CITATION {"citationID":"maacYuU5","properties":{"formattedCitation":"(Deng &amp; Wu, 2012)","plainCitation":"(Deng &amp; Wu, 2012)","dontUpdate":true,"noteIndex":0},"citationItems":[{"id":748,"uris":["http://zotero.org/users/8906743/items/CF8LIDW3"],"itemData":{"id":748,"type":"article-journal","abstract":"Understanding urban environments and their spatio-temporal changes is essential for regional and local planning and environmental management. To facilitate monitoring and analyzing urban environments, remotely sensed data have been applied extensively because of its synoptic view and repeat coverage over large geographic areas. Compared with traditional per-pixel and sub-pixel image analyses, spectral indices have apparent advantages due to their easy implementation. However, most spectral indices are designed to highlight only one land cover, and confusion between other land cover types, in particular impervious surfaces and bare soil, has not been successfully addressed. This study proposes a biophysical composition index (BCI) for simple and convenient derivation of urban biophysical compositions for practical applications following Ridd's conceptual vegetation – impervious surface – soil triangle model by a reexamination of the Tasseled Cap (TC) transformation. Further, this research explores the applicability of BCI in various remotely sensed images at different spatial resolutions. Results indicate that, BCI has a closer relationship with impervious surface abundance than those of normalized difference vegetation index (NDVI), normalized difference built-up index (NDBI) and normalized difference impervious surface index (NDISI), with correlation coefficients of approximately 0.8 at various resolutions. Also, the performances of BCI in quantifying vegetation abundance are comparable with NDVI at all three spatial scales. Additionally, with much higher values of separability metrics than any other index, the study confirms that BCI was shown to be the most effective index of the four evaluated for separating impervious surfaces and bare soil.","container-title":"Remote Sensing of Environment","DOI":"10.1016/j.rse.2012.09.009","ISSN":"0034-4257","journalAbbreviation":"Remote Sensing of Environment","page":"247-259","source":"ScienceDirect","title":"BCI: A biophysical composition index for remote sensing of urban environments","title-short":"BCI","URL":"https://www.sciencedirect.com/science/article/pii/S003442571200363X","volume":"127","author":[{"family":"Deng","given":"Chengbin"},{"family":"Wu","given":"Changshan"}],"accessed":{"date-parts":[["2023",8,23]]},"issued":{"date-parts":[["2012",12,1]]}}}],"schema":"https://github.com/citation-style-language/schema/raw/master/csl-citation.json"} </w:instrText>
      </w:r>
      <w:r w:rsidRPr="00103457">
        <w:rPr>
          <w:rFonts w:ascii="Times New Roman" w:hAnsi="Times New Roman"/>
          <w:color w:val="000000"/>
        </w:rPr>
        <w:fldChar w:fldCharType="separate"/>
      </w:r>
      <w:r w:rsidRPr="00C8461E">
        <w:rPr>
          <w:rFonts w:ascii="Times New Roman" w:hAnsi="Times New Roman"/>
          <w:color w:val="000000"/>
        </w:rPr>
        <w:t>(Deng &amp; Wu, 2012</w:t>
      </w:r>
      <w:r w:rsidRPr="00103457">
        <w:rPr>
          <w:rFonts w:ascii="Times New Roman" w:hAnsi="Times New Roman"/>
          <w:color w:val="000000"/>
        </w:rPr>
        <w:fldChar w:fldCharType="end"/>
      </w:r>
      <w:r w:rsidRPr="00C8461E">
        <w:rPr>
          <w:rFonts w:ascii="Times New Roman" w:hAnsi="Times New Roman"/>
          <w:color w:val="000000"/>
        </w:rPr>
        <w:t xml:space="preserve">, BCI), normalized built-up area index </w:t>
      </w:r>
      <w:r w:rsidRPr="00103457">
        <w:rPr>
          <w:rFonts w:ascii="Times New Roman" w:hAnsi="Times New Roman"/>
          <w:color w:val="000000"/>
        </w:rPr>
        <w:fldChar w:fldCharType="begin"/>
      </w:r>
      <w:r w:rsidRPr="00C8461E">
        <w:rPr>
          <w:rFonts w:ascii="Times New Roman" w:hAnsi="Times New Roman"/>
          <w:color w:val="000000"/>
        </w:rPr>
        <w:instrText xml:space="preserve"> ADDIN ZOTERO_ITEM CSL_CITATION {"citationID":"ZHdJ8nfD","properties":{"formattedCitation":"(Waqar et al., 2012)","plainCitation":"(Waqar et al., 2012)","dontUpdate":true,"noteIndex":0},"citationItems":[{"id":845,"uris":["http://zotero.org/users/8906743/items/97KJSKQ7"],"itemData":{"id":845,"type":"article-journal","abstract":"This paper presents development of new indices for the identification of built-up area and bare soil from medium resolution remote sensing data, extraction of these two spectrally confusing classes has always been a problem. For nearly three decades extensive research efforts have undergone for the development of various techniques including a number of indices to extract land cover features especially if suitable thresholds are used. These indices include for example NDVI (Normalized Difference Vegetation Index), NBI (Normalized Built up area Index), NDISI (Normalized Difference Impervious Surface Index) &amp; NDWI (Normalized Difference Water Index). All these indices use various combinations of bands in order to extract a particular land cover, and their performance depends upon spectral response of the features. As spectral response of land cover features varies from region to region due to climatic &amp; topographic changes so are their spectral curves. Due to this reason, indices developed for one area can’t be effectively applicable to another area. In this research, a few new indices have been proposed for the extraction of bare soil and built-up area using medium resolution satellite imagery (LandSat 30m). A comparison has been made among newly developed indices and previously used indices. The results show that newly developed indices for built-up area and soil increases accuracy up to 10-13% as compared to previously developed indices.","issue":"1","language":"en","page":"6","source":"Zotero","title":"Development of New Indices for Extraction of Built-Up Area &amp; Bare Soil from Landsat Data","volume":"1","author":[{"family":"Waqar","given":"Mirza Muhammad"},{"family":"Mirza","given":"Johum Fatimah"},{"family":"Mumtaz","given":"Rafia"},{"family":"Hussain","given":"Ejaz"}],"issued":{"date-parts":[["2012"]]}}}],"schema":"https://github.com/citation-style-language/schema/raw/master/csl-citation.json"} </w:instrText>
      </w:r>
      <w:r w:rsidRPr="00103457">
        <w:rPr>
          <w:rFonts w:ascii="Times New Roman" w:hAnsi="Times New Roman"/>
          <w:color w:val="000000"/>
        </w:rPr>
        <w:fldChar w:fldCharType="separate"/>
      </w:r>
      <w:r w:rsidRPr="00C8461E">
        <w:rPr>
          <w:rFonts w:ascii="Times New Roman" w:hAnsi="Times New Roman"/>
          <w:color w:val="000000"/>
        </w:rPr>
        <w:t>(Waqar et al., 2012</w:t>
      </w:r>
      <w:r w:rsidRPr="00103457">
        <w:rPr>
          <w:rFonts w:ascii="Times New Roman" w:hAnsi="Times New Roman"/>
          <w:color w:val="000000"/>
        </w:rPr>
        <w:fldChar w:fldCharType="end"/>
      </w:r>
      <w:r w:rsidRPr="00C8461E">
        <w:rPr>
          <w:rFonts w:ascii="Times New Roman" w:hAnsi="Times New Roman"/>
          <w:color w:val="000000"/>
        </w:rPr>
        <w:t xml:space="preserve">, NBAI), combinational biophysical composition index </w:t>
      </w:r>
      <w:r w:rsidRPr="00103457">
        <w:rPr>
          <w:rFonts w:ascii="Times New Roman" w:hAnsi="Times New Roman"/>
          <w:color w:val="000000"/>
        </w:rPr>
        <w:fldChar w:fldCharType="begin"/>
      </w:r>
      <w:r w:rsidRPr="00C8461E">
        <w:rPr>
          <w:rFonts w:ascii="Times New Roman" w:hAnsi="Times New Roman"/>
          <w:color w:val="000000"/>
        </w:rPr>
        <w:instrText xml:space="preserve"> ADDIN ZOTERO_ITEM CSL_CITATION {"citationID":"mWbt1a8E","properties":{"formattedCitation":"(S. Zhang et al., 2018)","plainCitation":"(S. Zhang et al., 2018)","dontUpdate":true,"noteIndex":0},"citationItems":[{"id":745,"uris":["http://zotero.org/users/8906743/items/5PSELZ8X"],"itemData":{"id":745,"type":"article-journal","abstract":"The current spectral indices for estimating urban biophysical compositions still have several limitations. First, most of those indices can highlight one urban biophysical composition, such as impervious surfaces, vegetation, or water. Furthermore, most of those indices depend on short-and mid-wave infrared and thermal infrared bands and thus have limited availability in high-resolution imagery. Finally, the separability between impervious surfaces and bare soil still needs to improve. Therefore, this paper proposed a combinational biophysical composition index (CBCI) for effective highlighting the four-major urban biophysical compositions. Correlation analyses were performed to estimate the relationship between the CBCI values and biophysical compositions, and the spectral discrimination index (SDI) was conducted to test the separability degree between impervious surfaces and bare soil. Moreover, normalized difference vegetation index (NDVI), normalized difference building index, BCI, and the combinational build-up index were utilized to perform the comparative analyses. Mo</w:instrText>
      </w:r>
      <w:r w:rsidRPr="00103457">
        <w:rPr>
          <w:rFonts w:ascii="Times New Roman" w:hAnsi="Times New Roman"/>
          <w:color w:val="000000"/>
        </w:rPr>
        <w:instrText xml:space="preserve">reover, this paper investigated the applicability of the CBCI in different spatial resolution remote sensing images. Our results indicated that the CBCI had a much closer relationship with impervious surface fraction than the other four indices and had a stronger correlation with vegetation abundances when compared with the NDVI. In addition, the CBCI had much higher SDI values than the other indices. This paper proved that the CBCI was an effective index for highlighting the four-major urban biophysical compositions and had good performance for separating impervious surfaces and bare soil.","container-title":"IEEE Access","DOI":"10.1109/ACCESS.2018.2857405","ISSN":"2169-3536","note":"event-title: IEEE Access","page":"41224-41237","source":"IEEE Xplore","title":"Combinational Biophysical Composition Index (CBCI) for Effective Mapping Biophysical Composition in Urban Areas","volume":"6","author":[{"family":"Zhang","given":"Shaohua"},{"family":"Yang","given":"Kun"},{"family":"Li","given":"Mingchan"},{"family":"Ma","given":"Yuling"},{"family":"Sun","given":"Mengzhu"}],"issued":{"date-parts":[["2018"]]}}}],"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(Zhang et al., 2018</w:t>
      </w:r>
      <w:r w:rsidRPr="00103457">
        <w:rPr>
          <w:rFonts w:ascii="Times New Roman" w:hAnsi="Times New Roman"/>
          <w:color w:val="000000"/>
        </w:rPr>
        <w:fldChar w:fldCharType="end"/>
      </w:r>
      <w:r w:rsidRPr="00103457">
        <w:rPr>
          <w:rFonts w:ascii="Times New Roman" w:hAnsi="Times New Roman"/>
          <w:color w:val="000000"/>
        </w:rPr>
        <w:t xml:space="preserve">, CBCI), and visible red based built-up index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{"citationID":"h4HbntkD","properties":{"formattedCitation":"(Estoque &amp; Murayama, 2015)","plainCitation":"(Estoque &amp; Murayama, 2015)","dontUpdate":true,"noteIndex":0},"citationItems":[{"id":599,"uris":["http://zotero.org/users/8906743/items/SHUZ4YPH"],"itemData":{"id":599,"type":"article-journal","container-title":"Ecological Indicators","DOI":"10.1016/j.ecolind.2015.03.037","ISSN":"1470160X","journalAbbreviation":"Ecological Indicators","language":"en","page":"205-217","source":"DOI.org (Crossref)","title":"Classification and change detection of built-up lands from Landsat-7 ETM+ and Landsat-8 OLI/TIRS imageries: A comparative assessment of various spectral indices","title-short":"Classification and change detection of built-up lands from Landsat-7 ETM+ and Landsat-8 OLI/TIRS imageries","URL":"https://linkinghub.elsevier.com/retrieve/pii/S1470160X15001673","volume":"56","author":[{"family":"Estoque","given":"Ronald C."},{"family":"Murayama","given":"Yuji"}],"accessed":{"date-parts":[["2022",1,30]]},"issued":{"date-parts":[["2015",9]]}}}],"schema":"https://github.com/citation-style-language/schema/raw/master/csl-citation.json"}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 xml:space="preserve">(Estoque &amp; Murayama, 2015, </w:t>
      </w:r>
      <w:r w:rsidRPr="00103457">
        <w:rPr>
          <w:rFonts w:ascii="Times New Roman" w:hAnsi="Times New Roman"/>
          <w:color w:val="000000"/>
        </w:rPr>
        <w:fldChar w:fldCharType="end"/>
      </w:r>
      <w:r w:rsidRPr="00103457">
        <w:rPr>
          <w:rFonts w:ascii="Times New Roman" w:hAnsi="Times New Roman"/>
          <w:color w:val="000000"/>
        </w:rPr>
        <w:t>VRBI). These spectral indices distinguished urban impervious surfaces (buildings, roads, asphalt, and concrete areas) from other land cover types in the satellite images. We used a percentile reducer to generate annual composites of each spectral index.</w:t>
      </w:r>
    </w:p>
    <w:p w14:paraId="7D24247E"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We generated training and validation data using a stratified random sample of plots constrained within and outside Africapolis city boundaries. A 30m x 30m polygon with a 5 x 5 regular grid of points was created for each sample location, and each point represented 4% cover. We randomly selected equal numbers of locations</w:t>
      </w:r>
      <w:r w:rsidRPr="00103457" w:rsidDel="00FD4B73">
        <w:rPr>
          <w:rFonts w:ascii="Times New Roman" w:hAnsi="Times New Roman"/>
          <w:color w:val="000000"/>
        </w:rPr>
        <w:t xml:space="preserve"> </w:t>
      </w:r>
      <w:r w:rsidRPr="00103457">
        <w:rPr>
          <w:rFonts w:ascii="Times New Roman" w:hAnsi="Times New Roman"/>
          <w:color w:val="000000"/>
        </w:rPr>
        <w:t xml:space="preserve">inside and outside city boundaries, then manually estimated the percentage of the impervious cover for each location using very high-resolution (VHR) imagery from </w:t>
      </w:r>
      <w:r w:rsidRPr="00834B99">
        <w:rPr>
          <w:rFonts w:cstheme="minorHAnsi"/>
          <w:color w:val="000000"/>
        </w:rPr>
        <w:t>Google Earth Pro version 7.3. We</w:t>
      </w:r>
      <w:r w:rsidRPr="00834B99" w:rsidDel="00FD4B73">
        <w:rPr>
          <w:rFonts w:cstheme="minorHAnsi"/>
          <w:color w:val="000000"/>
        </w:rPr>
        <w:t xml:space="preserve"> </w:t>
      </w:r>
      <w:r w:rsidRPr="00834B99">
        <w:rPr>
          <w:rFonts w:cstheme="minorHAnsi"/>
          <w:color w:val="000000"/>
        </w:rPr>
        <w:t>obtained impervious cover estimates for all years with interpretable VHR data for each selected location. The</w:t>
      </w:r>
      <w:r w:rsidRPr="00103457">
        <w:rPr>
          <w:rFonts w:ascii="Times New Roman" w:hAnsi="Times New Roman"/>
          <w:color w:val="000000"/>
        </w:rPr>
        <w:t xml:space="preserve"> total number of interpreted plots were 46410, with dates ranging from 2001 to 2020. Of the 46410 plots, 75% (34809 plots) was used to fit the model, and 25% (11599 plots) was used to evaluate the model performance.</w:t>
      </w:r>
    </w:p>
    <w:p w14:paraId="6E98FDFE"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 xml:space="preserve">Impervious surface maps were generated using methods from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{"citationID":"CiMZ50nu","properties":{"formattedCitation":"(Wimberly et al., 2022)","plainCitation":"(Wimberly et al., 2022)","dontUpdate":true,"noteIndex":0},"citationItems":[{"id":62,"uris":["http://zotero.org/users/8906743/items/VIQ5T6ZG"],"itemData":{"id":62,"type":"article-journal","abstract":"The Upper Guinean Forest region of West Africa, a globally significant biodiversity hotspot, is among the driest and most human-impacted tropical ecosystems. We used Landsat to study forest degradation, loss, and recovery in the forest reserves of Ghana from 2003 to 2019. Annual canopy cover maps were generated using random forests and results were temporally segmented using the LandTrendr algorithm. Canopy cover was predicted with a predicted-observed r2 of 0.76, mean absolute error of 12.8%, and mean error of 1.3%. Forest degradation, loss, and recovery were identified as transitions between closed (&gt;60% cover), open (15–60% cover) and low tree cover (&lt; 15% cover) classes. Change was relatively slow from 2003 to 2015, but there was more disturbance than recovery resulting in a gradual decline in closed canopy forests. In 2016, widespread fires associated with El Niño drought caused forest loss and degradation across more than 12% of the moist semi-deciduous and upland evergreen forest types. The workflow was implemented in Google Earth Engine, allowing stakeholders to visualize the results and download summaries. Information about historical disturbances will help to prioritize locations for future studies and target forest protection and restoration activities aimed at increasing resilience.","container-title":"International Journal of Digital Earth","DOI":"10.1080/17538947.2021.2012533","ISSN":"1753-8947","issue":"1","note":"publisher: Taylor &amp; Francis\n_eprint: https://doi.org/10.1080/17538947.2021.2012533","page":"30-51","source":"Taylor and Francis+NEJM","title":"Historical trends of degradation, loss, and recovery in the tropical forest reserves of Ghana","URL":"https://doi.org/10.1080/17538947.2021.2012533","volume":"15","author":[{"family":"Wimberly","given":"Michael C."},{"family":"Dwomoh","given":"Francis K."},{"family":"Numata","given":"Izaya"},{"family":"Mensah","given":"Foster"},{"family":"Amoako","given":"Jacob"},{"family":"Nekorchuk","given":"Dawn M."},{"family":"McMahon","given":"Andrea"}],"accessed":{"date-parts":[["2022",11,5]]},"issued":{"date-parts":[["2022",12,31]]}}}],"schema":"https://github.com/citation-style-language/schema/raw/master/csl-citation.json"}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Wimberly et al. (2022</w:t>
      </w:r>
      <w:r w:rsidRPr="00103457">
        <w:rPr>
          <w:rFonts w:ascii="Times New Roman" w:hAnsi="Times New Roman"/>
          <w:color w:val="000000"/>
        </w:rPr>
        <w:fldChar w:fldCharType="end"/>
      </w:r>
      <w:r w:rsidRPr="00103457">
        <w:rPr>
          <w:rFonts w:ascii="Times New Roman" w:hAnsi="Times New Roman"/>
          <w:color w:val="000000"/>
        </w:rPr>
        <w:t>)</w:t>
      </w:r>
      <w:r w:rsidRPr="00103457" w:rsidDel="00CE503E">
        <w:rPr>
          <w:rFonts w:ascii="Times New Roman" w:hAnsi="Times New Roman"/>
          <w:color w:val="000000"/>
        </w:rPr>
        <w:t xml:space="preserve">. </w:t>
      </w:r>
      <w:r w:rsidRPr="00103457">
        <w:rPr>
          <w:rFonts w:ascii="Times New Roman" w:hAnsi="Times New Roman"/>
          <w:color w:val="000000"/>
        </w:rPr>
        <w:t xml:space="preserve">We combined Random Forest (RF) regression and the Landsat-Based Detection of Disturbance and Recovery (LandTrendr) temporal segmentation approach to predict impervious surface cover at a 30m resolution for the entire 1.3 million square kilometer area. RF employs a set of regression trees that recursively partition the data into branches based on a subset of explanatory variables. Using the 34809 randomly selected training plots, we fitted the RF regression model to estimate </w:t>
      </w:r>
      <w:r w:rsidRPr="00103457">
        <w:rPr>
          <w:rFonts w:ascii="Times New Roman" w:hAnsi="Times New Roman"/>
          <w:color w:val="000000"/>
        </w:rPr>
        <w:lastRenderedPageBreak/>
        <w:t xml:space="preserve">the annual percent impervious cover for each pixel in the Google Earth Engine (GEE) platform. Next, we applied LandTrendr to the annual RF predictions of impervious surfaces, resulting in breakpoints that distinguish consistent and sudden changes in the temporal trajectory. The LandTrendr segmentation method smooths noisy time series by fitting a linear model to each segment, with different line segments representing distinctive change trajectories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{"citationID":"OaY6RqpK","properties":{"formattedCitation":"(Kennedy et al., 2018)","plainCitation":"(Kennedy et al., 2018)","noteIndex":0},"citationItems":[{"id":392,"uris":["http://zotero.org/users/8906743/items/FK9N89CT"],"itemData":{"id":392,"type":"article-journal","abstract":"The LandTrendr (LT) algorithm has been used widely for analysis of change in Landsat spectral time series data, but requires signiﬁcant pre-processing, data management, and computational resources, and is only accessible to the community in a proprietary programming language (IDL). Here, we introduce LT for the Google Earth Engine (GEE) platform. The GEE platform simpliﬁes pre-processing steps, allowing focus on the translation of the core temporal segmentation algorithm. Temporal segmentation involved a series of repeated random access calls to each pixel’s time series, resulting in a set of breakpoints (“vertices”) that bound straight-line segments. The translation of the algorithm into GEE included both transliteration and code analysis, resulting in improvement and logic error ﬁxes. At six study areas representing diverse land cover types across the U.S., we conducted a direct comparison of the new LT-GEE code against the heritage code (LT-IDL). The algorithms agreed in most cases, and where disagreements occurred, they were largely attributable to logic error ﬁxes in the code translation process. The practical impact of these changes is minimal, as shown by an example of forest disturbance mapping. We conclude that the LT-GEE algorithm represents a faithful translation of the LT code into a platform easily accessible by the broader user community.","container-title":"Remote Sensing","DOI":"10.3390/rs10050691","ISSN":"2072-4292","issue":"5","journalAbbreviation":"Remote Sensing","language":"en","page":"691","source":"DOI.org (Crossref)","title":"Implementation of the LandTrendr Algorithm on Google Earth Engine","URL":"http://www.mdpi.com/2072-4292/10/5/691","volume":"10","author":[{"family":"Kennedy","given":"Robert"},{"family":"Yang","given":"Zhiqiang"},{"family":"Gorelick","given":"Noel"},{"family":"Braaten","given":"Justin"},{"family":"Cavalcante","given":"Lucas"},{"family":"Cohen","given":"Warren"},{"family":"Healey","given":"Sean"}],"accessed":{"date-parts":[["2022",2,5]]},"issued":{"date-parts":[["2018",5,1]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(Kennedy et al., 2018)</w:t>
      </w:r>
      <w:r w:rsidRPr="00103457">
        <w:rPr>
          <w:rFonts w:ascii="Times New Roman" w:hAnsi="Times New Roman"/>
          <w:color w:val="000000"/>
        </w:rPr>
        <w:fldChar w:fldCharType="end"/>
      </w:r>
      <w:r w:rsidRPr="00103457">
        <w:rPr>
          <w:rFonts w:ascii="Times New Roman" w:hAnsi="Times New Roman"/>
          <w:color w:val="000000"/>
        </w:rPr>
        <w:t xml:space="preserve">. This method has proven effective at minimizing false signals of change by smoothing noisy data and filling data gaps that persistently hinder land use and land cover change analysis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{"citationID":"o6yMF4Gi","properties":{"formattedCitation":"(Adhikari &amp; de Beurs, 2017; Herrmann et al., 2020; Wimberly et al., 2022)","plainCitation":"(Adhikari &amp; de Beurs, 2017; Herrmann et al., 2020; Wimberly et al., 2022)","noteIndex":0},"citationItems":[{"id":435,"uris":["http://zotero.org/users/8906743/items/QCAN7RTJ",["http://zotero.org/users/8906743/items/QCAN7RTJ"]],"itemData":{"id":435,"type":"article-journal","abstract":"Urban area expansion is happening at much faster rates in Asian and African cities than elsewhere in the world. This study uses multi-temporal Landsat images to map the urban extent of six small to large cities in West Africa at four diﬀerent time steps from the early 1970s–2010. The selected cities are Kumasi of Ghana, Daloa of Cote d’Ivoire, Abuja and Kano in Nigeria, Kindia of Guinea, and Ouagadougou of Burkina Faso. All cities revealed signiﬁcant urban growth in both urban area and population; however, it was apparent that there was a lot of variability in urban area development. Exponential urban growth rates in the cities were measured as ranging between 0.026 and 0.077, with allometric scaling factors matching those of other countries.","container-title":"Journal of Land Use Science","DOI":"10.1080/1747423X.2017.1280550","ISSN":"1747-423X, 1747-4248","issue":"2-3","journalAbbreviation":"Journal of Land Use Science","language":"en","page":"105-124","source":"DOI.org (Crossref)","title":"Growth in urban extent and allometric analysis of West African cities","URL":"https://www.tandfonline.com/doi/full/10.1080/1747423X.2017.1280550","volume":"12","author":[{"family":"Adhikari","given":"Pradeep"},{"family":"Beurs","given":"Kirsten M.","non-dropping-particle":"de"}],"accessed":{"date-parts":[["2022",2,4]]},"issued":{"date-parts":[["2017",5,4]]}}},{"id":557,"uris":["http://zotero.org/users/8906743/items/IWQYLSP6",["http://zotero.org/users/8906743/items/IWQYLSP6"]],"itemData":{"id":557,"type":"article-journal","abstract":"Abstract\n            \n              Rapid population growth in West Africa has exerted increasing pressures on land resources, leading to observable changes in the land cover and land use. However, spatially explicit and thematically detailed quantitative analyses of land cover change over long time periods and at regional scale have been lacking. Here we present a change intensity analysis of a Landsat-based, visually interpreted, multi-date (1975, 2000, 2013) land cover dataset of West Africa, stratified into five bioclimatic sub-regions. Change intensities accelerated over time and increased from the arid to the sub-humid sub-regions, as did population densities. The area occupied by human-dominated land cover categories more than doubled from 493,000 km\n              2\n              in 1975 to 1,121,000 km\n              2\n              in 2013. Land cover change intensities within 10 km of new settlement locations exceeded the region-wide average by up to a factor of three, substantiating the significant role of population pressure as a force of change. The spatial patterns of the human footprint in West Africa, however, suggest that not only population pressure but also changing socioeconomic conditions and policies shape the complexity of land cover outcomes.","container-title":"Communications Earth &amp; Environment","DOI":"10.1038/s43247-020-00053-y","ISSN":"2662-4435","issue":"1","journalAbbreviation":"Commun Earth Environ","language":"en","page":"53","source":"DOI.org (Crossref)","title":"Accelerating land cover change in West Africa over four decades as population pressure increased","URL":"http://www.nature.com/articles/s43247-020-00053-y","volume":"1","author":[{"family":"Herrmann","given":"Stefanie M."},{"family":"Brandt","given":"Martin"},{"family":"Rasmussen","given":"Kjeld"},{"family":"Fensholt","given":"Rasmus"}],"accessed":{"date-parts":[["2022",1,30]]},"issued":{"date-parts":[["2020",12]]}}},{"id":62,"uris":["http://zotero.org/users/8906743/items/VIQ5T6ZG"],"itemData":{"id":62,"type":"article-journal","abstract":"The Upper Guinean Forest region of West Africa, a globally significant biodiversity hotspot, is among the driest and most human-impacted tropical ecosystems. We used Landsat to study forest degradation, loss, and recovery in the forest reserves of Ghana from 2003 to 2019. Annual canopy cover maps were generated using random forests and results were temporally segmented using the LandTrendr algorithm. Canopy cover was predicted with a predicted-observed r2 of 0.76, mean absolute error of 12.8%, and mean error of 1.3%. Forest degradation, loss, and recovery were identified as transitions between closed (&gt;60% cover), open (15–60% cover) and low tree cover (&lt; 15% cover) classes. Change was relatively slow from 2003 to 2015, but there was more disturbance than recovery resulting in a gradual decline in closed canopy forests. In 2016, widespread fires associated with El Niño drought caused forest loss and degradation across more than 12% of the moist semi-deciduous and upland evergreen forest types. The workflow was implemented in Google Earth Engine, allowing stakeholders to visualize the results and download summaries. Information about historical disturbances will help to prioritize locations for future studies and target forest protection and restoration activities aimed at increasing resilience.","container-title":"International Journal of Digital Earth","DOI":"10.1080/17538947.2021.2012533","ISSN":"1753-8947","issue":"1","note":"publisher: Taylor &amp; Francis\n_eprint: https://doi.org/10.1080/17538947.2021.2012533","page":"30-51","source":"Taylor and Francis+NEJM","title":"Historical trends of degradation, loss, and recovery in the tropical forest reserves of Ghana","URL":"https://doi.org/10.1080/17538947.2021.2012533","volume":"15","author":[{"family":"Wimberly","given":"Michael C."},{"family":"Dwomoh","given":"Francis K."},{"family":"Numata","given":"Izaya"},{"family":"Mensah","given":"Foster"},{"family":"Amoako","given":"Jacob"},{"family":"Nekorchuk","given":"Dawn M."},{"family":"McMahon","given":"Andrea"}],"accessed":{"date-parts":[["2022",11,5]]},"issued":{"date-parts":[["2022",12,31]]}}}],"schema":"https://github.com/citation-style-language/schema/raw/master/csl-citation.json"}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(Adhikari &amp; de Beurs, 2017; Herrmann et al., 2020; Wimberly et al., 2022)</w:t>
      </w:r>
      <w:r w:rsidRPr="00103457">
        <w:rPr>
          <w:rFonts w:ascii="Times New Roman" w:hAnsi="Times New Roman"/>
          <w:color w:val="000000"/>
        </w:rPr>
        <w:fldChar w:fldCharType="end"/>
      </w:r>
      <w:r w:rsidRPr="00103457">
        <w:rPr>
          <w:rFonts w:ascii="Times New Roman" w:hAnsi="Times New Roman"/>
          <w:color w:val="000000"/>
        </w:rPr>
        <w:t xml:space="preserve">. Although LandTrendr is mostly used to monitor forest disturbance and recovery, it has also been used to detect urban changes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{"citationID":"Qn6OjPUD","properties":{"formattedCitation":"(Mugiraneza et al., 2020)","plainCitation":"(Mugiraneza et al., 2020)","noteIndex":0},"citationItems":[{"id":4,"uris":["http://zotero.org/users/8906743/items/QW3YKD2L"],"itemData":{"id":4,"type":"article-journal","abstract":"Producing accurate land cover maps is time-consuming and estimating land cover changes between two generated maps is affected by error propagation. The increased availability of analysis-ready Earth Observation (EO) data and the access to big data analytics capabilities on Google Earth Engine (GEE) have opened the opportunities for continuous monitoring of environment changing patterns. This research proposed a framework for analyzing urban land cover change trajectories based on Landsat time series and LandTrendr, a well-known spectral-temporal segmentation algorithm for land-based disturbance and recovery detection. The framework involved the use of baseline land cover maps generated at the beginning and at the end of the considered time interval and proposed a new approach to merge the LandTrendr results using multiple indices for reconstructing dense annual land cover maps within the considered period. A supervised support vector machine (SVM) classification was first performed on the two Landsat scenes, respectively, acquired in 1987 and 2019 over Kigali, Rwanda. The resulting land cover maps were then imported in the GEE platform and used to label the interannual LandTrendr-derived changes. The changes in duration, year, and magnitude of land cover disturbance were derived from six different indices/bands using the LandTrendr algorithm. The interannual change LandTrendr results were then combined using a robust estimation procedure based on principal component analysis (PCA) for reconstructing the annual land cover change maps. The produced yearly land cover maps were assessed using validation data and the GEE-based Area Estimation and Accuracy Assessment (Area2) application. The results were used to study the Kigali’s urbanization in the last three decades since 1987. The results illustrated that from 1987 to 1998, the urbanization was characterized by slow development, with less than a 2% annual growth rate. The post-conflict period was characterized by accelerated urbanization, with a 4.5% annual growth rate, particularly from 2004 onwards due to migration flows and investment promotion in the construction industry. The five-year interval analysis from 1990 to 2019 revealed that impervious surfaces increased from 4233.5 to 12116 hectares, with a 3.7% average annual growth rate. The proposed scheme was found to be cost-effective and useful for continuously monitoring the complex urban land cover dynamics, especially in environments with EO data affordability issues, and in data-sparse regions.","container-title":"Remote Sensing","DOI":"10.3390/rs12182883","ISSN":"2072-4292","issue":"18","language":"en","license":"http://creativecommons.org/licenses/by/3.0/","note":"number: 18\npublisher: Multidisciplinary Digital Publishing Institute","page":"2883","source":"www.mdpi.com","title":"Continuous Monitoring of Urban Land Cover Change Trajectories with Landsat Time Series and LandTrendr-Google Earth Engine Cloud Computing","URL":"https://www.mdpi.com/2072-4292/12/18/2883","volume":"12","author":[{"family":"Mugiraneza","given":"Theodomir"},{"family":"Nascetti","given":"Andrea"},{"family":"Ban","given":"Yifang"}],"accessed":{"date-parts":[["2022",10,2]]},"issued":{"date-parts":[["2020",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(Mugiraneza et al., 2020)</w:t>
      </w:r>
      <w:r w:rsidRPr="00103457">
        <w:rPr>
          <w:rFonts w:ascii="Times New Roman" w:hAnsi="Times New Roman"/>
          <w:color w:val="000000"/>
        </w:rPr>
        <w:fldChar w:fldCharType="end"/>
      </w:r>
      <w:r w:rsidRPr="00103457">
        <w:rPr>
          <w:rFonts w:ascii="Times New Roman" w:hAnsi="Times New Roman"/>
          <w:color w:val="000000"/>
        </w:rPr>
        <w:t>.</w:t>
      </w:r>
    </w:p>
    <w:p w14:paraId="7E54DBCD" w14:textId="77777777" w:rsidR="00103457" w:rsidRPr="00103457" w:rsidRDefault="00103457" w:rsidP="00103457">
      <w:pPr>
        <w:ind w:firstLine="360"/>
        <w:rPr>
          <w:rFonts w:ascii="Times New Roman" w:hAnsi="Times New Roman"/>
          <w:color w:val="000000"/>
        </w:rPr>
      </w:pPr>
      <w:r w:rsidRPr="00103457">
        <w:rPr>
          <w:rFonts w:ascii="Times New Roman" w:hAnsi="Times New Roman"/>
          <w:iCs/>
          <w:color w:val="000000"/>
        </w:rPr>
        <w:t>We u</w:t>
      </w:r>
      <w:r w:rsidRPr="00103457">
        <w:rPr>
          <w:rFonts w:ascii="Times New Roman" w:hAnsi="Times New Roman"/>
          <w:color w:val="000000"/>
        </w:rPr>
        <w:t xml:space="preserve">sed the remaining 11599 plots of evaluation data to validate the processed LandTrendr impervious cover estimates using several accuracy metrics, including correlation, predicted-observed r², mean error, mean absolute error, and root mean squared error. Correlation measures the linear relationship between the observed and the predicted values. The predicted-observed r² shows how well a linear model can estimate observations from the predictions. Mean error measures the prediction bias. Root mean square and mean absolute errors quantify the difference between predicted and observed values. </w:t>
      </w:r>
    </w:p>
    <w:p w14:paraId="31D892E8" w14:textId="1CF37F97" w:rsidR="00103457" w:rsidRDefault="00103457" w:rsidP="00103457">
      <w:pPr>
        <w:ind w:firstLine="360"/>
        <w:rPr>
          <w:rFonts w:ascii="Times New Roman" w:hAnsi="Times New Roman"/>
          <w:color w:val="000000"/>
        </w:rPr>
      </w:pPr>
      <w:r w:rsidRPr="00103457">
        <w:rPr>
          <w:rFonts w:ascii="Times New Roman" w:hAnsi="Times New Roman"/>
          <w:color w:val="000000"/>
        </w:rPr>
        <w:t xml:space="preserve">We classified the processed LandTrendr continuous impervious cover into developed and undeveloped areas based on visual comparisons of different thresholds with very high-resolution imagery. Developed areas had pixel values greater than 20%, and undeveloped areas had pixel values less than or </w:t>
      </w:r>
      <w:r w:rsidRPr="00203B5C">
        <w:rPr>
          <w:rFonts w:ascii="Times New Roman" w:hAnsi="Times New Roman"/>
          <w:color w:val="000000"/>
        </w:rPr>
        <w:t xml:space="preserve">equal to 20%. </w:t>
      </w:r>
      <w:r w:rsidRPr="005063CC">
        <w:rPr>
          <w:rFonts w:ascii="Times New Roman" w:hAnsi="Times New Roman" w:cs="Segoe UI"/>
          <w:color w:val="000000"/>
        </w:rPr>
        <w:t>We applied the rule that cells remained developed after conversion, even if the impervious surface dropped below 20% in subsequent years.</w:t>
      </w:r>
      <w:r w:rsidRPr="00203B5C" w:rsidDel="00B01D47">
        <w:rPr>
          <w:rFonts w:ascii="Times New Roman" w:hAnsi="Times New Roman"/>
          <w:color w:val="000000"/>
        </w:rPr>
        <w:t xml:space="preserve"> </w:t>
      </w:r>
      <w:r w:rsidRPr="00203B5C">
        <w:rPr>
          <w:rFonts w:ascii="Times New Roman" w:hAnsi="Times New Roman"/>
          <w:color w:val="000000"/>
        </w:rPr>
        <w:t>This</w:t>
      </w:r>
      <w:r w:rsidRPr="00103457">
        <w:rPr>
          <w:rFonts w:ascii="Times New Roman" w:hAnsi="Times New Roman"/>
          <w:color w:val="000000"/>
        </w:rPr>
        <w:t xml:space="preserve"> rule is a standard approach often used in urban expansion analysis due to the permanent nature of most </w:t>
      </w:r>
      <w:r w:rsidRPr="00103457">
        <w:rPr>
          <w:rFonts w:ascii="Times New Roman" w:hAnsi="Times New Roman"/>
          <w:color w:val="000000"/>
        </w:rPr>
        <w:lastRenderedPageBreak/>
        <w:t xml:space="preserve">impervious surfaces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{"citationID":"qJcIPPF7","properties":{"formattedCitation":"(Ding et al., 2022)","plainCitation":"(Ding et al., 2022)","noteIndex":0},"citationItems":[{"id":715,"uris":["http://zotero.org/users/8906743/items/QEUM458P"],"itemData":{"id":715,"type":"article-journal","abstract":"Accurate land cover mapping provides important scientific support for ecological environment protection and sustainable urban development. However, given the high expense of acquiring training samples and the difficulty of fully utilizing remote sensing big data, large-scale time-series land cover mapping remains to be a challenge. To address the issue, we proposed a novel time-series large-scale mapping approach that obtains high-quality training samples from OpenStreetMap volunteered data and transfers them for land cover mapping in historical years. Relying on the data archived on the Google Earth Engine platform, we constructed a discriminating feature set that contains spectrum, texture, and backscatter coefficient, among others. Taking the Guangdong-Hong Kong-Macao Greater Bay Area as a case area, the annual land cover maps after spatio-temporal consistency modification from 1986 to 2021 were obtained. The validation samples proved that the derived land cover classification results have high accuracy. We verified the reliability and superiority of the proposed approach by comparing our results with existing land cover products. The proposed mapping approach owns great transferability, and the mapping results provide a valid decision-making basis for urban planning.","container-title":"International Journal of Applied Earth Observation and Geoinformation","DOI":"10.1016/j.jag.2022.103001","ISSN":"1569-8432","journalAbbreviation":"International Journal of Applied Earth Observation and Geoinformation","page":"103001","source":"ScienceDirect","title":"Time-series land cover mapping and urban expansion analysis using OpenStreetMap data and remote sensing big data: A case study of Guangdong-Hong Kong-Macao Greater Bay Area, China","title-short":"Time-series land cover mapping and urban expansion analysis using OpenStreetMap data and remote sensing big data","URL":"https://www.sciencedirect.com/science/article/pii/S156984322200190X","volume":"113","author":[{"family":"Ding","given":"Qing"},{"family":"Shao","given":"Zhenfeng"},{"family":"Huang","given":"Xiao"},{"family":"Altan","given":"Orhan"},{"family":"Hu","given":"Bin"}],"accessed":{"date-parts":[["2023",8,31]]},"issued":{"date-parts":[["2022",9,1]]}}}],"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(Ding et al., 2022)</w:t>
      </w:r>
      <w:r w:rsidRPr="00103457">
        <w:rPr>
          <w:rFonts w:ascii="Times New Roman" w:hAnsi="Times New Roman"/>
          <w:color w:val="000000"/>
        </w:rPr>
        <w:fldChar w:fldCharType="end"/>
      </w:r>
      <w:r w:rsidRPr="00103457">
        <w:rPr>
          <w:rFonts w:ascii="Times New Roman" w:hAnsi="Times New Roman"/>
          <w:color w:val="000000"/>
        </w:rPr>
        <w:t xml:space="preserve">. We generated a confusion matrix for our binary classification and reported the overall accuracy, misclassification error, user's and producer's accuracy, and omission and commission errors. </w:t>
      </w:r>
    </w:p>
    <w:p w14:paraId="56F6884B" w14:textId="77777777" w:rsidR="00BC7A0C" w:rsidRPr="00103457" w:rsidRDefault="00BC7A0C" w:rsidP="00BC7A0C">
      <w:pPr>
        <w:spacing w:line="240" w:lineRule="auto"/>
        <w:ind w:firstLine="360"/>
        <w:rPr>
          <w:rFonts w:ascii="Times New Roman" w:hAnsi="Times New Roman"/>
          <w:color w:val="000000"/>
        </w:rPr>
      </w:pPr>
    </w:p>
    <w:p w14:paraId="5C88A473" w14:textId="77777777" w:rsidR="006F7C17" w:rsidRPr="00103457" w:rsidRDefault="006F7C17" w:rsidP="00277F12">
      <w:pPr>
        <w:pStyle w:val="Heading3"/>
      </w:pPr>
      <w:bookmarkStart w:id="35" w:name="_Toc172288712"/>
      <w:r w:rsidRPr="00103457">
        <w:t>Quantifying urban expansion</w:t>
      </w:r>
      <w:bookmarkEnd w:id="35"/>
    </w:p>
    <w:p w14:paraId="0119A546"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 xml:space="preserve">For each city, we computed the mean annual urban expansion rate (AER) from 2001-2020 using equation from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{"citationID":"2RIs10Iq","properties":{"formattedCitation":"(Ning et al., 2022; Zhao et al., 2015)","plainCitation":"(Ning et al., 2022; Zhao et al., 2015)","noteIndex":0},"citationItems":[{"id":650,"uris":["http://zotero.org/users/8906743/items/76L9UXXR"],"itemData":{"id":650,"type":"article-journal","abstract":"It is undeniable that the process of urbanization in China is a massive phenomenon of scale and speed in hu­ manity history. The relentless march of urbanization poses a critical challenge for creating a comprehensive analysis of the integrated characteristics of contemporary cities. Here, we integrated 30 m continuous and consistent human settlement areas to quantify spatiotemporal dynamics of urban development in 344 prefectural-level cities of China from 1987 to 2017 via Gibrat's law. Results indicated that China had experienced a rapid urbanization process during the past three decades with annual expansion and annual growth rates of 3877.93 km2 and 5.84%, respectively. A key finding was that city growth rate was inversely proportional to initial city size, therefore contradicting Gibrat's law, whose performance was relevant to shifts in urbanization policies. Furthermore, results also highlighted interregional disparities between the southwest and northwest and other regions, as well as intra-regional differences within geographical, urban sizes, and administrative levels. Exploring the validity of Gibrat's law involving the links between city size and growth rate in China deepens our theoretical insights and, more importantly, will make policymakers aware of the need to adopt a holistic approach by considering the uneven nature of urbanization toward better sustainability.","container-title":"Cities","DOI":"10.1016/j.cities.2022.103717","ISSN":"02642751","journalAbbreviation":"Cities","language":"en","page":"103717","source":"DOI.org (Crossref)","title":"Urban growth rates, trajectories, and multi-dimensional disparities in China","URL":"https://linkinghub.elsevier.com/retrieve/pii/S0264275122001561","volume":"126","author":[{"family":"Ning","given":"Ying"},{"family":"Liu","given":"Shuguang"},{"family":"Zhao","given":"Shuqing"},{"family":"Liu","given":"Maochou"},{"family":"Gao","given":"Haiqiang"},{"family":"Gong","given":"Peng"}],"accessed":{"date-parts":[["2023",3,11]]},"issued":{"date-parts":[["2022",7]]}}},{"id":63,"uris":["http://zotero.org/users/8906743/items/W3WHFFLD","http://zotero.org/users/8906743/items/RMWWQIGN"],"itemData":{"id":63,"type":"article-journal","abstract":"The scale of urbanization in China during the past three decades is unprecedented in human history, and the processes are poorly understood. Here we present an eﬀort to map the urban land expansion processes of 32 major cities in China from 1978 to 2010 using Landsat satellite data to understand the temporal and spatial characteristics. Results showed that the urban extent of the 32 cities expanded exponentially with very high annual rates varying from 3.2% to 12.8%. Temporal ﬂuctuation in urban expansion rates in these 32 cities was obvious, with unexpected and alarming expansion rates from 2005 to 2010 that drastically exceeded their expectation, which was calculated from the long-term trend between 1978 and 2005, by 45%. Overall, we found that the growth rates of cities during the entire study period were inversely related to city size, contradicting the theory or Gibrat’s law, which states that the growth rate is independent of city size. More detailed analysis indicated that city growth in China has transitioned from contradicting to conforming to Gibrat’s law since 1995. Our study suggests that the urban expansion theory (i.e., Gibrat’s law) does not ﬁt Chinese expansion consistently over time, and the exact causes are unknown. Exploring the causes in future research will improve our understanding of the theory and, more importantly, understand the feasibility of the theoretical relationship between city size and expansion rate in guiding contemporary urban expansion planning.","container-title":"Environmental Science &amp; Technology","DOI":"10.1021/acs.est.5b00065","ISSN":"0013-936X, 1520-5851","issue":"16","journalAbbreviation":"Environ. Sci. Technol.","language":"en","page":"9600-9609","source":"DOI.org (Crossref)","title":"Spatial and Temporal Dimensions of Urban Expansion in China","URL":"https://pubs.acs.org/doi/10.1021/acs.est.5b00065","volume":"49","author":[{"family":"Zhao","given":"Shuqing"},{"family":"Zhou","given":"Decheng"},{"family":"Zhu","given":"Chao"},{"family":"Sun","given":"Yan"},{"family":"Wu","given":"Wenjia"},{"family":"Liu","given":"Shuguang"}],"accessed":{"date-parts":[["2023",3,11]]},"issued":{"date-parts":[["2015",8,18]]}}}],"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(Ning et al., 2022; Zhao et al., 2015)</w:t>
      </w:r>
      <w:r w:rsidRPr="00103457">
        <w:rPr>
          <w:rFonts w:ascii="Times New Roman" w:hAnsi="Times New Roman"/>
          <w:color w:val="000000"/>
        </w:rPr>
        <w:fldChar w:fldCharType="end"/>
      </w:r>
      <w:r w:rsidRPr="00103457">
        <w:rPr>
          <w:rFonts w:ascii="Times New Roman" w:hAnsi="Times New Roman"/>
          <w:color w:val="000000"/>
        </w:rPr>
        <w:t xml:space="preserve"> as </w:t>
      </w:r>
    </w:p>
    <w:p w14:paraId="4FE62B92" w14:textId="5109E80D" w:rsidR="00103457" w:rsidRPr="00103457" w:rsidRDefault="00103457" w:rsidP="00103457">
      <w:pPr>
        <w:ind w:firstLine="360"/>
        <w:rPr>
          <w:rFonts w:ascii="Times New Roman" w:hAnsi="Times New Roman"/>
          <w:noProof/>
          <w:color w:val="000000"/>
        </w:rPr>
      </w:pPr>
      <m:oMath>
        <m:r>
          <w:rPr>
            <w:rFonts w:ascii="Cambria Math" w:hAnsi="Cambria Math"/>
            <w:noProof/>
            <w:color w:val="000000"/>
            <w:lang w:val="es-ES"/>
          </w:rPr>
          <m:t>AER</m:t>
        </m:r>
        <m:r>
          <w:rPr>
            <w:rFonts w:ascii="Cambria Math" w:hAnsi="Cambria Math"/>
            <w:noProof/>
            <w:color w:val="000000"/>
          </w:rPr>
          <m:t>=100% ×</m:t>
        </m:r>
        <m:d>
          <m:dPr>
            <m:ctrlPr>
              <w:rPr>
                <w:rFonts w:ascii="Cambria Math" w:hAnsi="Cambria Math"/>
                <w:i/>
                <w:noProof/>
                <w:color w:val="000000"/>
              </w:rPr>
            </m:ctrlPr>
          </m:dPr>
          <m:e>
            <m:rad>
              <m:radPr>
                <m:ctrlPr>
                  <w:rPr>
                    <w:rFonts w:ascii="Cambria Math" w:hAnsi="Cambria Math"/>
                    <w:i/>
                    <w:noProof/>
                    <w:color w:val="000000"/>
                    <w:kern w:val="2"/>
                  </w:rPr>
                </m:ctrlPr>
              </m:radPr>
              <m:deg>
                <m:r>
                  <w:rPr>
                    <w:rFonts w:ascii="Cambria Math" w:hAnsi="Cambria Math"/>
                    <w:noProof/>
                    <w:color w:val="000000"/>
                  </w:rPr>
                  <m:t>n</m:t>
                </m:r>
              </m:deg>
              <m:e>
                <m:f>
                  <m:fPr>
                    <m:ctrlPr>
                      <w:rPr>
                        <w:rFonts w:ascii="Cambria Math" w:hAnsi="Cambria Math"/>
                        <w:i/>
                        <w:noProof/>
                        <w:color w:val="000000"/>
                        <w:kern w:val="2"/>
                      </w:rPr>
                    </m:ctrlPr>
                  </m:fPr>
                  <m:num>
                    <m:sSub>
                      <m:sSubPr>
                        <m:ctrlPr>
                          <w:rPr>
                            <w:rFonts w:ascii="Cambria Math" w:hAnsi="Cambria Math"/>
                            <w:i/>
                            <w:noProof/>
                            <w:color w:val="000000"/>
                            <w:kern w:val="2"/>
                          </w:rPr>
                        </m:ctrlPr>
                      </m:sSubPr>
                      <m:e>
                        <m:r>
                          <w:rPr>
                            <w:rFonts w:ascii="Cambria Math" w:hAnsi="Cambria Math"/>
                            <w:noProof/>
                            <w:color w:val="000000"/>
                            <w:kern w:val="2"/>
                          </w:rPr>
                          <m:t>TDA</m:t>
                        </m:r>
                      </m:e>
                      <m:sub>
                        <m:r>
                          <w:rPr>
                            <w:rFonts w:ascii="Cambria Math" w:hAnsi="Cambria Math"/>
                            <w:noProof/>
                            <w:color w:val="000000"/>
                            <w:kern w:val="2"/>
                          </w:rPr>
                          <m:t>e</m:t>
                        </m:r>
                      </m:sub>
                    </m:sSub>
                  </m:num>
                  <m:den>
                    <m:sSub>
                      <m:sSubPr>
                        <m:ctrlPr>
                          <w:rPr>
                            <w:rFonts w:ascii="Cambria Math" w:hAnsi="Cambria Math"/>
                            <w:i/>
                            <w:color w:val="000000"/>
                          </w:rPr>
                        </m:ctrlPr>
                      </m:sSubPr>
                      <m:e>
                        <m:r>
                          <w:rPr>
                            <w:rFonts w:ascii="Cambria Math" w:hAnsi="Cambria Math"/>
                            <w:color w:val="000000"/>
                          </w:rPr>
                          <m:t>TDA</m:t>
                        </m:r>
                      </m:e>
                      <m:sub>
                        <m:r>
                          <w:rPr>
                            <w:rFonts w:ascii="Cambria Math" w:hAnsi="Cambria Math"/>
                            <w:color w:val="000000"/>
                          </w:rPr>
                          <m:t>s</m:t>
                        </m:r>
                      </m:sub>
                    </m:sSub>
                  </m:den>
                </m:f>
              </m:e>
            </m:rad>
            <m:r>
              <w:rPr>
                <w:rFonts w:ascii="Cambria Math" w:hAnsi="Cambria Math"/>
                <w:noProof/>
                <w:color w:val="000000"/>
              </w:rPr>
              <m:t>-1</m:t>
            </m:r>
          </m:e>
        </m:d>
        <m:r>
          <w:rPr>
            <w:rFonts w:ascii="Cambria Math" w:hAnsi="Cambria Math"/>
            <w:noProof/>
            <w:color w:val="000000"/>
          </w:rPr>
          <m:t>…………………(1)</m:t>
        </m:r>
      </m:oMath>
      <w:r w:rsidRPr="00103457">
        <w:rPr>
          <w:rFonts w:ascii="Times New Roman" w:hAnsi="Times New Roman"/>
          <w:noProof/>
          <w:color w:val="000000"/>
        </w:rPr>
        <w:t>.</w:t>
      </w:r>
    </w:p>
    <w:p w14:paraId="4C226245" w14:textId="77777777" w:rsidR="00103457" w:rsidRPr="00103457" w:rsidRDefault="00103457" w:rsidP="00103457">
      <w:pPr>
        <w:rPr>
          <w:rFonts w:ascii="Times New Roman" w:hAnsi="Times New Roman"/>
          <w:color w:val="000000"/>
        </w:rPr>
      </w:pPr>
      <w:r w:rsidRPr="00103457">
        <w:rPr>
          <w:rFonts w:ascii="Times New Roman" w:hAnsi="Times New Roman"/>
          <w:i/>
          <w:iCs/>
          <w:color w:val="000000"/>
        </w:rPr>
        <w:t>TDA</w:t>
      </w:r>
      <w:r w:rsidRPr="00103457">
        <w:rPr>
          <w:rFonts w:ascii="Times New Roman" w:hAnsi="Times New Roman"/>
          <w:i/>
          <w:iCs/>
          <w:color w:val="000000"/>
          <w:vertAlign w:val="subscript"/>
        </w:rPr>
        <w:t>s</w:t>
      </w:r>
      <w:r w:rsidRPr="00103457">
        <w:rPr>
          <w:rFonts w:ascii="Times New Roman" w:hAnsi="Times New Roman"/>
          <w:i/>
          <w:color w:val="000000"/>
          <w:vertAlign w:val="subscript"/>
        </w:rPr>
        <w:t xml:space="preserve"> </w:t>
      </w:r>
      <w:r w:rsidRPr="00103457">
        <w:rPr>
          <w:rFonts w:ascii="Times New Roman" w:hAnsi="Times New Roman"/>
          <w:color w:val="000000"/>
        </w:rPr>
        <w:t xml:space="preserve">is the total developed area for the start year, </w:t>
      </w:r>
      <w:r w:rsidRPr="00103457">
        <w:rPr>
          <w:rFonts w:ascii="Times New Roman" w:hAnsi="Times New Roman"/>
          <w:i/>
          <w:iCs/>
          <w:color w:val="000000"/>
        </w:rPr>
        <w:t>TDA</w:t>
      </w:r>
      <w:r w:rsidRPr="00103457">
        <w:rPr>
          <w:rFonts w:ascii="Times New Roman" w:hAnsi="Times New Roman"/>
          <w:i/>
          <w:iCs/>
          <w:color w:val="000000"/>
          <w:vertAlign w:val="subscript"/>
        </w:rPr>
        <w:t>e</w:t>
      </w:r>
      <w:r w:rsidRPr="00103457">
        <w:rPr>
          <w:rFonts w:ascii="Times New Roman" w:hAnsi="Times New Roman"/>
          <w:color w:val="000000"/>
        </w:rPr>
        <w:t xml:space="preserve"> is the total developed area for the end year, and n is the time interval in years.</w:t>
      </w:r>
    </w:p>
    <w:p w14:paraId="5E20DB63"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We</w:t>
      </w:r>
      <w:r w:rsidRPr="00103457" w:rsidDel="00F656F2">
        <w:rPr>
          <w:rFonts w:ascii="Times New Roman" w:hAnsi="Times New Roman"/>
          <w:color w:val="000000"/>
        </w:rPr>
        <w:t xml:space="preserve"> </w:t>
      </w:r>
      <w:r w:rsidRPr="00103457">
        <w:rPr>
          <w:rFonts w:ascii="Times New Roman" w:hAnsi="Times New Roman"/>
          <w:color w:val="000000"/>
        </w:rPr>
        <w:t xml:space="preserve">summarized total developed areas and annual expansion rates in developed areas by city type and country. We also computed the standard deviation and skewness of the annual expansion rates to characterize their variability over time. We applied Mann-Kendall and Sen's slope trend analysis on the expansion rates to understand the change trajectories from 2001-2020. </w:t>
      </w:r>
    </w:p>
    <w:p w14:paraId="2D8D5B81" w14:textId="77777777" w:rsidR="00103457" w:rsidRDefault="00103457" w:rsidP="00103457">
      <w:pPr>
        <w:ind w:firstLine="360"/>
        <w:rPr>
          <w:rFonts w:ascii="Times New Roman" w:hAnsi="Times New Roman"/>
          <w:color w:val="000000"/>
        </w:rPr>
      </w:pPr>
      <w:r w:rsidRPr="00103457">
        <w:rPr>
          <w:rFonts w:ascii="Times New Roman" w:hAnsi="Times New Roman"/>
          <w:color w:val="000000"/>
        </w:rPr>
        <w:t>Using the urban landscape analysis tool (ULAT), developed by the Center for Land Use and Education Research at the University of Connecticut, we characterized the spatial patterns of urban expansion. ULAT</w:t>
      </w:r>
      <w:r w:rsidRPr="00103457" w:rsidDel="00F656F2">
        <w:rPr>
          <w:rFonts w:ascii="Times New Roman" w:hAnsi="Times New Roman"/>
          <w:color w:val="000000"/>
        </w:rPr>
        <w:t xml:space="preserve"> </w:t>
      </w:r>
      <w:r w:rsidRPr="00103457">
        <w:rPr>
          <w:rFonts w:ascii="Times New Roman" w:hAnsi="Times New Roman"/>
          <w:color w:val="000000"/>
        </w:rPr>
        <w:t xml:space="preserve">employs a set of iterative rules that identifies new developments and categorizes them into three expansion types: infill, extension, and leapfrog, based on their densities and proximity to previously developed areas. 1) Infill represents new developments within the initial developed open lands that increase the contiguity of developed areas; 2) Extension expands outwards and is located adjacent to previously developed areas; and 3) Leapfrog expansions are sparse developments detached from previously developed areas. Extension usually occurs at the periphery and most leapfrog development is isolated and </w:t>
      </w:r>
      <w:r w:rsidRPr="00103457">
        <w:rPr>
          <w:rFonts w:ascii="Times New Roman" w:hAnsi="Times New Roman"/>
          <w:color w:val="000000"/>
        </w:rPr>
        <w:lastRenderedPageBreak/>
        <w:t xml:space="preserve">dispersed, which are important structural characteristics of sprawl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{"citationID":"qdw1xjdE","properties":{"formattedCitation":"(Angel et al., 2021; Jia et al., 2022)","plainCitation":"(Angel et al., 2021; Jia et al., 2022)","noteIndex":0},"citationItems":[{"id":85,"uris":["http://zotero.org/users/8906743/items/T7YDXD9K","http://zotero.org/users/8906743/items/7739YXBP"],"itemData":{"id":85,"type":"article-journal","abstract":"Serious concerns with accelerating global warming have been translated into urgent calls for increasing urban densities: higher densities are associated with lower greenhouse gas emissions, especially those related to vehicle kilometers traveled (VKT). In order to densify meaningfully in the coming decades, cities need to make room within their existing footprints to accommodate more people. In the absence of adequate room within their existing footprints, cities create more room through outward expansion, typically resulting in lower overall densities. We introduce a quantitative dimension to this process, focusing on the population added to a global stratiﬁed sample of 200 cities between 1990 and 2014. In three-quarters of the cities we studied, the areas built before 1990 gained population and thus densiﬁed signiﬁcantly. On average, however, only one-quarter of the total population added to the 200 cities in the sample in the 1990–2014 period were accommodated within their 1990 urban footprints, while three-quarters were accommodated within their newly built expansion areas. That resulted in an overall decline in average urban densities during the 1990–2014 period despite the near-global, decades-old and rarely questioned consensus that urban expansion must be contained.","container-title":"Sustainability","DOI":"10.3390/su13073835","ISSN":"2071-1050","issue":"7","journalAbbreviation":"Sustainability","language":"en","page":"3835","source":"DOI.org (Crossref)","title":"Densify and Expand: A Global Analysis of Recent Urban Growth","title-short":"Densify and Expand","URL":"https://www.mdpi.com/2071-1050/13/7/3835","volume":"13","author":[{"family":"Angel","given":"Shlomo"},{"family":"Lamson-Hall","given":"Patrick"},{"family":"Blei","given":"Alejandro"},{"family":"Shingade","given":"Sharad"},{"family":"Kumar","given":"Suman"}],"accessed":{"date-parts":[["2022",1,30]]},"issued":{"date-parts":[["2021",3,31]]}}},{"id":568,"uris":["http://zotero.org/users/8906743/items/J7TVA64R"],"itemData":{"id":568,"type":"article-journal","abstract":"Urban sprawl has become a global phenomenon resulting in many critical social and environmental problems, but its characteristics and causes vary in different contexts, especially in developing countries such as China. Despite many studies on the urban growth of Chinese cities, not much is known about the county-level small cities. To better understand the dynamics of urban growth pattern across different sized cities, this study defined whether urban growth patterns are compactness or sprawl in each of six dimensions: land use efficiency, spatial pattern of urban land, inner structure of urban space, mixed uses, accessibility, and environmental impacts. Taking the 2 municipalities, 7 prefecture-level cities, and 93 county-level cities in Beijing-Tianjin-Hebei (BTH) region as cases, we assessed their urban growth patterns during 2015–2018. The results show that the regional policy on coordinated development of BTH region has promoted the growth of small cities, but these cities also tend to suffer from greater sprawl than larger cities. The differences of urban growth pattern between small and large cities exist in terms of the spatial pattern of urban land, inner structure of urban space, and environmental impacts. As small cities expand, they become spatially fragmented and decentralised. However, urban growth in larger cities has a greater negative impact on the natural environment. These findings suggest that we need to carefully consider the local context when developing urban growth management policies.","container-title":"Ecological Indicators","DOI":"10.1016/j.ecolind.2022.108816","ISSN":"1470160X","journalAbbreviation":"Ecological Indicators","language":"en","page":"108816","source":"DOI.org (Crossref)","title":"Compactness or sprawl: Multi-dimensional approach to understanding the urban growth patterns in Beijing-Tianjin-Hebei region, China","title-short":"Compactness or sprawl","URL":"https://linkinghub.elsevier.com/retrieve/pii/S1470160X22002874","volume":"138","author":[{"family":"Jia","given":"Mengyuan"},{"family":"Zhang","given":"Haoran"},{"family":"Yang","given":"Zhen"}],"accessed":{"date-parts":[["2024",1,23]]},"issued":{"date-parts":[["2022",5]]}}}],"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(Angel et al., 2021; Jia et al., 2022)</w:t>
      </w:r>
      <w:r w:rsidRPr="00103457">
        <w:rPr>
          <w:rFonts w:ascii="Times New Roman" w:hAnsi="Times New Roman"/>
          <w:color w:val="000000"/>
        </w:rPr>
        <w:fldChar w:fldCharType="end"/>
      </w:r>
      <w:r w:rsidRPr="00103457">
        <w:rPr>
          <w:rFonts w:ascii="Times New Roman" w:hAnsi="Times New Roman"/>
          <w:color w:val="000000"/>
        </w:rPr>
        <w:t>. Therefore, we</w:t>
      </w:r>
      <w:r w:rsidRPr="00103457" w:rsidDel="00F656F2">
        <w:rPr>
          <w:rFonts w:ascii="Times New Roman" w:hAnsi="Times New Roman"/>
          <w:color w:val="000000"/>
        </w:rPr>
        <w:t xml:space="preserve"> </w:t>
      </w:r>
      <w:r w:rsidRPr="00103457">
        <w:rPr>
          <w:rFonts w:ascii="Times New Roman" w:hAnsi="Times New Roman"/>
          <w:color w:val="000000"/>
        </w:rPr>
        <w:t>combined the three ULAT categories into two classes: infill and sprawl (extension plus leapfrog) and</w:t>
      </w:r>
      <w:r w:rsidRPr="00103457" w:rsidDel="00F656F2">
        <w:rPr>
          <w:rFonts w:ascii="Times New Roman" w:hAnsi="Times New Roman"/>
          <w:color w:val="000000"/>
        </w:rPr>
        <w:t xml:space="preserve"> </w:t>
      </w:r>
      <w:r w:rsidRPr="00103457">
        <w:rPr>
          <w:rFonts w:ascii="Times New Roman" w:hAnsi="Times New Roman"/>
          <w:color w:val="000000"/>
        </w:rPr>
        <w:t xml:space="preserve">summarized the results as the ratio of sprawl to infill to understand the expansion patterns in different countries and city types. </w:t>
      </w:r>
    </w:p>
    <w:p w14:paraId="665EADA0" w14:textId="77777777" w:rsidR="00BC7A0C" w:rsidRPr="00103457" w:rsidRDefault="00BC7A0C" w:rsidP="00BC7A0C">
      <w:pPr>
        <w:spacing w:line="240" w:lineRule="auto"/>
        <w:ind w:firstLine="360"/>
        <w:rPr>
          <w:rFonts w:ascii="Times New Roman" w:hAnsi="Times New Roman"/>
          <w:color w:val="000000"/>
        </w:rPr>
      </w:pPr>
    </w:p>
    <w:p w14:paraId="3E235EBE" w14:textId="77777777" w:rsidR="006F7C17" w:rsidRPr="00103457" w:rsidRDefault="006F7C17" w:rsidP="00277F12">
      <w:pPr>
        <w:pStyle w:val="Heading3"/>
      </w:pPr>
      <w:bookmarkStart w:id="36" w:name="_Toc172288713"/>
      <w:r w:rsidRPr="00103457">
        <w:t>Modeling city size and average annual urban growth rates</w:t>
      </w:r>
      <w:bookmarkEnd w:id="36"/>
    </w:p>
    <w:p w14:paraId="6DF66348"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 xml:space="preserve">We used univariate linear regression models to analyze the influence of initial developed area on expansion rate across all cities. We also used multivariate linear regression to analyze the combined effects of developed area and gravity index to large cities on expansion rates of the small and medium cities, as shown in equations (2) and (3). We measured the gravity index as the sum of areas weighted by squared inverse distances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{"citationID":"q6LTWwy7","properties":{"formattedCitation":"(Polyakov et al., 2008; Wanyama et al., 2023)","plainCitation":"(Polyakov et al., 2008; Wanyama et al., 2023)","noteIndex":0},"citationItems":[{"id":726,"uris":["http://zotero.org/users/8906743/items/PAQNSI62"],"itemData":{"id":726,"type":"article-journal","abstract":"Diversity is one of the major factors that define stability and efficient functioning of forest ecosystems, therefore maintaining biodiversity is important for sustainable forest management. Humans affect forest diversity in numerous ways. This paper analyzes the anthropogenic effects on diversity of forest trees in Alabama during the period 1972–2000. We use regression analysis to explore the influences of biological and climatic factors on two indicators of tree diversity namely, Shannon's diversity index and species richness. Explanatory variables in the regressions include population gravity index as the indicator of urbanization reflecting population density and proximity to populated places. Other variables in the model are presence of harvesting activity, stand origin, forest type, DBH, volume, site class, ownership, elevation, and slope. Our results indicate that urbanization affects tree species diversity in two ways. Directly, it negatively impacts tree species diversity in Alabama forests. Indirectly, urbanization adversely affects intensity of forest management, which in turn has a negative impact on tree species diversity. The combined effect of urbanization on species diversity is negative; however, its magnitude is lower than that of the direct effect.","container-title":"Forest Ecology and Management","DOI":"10.1016/j.foreco.2007.10.052","ISSN":"0378-1127","issue":"5","journalAbbreviation":"Forest Ecology and Management","page":"1379-1387","source":"ScienceDirect","title":"Spatial and temporal analysis of the anthropogenic effects on local diversity of forest trees","URL":"https://www.sciencedirect.com/science/article/pii/S0378112707008456","volume":"255","author":[{"family":"Polyakov","given":"Maksym"},{"family":"Majumdar","given":"Indrajit"},{"family":"Teeter","given":"Lawrence"}],"accessed":{"date-parts":[["2023",8,24]]},"issued":{"date-parts":[["2008",4,5]]}}},{"id":727,"uris":["http://zotero.org/users/8906743/items/TCMNWGJX"],"itemData":{"id":727,"type":"article-journal","abstract":"Ghana has retained a substantial area of tropical forests in an extensive network of protected reserves. These forests are impacted by land uses such as logging, mining, and agriculture as well as wildfires. We studied forest disturbance and recovery from 2013 to 2020 using annual maps of forest cover derived from Landsat imagery. Fire-associated disturbance was distinguished using VIIRS active fire data. We used boosted regression trees to model disturbances in closed and open forests as a function of climate variability, human accessibility, and landscape structure. A total of 3562 km2 of forest reserves were disturbed, of which 17% (615 km2) were fire disturbances and 83% (2946 km2) were non-fire disturbances. Of the total disturbed area, 68% was degradation (change from closed to open forest), 28% was open forest loss, and only 4% was closed forest loss. Over the same period, 2702 km2 of forest reserves recovered, with 1948 km2 of these recovering to closed-canopy forests. Fire disturbances were strongly associated with precipitation anomalies and occurred mostly in drier years, whereas non-fire disturbances had weaker relationships with precipitation. Disturbances in closed forests occurred in landscapes where closed forest cover was already low. In contrast, disturbances in open forests were most common in locations with intermediate levels of population pressure from nearby cities and proximity to non-forest land cover. The results support the idea that forest disturbance in Ghana is a multi-stage process involving degradation of closed forests followed by loss of the resulting open forests. Although non-fire disturbance rates are consistent from year to year, sharp increases in fire disturbance occur in drought years. Locations with the highest disturbance risk are associated with measurable indicators of climate, human pressure, and fragmentation, which can be used to identify these areas for conservation and forest restoration activities.","container-title":"Environmental Research Letters","DOI":"10.1088/1748-9326/acd399","ISSN":"1748-9326","issue":"6","journalAbbreviation":"Environ. Res. Lett.","language":"en","note":"publisher: IOP Publishing","page":"064022","source":"Institute of Physics","title":"Patterns and drivers of disturbance in tropical forest reserves of southern Ghana","URL":"https://dx.doi.org/10.1088/1748-9326/acd399","volume":"18","author":[{"family":"Wanyama","given":"Dan"},{"family":"Wimberly","given":"Michael C."},{"family":"Mensah","given":"Foster"}],"accessed":{"date-parts":[["2023",8,24]]},"issued":{"date-parts":[["2023",5]]}}}],"schema":"https://github.com/citation-style-language/schema/raw/master/csl-citation.json"}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(Polyakov et al., 2008; Wanyama et al., 2023)</w:t>
      </w:r>
      <w:r w:rsidRPr="00103457">
        <w:rPr>
          <w:rFonts w:ascii="Times New Roman" w:hAnsi="Times New Roman"/>
          <w:color w:val="000000"/>
        </w:rPr>
        <w:fldChar w:fldCharType="end"/>
      </w:r>
      <w:r w:rsidRPr="00103457">
        <w:rPr>
          <w:rFonts w:ascii="Times New Roman" w:hAnsi="Times New Roman"/>
          <w:color w:val="000000"/>
        </w:rPr>
        <w:t xml:space="preserve">. We transformed AER and the predictors (developed area and gravity index) using a common logarithm to minimize outlier effect on the model. </w:t>
      </w:r>
    </w:p>
    <w:p w14:paraId="204BAD35"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Simple linear regression (SLR):</w:t>
      </w:r>
    </w:p>
    <w:bookmarkStart w:id="37" w:name="_Hlk158031882"/>
    <w:p w14:paraId="12407B09" w14:textId="3705AC09" w:rsidR="00103457" w:rsidRPr="00103457" w:rsidRDefault="00000000" w:rsidP="00103457">
      <w:pPr>
        <w:rPr>
          <w:rFonts w:ascii="Times New Roman" w:hAnsi="Times New Roman"/>
          <w:color w:val="000000"/>
        </w:rPr>
      </w:pPr>
      <m:oMathPara>
        <m:oMath>
          <m:sSub>
            <m:sSubPr>
              <m:ctrlPr>
                <w:rPr>
                  <w:rFonts w:ascii="Cambria Math" w:hAnsi="Cambria Math"/>
                  <w:i/>
                  <w:color w:val="000000"/>
                </w:rPr>
              </m:ctrlPr>
            </m:sSubPr>
            <m:e>
              <m:r>
                <w:rPr>
                  <w:rFonts w:ascii="Cambria Math" w:hAnsi="Cambria Math"/>
                  <w:color w:val="000000"/>
                </w:rPr>
                <m:t>AER</m:t>
              </m:r>
              <m:ctrlPr>
                <w:rPr>
                  <w:rFonts w:ascii="Cambria Math" w:hAnsi="Cambria Math"/>
                  <w:color w:val="000000"/>
                </w:rPr>
              </m:ctrlPr>
            </m:e>
            <m:sub>
              <m:r>
                <w:rPr>
                  <w:rFonts w:ascii="Cambria Math" w:hAnsi="Cambria Math"/>
                  <w:color w:val="000000"/>
                </w:rPr>
                <m:t>i</m:t>
              </m:r>
            </m:sub>
          </m:sSub>
          <w:bookmarkEnd w:id="37"/>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0</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1</m:t>
              </m:r>
            </m:sub>
          </m:sSub>
          <m:sSub>
            <m:sSubPr>
              <m:ctrlPr>
                <w:rPr>
                  <w:rFonts w:ascii="Cambria Math" w:hAnsi="Cambria Math"/>
                  <w:i/>
                  <w:color w:val="000000"/>
                </w:rPr>
              </m:ctrlPr>
            </m:sSubPr>
            <m:e>
              <m:r>
                <w:rPr>
                  <w:rFonts w:ascii="Cambria Math" w:hAnsi="Cambria Math"/>
                  <w:color w:val="000000"/>
                </w:rPr>
                <m:t>TDA</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m:t>
              </m:r>
            </m:sub>
          </m:sSub>
          <m:r>
            <w:rPr>
              <w:rFonts w:ascii="Cambria Math" w:hAnsi="Cambria Math"/>
              <w:color w:val="000000"/>
            </w:rPr>
            <m:t xml:space="preserve">………………(2) </m:t>
          </m:r>
        </m:oMath>
      </m:oMathPara>
    </w:p>
    <w:p w14:paraId="4EBCC543" w14:textId="77777777" w:rsidR="00103457" w:rsidRPr="00103457" w:rsidRDefault="00103457" w:rsidP="00103457">
      <w:pPr>
        <w:ind w:firstLine="360"/>
        <w:rPr>
          <w:rFonts w:ascii="Times New Roman" w:hAnsi="Times New Roman"/>
          <w:color w:val="000000"/>
        </w:rPr>
      </w:pPr>
    </w:p>
    <w:p w14:paraId="3AE86FA3" w14:textId="77777777"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Multiple linear regression (MLR):</w:t>
      </w:r>
    </w:p>
    <w:p w14:paraId="020F80F5" w14:textId="39FD22FC" w:rsidR="00103457" w:rsidRPr="00103457" w:rsidRDefault="00000000" w:rsidP="00103457">
      <w:pPr>
        <w:ind w:firstLine="720"/>
        <w:rPr>
          <w:rFonts w:ascii="Times New Roman" w:hAnsi="Times New Roman"/>
          <w:color w:val="000000"/>
        </w:rPr>
      </w:pPr>
      <m:oMathPara>
        <m:oMath>
          <m:sSub>
            <m:sSubPr>
              <m:ctrlPr>
                <w:rPr>
                  <w:rFonts w:ascii="Cambria Math" w:hAnsi="Cambria Math"/>
                  <w:i/>
                  <w:color w:val="000000"/>
                </w:rPr>
              </m:ctrlPr>
            </m:sSubPr>
            <m:e>
              <m:r>
                <w:rPr>
                  <w:rFonts w:ascii="Cambria Math" w:hAnsi="Cambria Math"/>
                  <w:color w:val="000000"/>
                </w:rPr>
                <m:t>AER</m:t>
              </m:r>
              <m:ctrlPr>
                <w:rPr>
                  <w:rFonts w:ascii="Cambria Math" w:hAnsi="Cambria Math"/>
                  <w:color w:val="000000"/>
                </w:rPr>
              </m:ctrlPr>
            </m:e>
            <m:sub>
              <m:r>
                <w:rPr>
                  <w:rFonts w:ascii="Cambria Math" w:hAnsi="Cambria Math"/>
                  <w:color w:val="000000"/>
                </w:rPr>
                <m:t>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0</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1</m:t>
              </m:r>
            </m:sub>
          </m:sSub>
          <m:sSub>
            <m:sSubPr>
              <m:ctrlPr>
                <w:rPr>
                  <w:rFonts w:ascii="Cambria Math" w:hAnsi="Cambria Math"/>
                  <w:i/>
                  <w:color w:val="000000"/>
                </w:rPr>
              </m:ctrlPr>
            </m:sSubPr>
            <m:e>
              <m:r>
                <w:rPr>
                  <w:rFonts w:ascii="Cambria Math" w:hAnsi="Cambria Math"/>
                  <w:color w:val="000000"/>
                </w:rPr>
                <m:t>TDA</m:t>
              </m:r>
            </m:e>
            <m:sub>
              <m:r>
                <w:rPr>
                  <w:rFonts w:ascii="Cambria Math" w:hAnsi="Cambria Math"/>
                  <w:color w:val="000000"/>
                </w:rPr>
                <m:t>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sSub>
            <m:sSubPr>
              <m:ctrlPr>
                <w:rPr>
                  <w:rFonts w:ascii="Cambria Math" w:hAnsi="Cambria Math"/>
                  <w:i/>
                  <w:color w:val="000000"/>
                </w:rPr>
              </m:ctrlPr>
            </m:sSubPr>
            <m:e>
              <m:r>
                <w:rPr>
                  <w:rFonts w:ascii="Cambria Math" w:hAnsi="Cambria Math"/>
                  <w:color w:val="000000"/>
                </w:rPr>
                <m:t>GI</m:t>
              </m:r>
            </m:e>
            <m:sub>
              <m:r>
                <w:rPr>
                  <w:rFonts w:ascii="Cambria Math" w:hAnsi="Cambria Math"/>
                  <w:color w:val="000000"/>
                </w:rPr>
                <m:t>j</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j</m:t>
              </m:r>
            </m:sub>
          </m:sSub>
          <m:r>
            <w:rPr>
              <w:rFonts w:ascii="Cambria Math" w:hAnsi="Cambria Math"/>
              <w:color w:val="000000"/>
            </w:rPr>
            <m:t xml:space="preserve">………………(3) </m:t>
          </m:r>
        </m:oMath>
      </m:oMathPara>
    </w:p>
    <w:p w14:paraId="27D2E815" w14:textId="77777777" w:rsidR="00103457" w:rsidRPr="00103457" w:rsidRDefault="00103457" w:rsidP="00103457">
      <w:pPr>
        <w:jc w:val="both"/>
        <w:rPr>
          <w:rFonts w:ascii="Times New Roman" w:hAnsi="Times New Roman"/>
          <w:color w:val="000000"/>
        </w:rPr>
      </w:pPr>
      <w:r w:rsidRPr="00103457">
        <w:rPr>
          <w:rFonts w:ascii="Times New Roman" w:hAnsi="Times New Roman"/>
          <w:color w:val="000000"/>
        </w:rPr>
        <w:t xml:space="preserve">In equations (2) and (3), the </w:t>
      </w:r>
      <w:r w:rsidRPr="00103457">
        <w:rPr>
          <w:rFonts w:ascii="Times New Roman" w:hAnsi="Times New Roman"/>
          <w:i/>
          <w:color w:val="000000"/>
        </w:rPr>
        <w:t>AER</w:t>
      </w:r>
      <w:r w:rsidRPr="00103457">
        <w:rPr>
          <w:rFonts w:ascii="Times New Roman" w:hAnsi="Times New Roman"/>
          <w:color w:val="000000"/>
        </w:rPr>
        <w:t xml:space="preserve"> is the annual expansion rate, </w:t>
      </w:r>
      <w:r w:rsidRPr="00103457">
        <w:rPr>
          <w:rFonts w:ascii="Times New Roman" w:hAnsi="Times New Roman"/>
          <w:i/>
          <w:color w:val="000000"/>
        </w:rPr>
        <w:t>b</w:t>
      </w:r>
      <w:r w:rsidRPr="00103457">
        <w:rPr>
          <w:rFonts w:ascii="Times New Roman" w:hAnsi="Times New Roman"/>
          <w:i/>
          <w:color w:val="000000"/>
          <w:vertAlign w:val="subscript"/>
        </w:rPr>
        <w:t>0</w:t>
      </w:r>
      <w:r w:rsidRPr="00103457">
        <w:rPr>
          <w:rFonts w:ascii="Times New Roman" w:hAnsi="Times New Roman"/>
          <w:color w:val="000000"/>
        </w:rPr>
        <w:t xml:space="preserve"> is the intercept for AER, </w:t>
      </w:r>
      <w:r w:rsidRPr="00103457">
        <w:rPr>
          <w:rFonts w:ascii="Times New Roman" w:hAnsi="Times New Roman"/>
          <w:i/>
          <w:color w:val="000000"/>
        </w:rPr>
        <w:t>b</w:t>
      </w:r>
      <w:r w:rsidRPr="00103457">
        <w:rPr>
          <w:rFonts w:ascii="Times New Roman" w:hAnsi="Times New Roman"/>
          <w:i/>
          <w:color w:val="000000"/>
          <w:vertAlign w:val="subscript"/>
        </w:rPr>
        <w:t>1</w:t>
      </w:r>
      <w:r w:rsidRPr="00103457">
        <w:rPr>
          <w:rFonts w:ascii="Times New Roman" w:hAnsi="Times New Roman"/>
          <w:color w:val="000000"/>
        </w:rPr>
        <w:t xml:space="preserve"> and </w:t>
      </w:r>
      <w:r w:rsidRPr="00103457">
        <w:rPr>
          <w:rFonts w:ascii="Times New Roman" w:hAnsi="Times New Roman"/>
          <w:i/>
          <w:color w:val="000000"/>
        </w:rPr>
        <w:t>b</w:t>
      </w:r>
      <w:r w:rsidRPr="00103457">
        <w:rPr>
          <w:rFonts w:ascii="Times New Roman" w:hAnsi="Times New Roman"/>
          <w:i/>
          <w:color w:val="000000"/>
          <w:vertAlign w:val="subscript"/>
        </w:rPr>
        <w:t>2</w:t>
      </w:r>
      <w:r w:rsidRPr="00103457">
        <w:rPr>
          <w:rFonts w:ascii="Times New Roman" w:hAnsi="Times New Roman"/>
          <w:color w:val="000000"/>
        </w:rPr>
        <w:t xml:space="preserve"> are the regression coefficients, TDA</w:t>
      </w:r>
      <w:r w:rsidRPr="00103457">
        <w:rPr>
          <w:rFonts w:ascii="Times New Roman" w:hAnsi="Times New Roman"/>
          <w:color w:val="000000"/>
          <w:vertAlign w:val="subscript"/>
        </w:rPr>
        <w:t xml:space="preserve"> </w:t>
      </w:r>
      <w:r w:rsidRPr="00103457">
        <w:rPr>
          <w:rFonts w:ascii="Times New Roman" w:hAnsi="Times New Roman"/>
          <w:color w:val="000000"/>
        </w:rPr>
        <w:t xml:space="preserve">is the total developed area, </w:t>
      </w:r>
      <w:r w:rsidRPr="00103457">
        <w:rPr>
          <w:rFonts w:ascii="Times New Roman" w:hAnsi="Times New Roman"/>
          <w:i/>
          <w:iCs/>
          <w:color w:val="000000"/>
        </w:rPr>
        <w:t>GI</w:t>
      </w:r>
      <w:r w:rsidRPr="00103457">
        <w:rPr>
          <w:rFonts w:ascii="Times New Roman" w:hAnsi="Times New Roman"/>
          <w:i/>
          <w:iCs/>
          <w:color w:val="000000"/>
          <w:vertAlign w:val="subscript"/>
        </w:rPr>
        <w:t>j</w:t>
      </w:r>
      <w:r w:rsidRPr="00103457">
        <w:rPr>
          <w:rFonts w:ascii="Times New Roman" w:hAnsi="Times New Roman"/>
          <w:color w:val="000000"/>
        </w:rPr>
        <w:t xml:space="preserve"> is the gravity index, </w:t>
      </w:r>
      <w:r w:rsidRPr="00103457">
        <w:rPr>
          <w:rFonts w:ascii="Times New Roman" w:hAnsi="Times New Roman"/>
          <w:i/>
          <w:color w:val="000000"/>
        </w:rPr>
        <w:t>e</w:t>
      </w:r>
      <w:r w:rsidRPr="00103457">
        <w:rPr>
          <w:rFonts w:ascii="Times New Roman" w:hAnsi="Times New Roman"/>
          <w:color w:val="000000"/>
        </w:rPr>
        <w:t xml:space="preserve"> is the error, </w:t>
      </w:r>
      <w:r w:rsidRPr="00103457">
        <w:rPr>
          <w:rFonts w:ascii="Times New Roman" w:hAnsi="Times New Roman"/>
          <w:i/>
          <w:color w:val="000000"/>
        </w:rPr>
        <w:t>i</w:t>
      </w:r>
      <w:r w:rsidRPr="00103457">
        <w:rPr>
          <w:rFonts w:ascii="Times New Roman" w:hAnsi="Times New Roman"/>
          <w:color w:val="000000"/>
        </w:rPr>
        <w:t xml:space="preserve"> indexes all cities, and </w:t>
      </w:r>
      <w:r w:rsidRPr="00103457">
        <w:rPr>
          <w:rFonts w:ascii="Times New Roman" w:hAnsi="Times New Roman"/>
          <w:i/>
          <w:color w:val="000000"/>
        </w:rPr>
        <w:t>j</w:t>
      </w:r>
      <w:r w:rsidRPr="00103457">
        <w:rPr>
          <w:rFonts w:ascii="Times New Roman" w:hAnsi="Times New Roman"/>
          <w:color w:val="000000"/>
        </w:rPr>
        <w:t xml:space="preserve"> indexes small and medium cities. </w:t>
      </w:r>
    </w:p>
    <w:p w14:paraId="611E467F" w14:textId="77777777" w:rsidR="00103457" w:rsidRPr="00103457" w:rsidRDefault="00103457" w:rsidP="00103457">
      <w:pPr>
        <w:jc w:val="both"/>
        <w:rPr>
          <w:rFonts w:ascii="Times New Roman" w:hAnsi="Times New Roman"/>
          <w:color w:val="000000"/>
        </w:rPr>
      </w:pPr>
      <w:r w:rsidRPr="00103457">
        <w:rPr>
          <w:rFonts w:ascii="Times New Roman" w:hAnsi="Times New Roman"/>
          <w:color w:val="000000"/>
        </w:rPr>
        <w:t>The gravity index was initially calculated on a per-pixel basis as</w:t>
      </w:r>
    </w:p>
    <w:p w14:paraId="618350F3" w14:textId="632A41A8" w:rsidR="00103457" w:rsidRPr="00103457" w:rsidRDefault="00103457" w:rsidP="00103457">
      <w:pPr>
        <w:jc w:val="both"/>
        <w:rPr>
          <w:rFonts w:ascii="Times New Roman" w:hAnsi="Times New Roman"/>
          <w:color w:val="000000"/>
        </w:rPr>
      </w:pPr>
      <w:r w:rsidRPr="00103457">
        <w:rPr>
          <w:rFonts w:ascii="Times New Roman" w:hAnsi="Times New Roman"/>
          <w:color w:val="000000"/>
        </w:rPr>
        <w:tab/>
      </w:r>
      <w:r w:rsidRPr="00103457">
        <w:rPr>
          <w:rFonts w:ascii="Times New Roman" w:hAnsi="Times New Roman"/>
          <w:color w:val="000000"/>
        </w:rPr>
        <w:tab/>
      </w:r>
      <w:r w:rsidRPr="00103457">
        <w:rPr>
          <w:rFonts w:ascii="Times New Roman" w:hAnsi="Times New Roman"/>
          <w:color w:val="000000"/>
        </w:rPr>
        <w:tab/>
      </w:r>
      <m:oMath>
        <m:sSub>
          <m:sSubPr>
            <m:ctrlPr>
              <w:rPr>
                <w:rFonts w:ascii="Cambria Math" w:hAnsi="Cambria Math"/>
                <w:color w:val="000000"/>
                <w:vertAlign w:val="subscript"/>
              </w:rPr>
            </m:ctrlPr>
          </m:sSubPr>
          <m:e>
            <m:r>
              <m:rPr>
                <m:sty m:val="p"/>
              </m:rPr>
              <w:rPr>
                <w:rFonts w:ascii="Cambria Math" w:hAnsi="Times New Roman"/>
                <w:color w:val="000000"/>
                <w:vertAlign w:val="subscript"/>
              </w:rPr>
              <m:t>GI</m:t>
            </m:r>
            <m:ctrlPr>
              <w:rPr>
                <w:rFonts w:ascii="Cambria Math" w:hAnsi="Times New Roman"/>
                <w:color w:val="000000"/>
                <w:vertAlign w:val="subscript"/>
              </w:rPr>
            </m:ctrlPr>
          </m:e>
          <m:sub>
            <m:r>
              <w:rPr>
                <w:rFonts w:ascii="Cambria Math" w:hAnsi="Cambria Math"/>
                <w:color w:val="000000"/>
                <w:vertAlign w:val="subscript"/>
              </w:rPr>
              <m:t>p</m:t>
            </m:r>
          </m:sub>
        </m:sSub>
        <m:r>
          <m:rPr>
            <m:sty m:val="p"/>
          </m:rPr>
          <w:rPr>
            <w:rFonts w:ascii="Cambria Math" w:hAnsi="Times New Roman"/>
            <w:color w:val="000000"/>
            <w:vertAlign w:val="subscript"/>
          </w:rPr>
          <m:t>=</m:t>
        </m:r>
        <m:nary>
          <m:naryPr>
            <m:chr m:val="∑"/>
            <m:limLoc m:val="subSup"/>
            <m:supHide m:val="1"/>
            <m:ctrlPr>
              <w:rPr>
                <w:rFonts w:ascii="Cambria Math" w:hAnsi="Cambria Math"/>
                <w:i/>
                <w:color w:val="000000"/>
              </w:rPr>
            </m:ctrlPr>
          </m:naryPr>
          <m:sub>
            <m:r>
              <w:rPr>
                <w:rFonts w:ascii="Cambria Math" w:hAnsi="Cambria Math"/>
                <w:color w:val="000000"/>
              </w:rPr>
              <m:t>k</m:t>
            </m:r>
          </m:sub>
          <m:sup/>
          <m:e>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TDA</m:t>
                    </m:r>
                  </m:e>
                  <m:sub>
                    <m:r>
                      <w:rPr>
                        <w:rFonts w:ascii="Cambria Math" w:hAnsi="Cambria Math"/>
                        <w:color w:val="000000"/>
                      </w:rPr>
                      <m:t>k</m:t>
                    </m:r>
                  </m:sub>
                </m:sSub>
              </m:num>
              <m:den>
                <m:sSubSup>
                  <m:sSubSupPr>
                    <m:ctrlPr>
                      <w:rPr>
                        <w:rFonts w:ascii="Cambria Math" w:hAnsi="Cambria Math"/>
                        <w:i/>
                        <w:color w:val="000000"/>
                      </w:rPr>
                    </m:ctrlPr>
                  </m:sSubSupPr>
                  <m:e>
                    <m:r>
                      <w:rPr>
                        <w:rFonts w:ascii="Cambria Math" w:hAnsi="Cambria Math"/>
                        <w:color w:val="000000"/>
                      </w:rPr>
                      <m:t>D</m:t>
                    </m:r>
                  </m:e>
                  <m:sub>
                    <m:r>
                      <w:rPr>
                        <w:rFonts w:ascii="Cambria Math" w:hAnsi="Cambria Math"/>
                        <w:color w:val="000000"/>
                      </w:rPr>
                      <m:t>kp</m:t>
                    </m:r>
                  </m:sub>
                  <m:sup>
                    <m:r>
                      <w:rPr>
                        <w:rFonts w:ascii="Cambria Math" w:hAnsi="Cambria Math"/>
                        <w:color w:val="000000"/>
                      </w:rPr>
                      <m:t>2</m:t>
                    </m:r>
                  </m:sup>
                </m:sSubSup>
              </m:den>
            </m:f>
          </m:e>
        </m:nary>
        <m:r>
          <w:rPr>
            <w:rFonts w:ascii="Cambria Math" w:hAnsi="Cambria Math"/>
            <w:color w:val="000000"/>
          </w:rPr>
          <m:t>…………………(4)</m:t>
        </m:r>
      </m:oMath>
    </w:p>
    <w:p w14:paraId="05C559D1" w14:textId="77777777" w:rsidR="00103457" w:rsidRDefault="00103457" w:rsidP="00103457">
      <w:pPr>
        <w:jc w:val="both"/>
        <w:rPr>
          <w:rFonts w:ascii="Times New Roman" w:hAnsi="Times New Roman"/>
          <w:color w:val="000000"/>
        </w:rPr>
      </w:pPr>
      <w:r w:rsidRPr="00103457">
        <w:rPr>
          <w:rFonts w:ascii="Times New Roman" w:hAnsi="Times New Roman"/>
          <w:color w:val="000000"/>
        </w:rPr>
        <w:lastRenderedPageBreak/>
        <w:t xml:space="preserve">In equation (4), </w:t>
      </w:r>
      <w:r w:rsidRPr="00103457">
        <w:rPr>
          <w:rFonts w:ascii="Times New Roman" w:hAnsi="Times New Roman"/>
          <w:i/>
          <w:color w:val="000000"/>
        </w:rPr>
        <w:t>GI</w:t>
      </w:r>
      <w:r w:rsidRPr="00103457">
        <w:rPr>
          <w:rFonts w:ascii="Times New Roman" w:hAnsi="Times New Roman"/>
          <w:i/>
          <w:color w:val="000000"/>
          <w:vertAlign w:val="subscript"/>
        </w:rPr>
        <w:t>p</w:t>
      </w:r>
      <w:r w:rsidRPr="00103457">
        <w:rPr>
          <w:rFonts w:ascii="Times New Roman" w:hAnsi="Times New Roman"/>
          <w:color w:val="000000"/>
        </w:rPr>
        <w:t xml:space="preserve"> is the gravity index for pixel </w:t>
      </w:r>
      <w:r w:rsidRPr="00103457">
        <w:rPr>
          <w:rFonts w:ascii="Times New Roman" w:hAnsi="Times New Roman"/>
          <w:i/>
          <w:color w:val="000000"/>
        </w:rPr>
        <w:t>p</w:t>
      </w:r>
      <w:r w:rsidRPr="00103457">
        <w:rPr>
          <w:rFonts w:ascii="Times New Roman" w:hAnsi="Times New Roman"/>
          <w:color w:val="000000"/>
        </w:rPr>
        <w:t xml:space="preserve"> in small and medium cities, TDA</w:t>
      </w:r>
      <w:r w:rsidRPr="00103457">
        <w:rPr>
          <w:rFonts w:ascii="Times New Roman" w:hAnsi="Times New Roman"/>
          <w:i/>
          <w:iCs/>
          <w:color w:val="000000"/>
          <w:vertAlign w:val="subscript"/>
        </w:rPr>
        <w:t>k</w:t>
      </w:r>
      <w:r w:rsidRPr="00103457">
        <w:rPr>
          <w:rFonts w:ascii="Times New Roman" w:hAnsi="Times New Roman"/>
          <w:color w:val="000000"/>
        </w:rPr>
        <w:t xml:space="preserve"> is the total developed area for large city </w:t>
      </w:r>
      <w:r w:rsidRPr="00103457">
        <w:rPr>
          <w:rFonts w:ascii="Times New Roman" w:hAnsi="Times New Roman"/>
          <w:i/>
          <w:color w:val="000000"/>
        </w:rPr>
        <w:t>k</w:t>
      </w:r>
      <w:r w:rsidRPr="00103457">
        <w:rPr>
          <w:rFonts w:ascii="Times New Roman" w:hAnsi="Times New Roman"/>
          <w:color w:val="000000"/>
        </w:rPr>
        <w:t xml:space="preserve">, and </w:t>
      </w:r>
      <w:r w:rsidRPr="00103457">
        <w:rPr>
          <w:rFonts w:ascii="Times New Roman" w:hAnsi="Times New Roman"/>
          <w:i/>
          <w:color w:val="000000"/>
        </w:rPr>
        <w:t>D</w:t>
      </w:r>
      <w:r w:rsidRPr="00103457">
        <w:rPr>
          <w:rFonts w:ascii="Times New Roman" w:hAnsi="Times New Roman"/>
          <w:i/>
          <w:color w:val="000000"/>
          <w:vertAlign w:val="subscript"/>
        </w:rPr>
        <w:t>kp</w:t>
      </w:r>
      <w:r w:rsidRPr="00103457">
        <w:rPr>
          <w:rFonts w:ascii="Times New Roman" w:hAnsi="Times New Roman"/>
          <w:color w:val="000000"/>
        </w:rPr>
        <w:t xml:space="preserve"> is the distance between city </w:t>
      </w:r>
      <w:r w:rsidRPr="00103457">
        <w:rPr>
          <w:rFonts w:ascii="Times New Roman" w:hAnsi="Times New Roman"/>
          <w:i/>
          <w:color w:val="000000"/>
        </w:rPr>
        <w:t>k</w:t>
      </w:r>
      <w:r w:rsidRPr="00103457">
        <w:rPr>
          <w:rFonts w:ascii="Times New Roman" w:hAnsi="Times New Roman"/>
          <w:color w:val="000000"/>
        </w:rPr>
        <w:t xml:space="preserve"> and pixel </w:t>
      </w:r>
      <w:r w:rsidRPr="00103457">
        <w:rPr>
          <w:rFonts w:ascii="Times New Roman" w:hAnsi="Times New Roman"/>
          <w:i/>
          <w:color w:val="000000"/>
        </w:rPr>
        <w:t>p</w:t>
      </w:r>
      <w:r w:rsidRPr="00103457">
        <w:rPr>
          <w:rFonts w:ascii="Times New Roman" w:hAnsi="Times New Roman"/>
          <w:color w:val="000000"/>
        </w:rPr>
        <w:t xml:space="preserve">. The mean value of </w:t>
      </w:r>
      <w:r w:rsidRPr="00103457">
        <w:rPr>
          <w:rFonts w:ascii="Times New Roman" w:hAnsi="Times New Roman"/>
          <w:i/>
          <w:color w:val="000000"/>
        </w:rPr>
        <w:t>GI</w:t>
      </w:r>
      <w:r w:rsidRPr="00103457">
        <w:rPr>
          <w:rFonts w:ascii="Times New Roman" w:hAnsi="Times New Roman"/>
          <w:i/>
          <w:color w:val="000000"/>
          <w:vertAlign w:val="subscript"/>
        </w:rPr>
        <w:t>p</w:t>
      </w:r>
      <w:r w:rsidRPr="00103457">
        <w:rPr>
          <w:rFonts w:ascii="Times New Roman" w:hAnsi="Times New Roman"/>
          <w:color w:val="000000"/>
        </w:rPr>
        <w:t xml:space="preserve"> was then calculated within each small and medium city boundary to generate </w:t>
      </w:r>
      <w:r w:rsidRPr="00103457">
        <w:rPr>
          <w:rFonts w:ascii="Times New Roman" w:hAnsi="Times New Roman"/>
          <w:i/>
          <w:color w:val="000000"/>
        </w:rPr>
        <w:t>GI</w:t>
      </w:r>
      <w:r w:rsidRPr="00103457">
        <w:rPr>
          <w:rFonts w:ascii="Times New Roman" w:hAnsi="Times New Roman"/>
          <w:i/>
          <w:color w:val="000000"/>
          <w:vertAlign w:val="subscript"/>
        </w:rPr>
        <w:t>j</w:t>
      </w:r>
      <w:r w:rsidRPr="00103457">
        <w:rPr>
          <w:rFonts w:ascii="Times New Roman" w:hAnsi="Times New Roman"/>
          <w:color w:val="000000"/>
        </w:rPr>
        <w:t>.</w:t>
      </w:r>
    </w:p>
    <w:p w14:paraId="21266510" w14:textId="77777777" w:rsidR="00BC7A0C" w:rsidRPr="00103457" w:rsidRDefault="00BC7A0C" w:rsidP="00103457">
      <w:pPr>
        <w:jc w:val="both"/>
        <w:rPr>
          <w:rFonts w:ascii="Times New Roman" w:hAnsi="Times New Roman"/>
          <w:color w:val="000000"/>
        </w:rPr>
      </w:pPr>
    </w:p>
    <w:p w14:paraId="22272E1F" w14:textId="77777777" w:rsidR="006F7C17" w:rsidRPr="00103457" w:rsidRDefault="006F7C17" w:rsidP="00E83DAD">
      <w:pPr>
        <w:pStyle w:val="Heading2"/>
      </w:pPr>
      <w:bookmarkStart w:id="38" w:name="_Toc172288714"/>
      <w:r w:rsidRPr="00103457">
        <w:t>Results</w:t>
      </w:r>
      <w:bookmarkEnd w:id="38"/>
    </w:p>
    <w:p w14:paraId="54211FAC" w14:textId="77777777" w:rsidR="006F7C17" w:rsidRPr="00103457" w:rsidRDefault="006F7C17" w:rsidP="00277F12">
      <w:pPr>
        <w:pStyle w:val="Heading3"/>
      </w:pPr>
      <w:bookmarkStart w:id="39" w:name="_Toc172288715"/>
      <w:r w:rsidRPr="00103457">
        <w:t>Validation and classification accuracies</w:t>
      </w:r>
      <w:bookmarkEnd w:id="39"/>
    </w:p>
    <w:p w14:paraId="15C8DD1B" w14:textId="76B72F0E"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The continuous impervious cover estimates had 0.90</w:t>
      </w:r>
      <w:r w:rsidRPr="00103457" w:rsidDel="00192F70">
        <w:rPr>
          <w:rFonts w:ascii="Times New Roman" w:hAnsi="Times New Roman"/>
          <w:color w:val="000000"/>
        </w:rPr>
        <w:t xml:space="preserve"> </w:t>
      </w:r>
      <w:r w:rsidRPr="00103457">
        <w:rPr>
          <w:rFonts w:ascii="Times New Roman" w:hAnsi="Times New Roman"/>
          <w:color w:val="000000"/>
        </w:rPr>
        <w:t>correlation, 0.81 predicted-observed r², -0.03 mean error, 5.7 mean absolute error, and 9.93 root mean squared error. Overall, 93% of the reference data were correctly classified (</w:t>
      </w:r>
      <w:r w:rsidRPr="00103457">
        <w:rPr>
          <w:rFonts w:ascii="Times New Roman" w:hAnsi="Times New Roman"/>
          <w:color w:val="000000"/>
        </w:rPr>
        <w:fldChar w:fldCharType="begin"/>
      </w:r>
      <w:r w:rsidRPr="00103457">
        <w:rPr>
          <w:rFonts w:ascii="Times New Roman" w:hAnsi="Times New Roman"/>
          <w:color w:val="000000"/>
        </w:rPr>
        <w:instrText xml:space="preserve"> REF _Ref157589898 \h  \* MERGEFORMAT </w:instrText>
      </w:r>
      <w:r w:rsidRPr="00103457">
        <w:rPr>
          <w:rFonts w:ascii="Times New Roman" w:hAnsi="Times New Roman"/>
          <w:color w:val="000000"/>
        </w:rPr>
      </w:r>
      <w:r w:rsidRPr="00103457">
        <w:rPr>
          <w:rFonts w:ascii="Times New Roman" w:hAnsi="Times New Roman"/>
          <w:color w:val="000000"/>
        </w:rPr>
        <w:fldChar w:fldCharType="separate"/>
      </w:r>
      <w:r w:rsidR="00B129D9" w:rsidRPr="00B129D9">
        <w:rPr>
          <w:rFonts w:ascii="Times New Roman" w:hAnsi="Times New Roman"/>
          <w:color w:val="000000"/>
        </w:rPr>
        <w:t xml:space="preserve">Table </w:t>
      </w:r>
      <w:r w:rsidR="00B129D9" w:rsidRPr="00B129D9">
        <w:rPr>
          <w:rFonts w:ascii="Times New Roman" w:hAnsi="Times New Roman"/>
          <w:noProof/>
          <w:color w:val="000000"/>
        </w:rPr>
        <w:t>1</w:t>
      </w:r>
      <w:r w:rsidRPr="00103457">
        <w:rPr>
          <w:rFonts w:ascii="Times New Roman" w:hAnsi="Times New Roman"/>
          <w:color w:val="000000"/>
        </w:rPr>
        <w:fldChar w:fldCharType="end"/>
      </w:r>
      <w:r w:rsidRPr="00103457">
        <w:rPr>
          <w:rFonts w:ascii="Times New Roman" w:hAnsi="Times New Roman"/>
          <w:color w:val="000000"/>
        </w:rPr>
        <w:t xml:space="preserve">). The developed area user and producer accuracies were similar, and the corresponding commission and omission errors were approximately equal. Thus, the classification did not systematically </w:t>
      </w:r>
      <w:bookmarkStart w:id="40" w:name="_Int_OGWtjF97"/>
      <w:r w:rsidRPr="00103457">
        <w:rPr>
          <w:rFonts w:ascii="Times New Roman" w:hAnsi="Times New Roman"/>
          <w:color w:val="000000"/>
        </w:rPr>
        <w:t>overestimate</w:t>
      </w:r>
      <w:bookmarkEnd w:id="40"/>
      <w:r w:rsidRPr="00103457">
        <w:rPr>
          <w:rFonts w:ascii="Times New Roman" w:hAnsi="Times New Roman"/>
          <w:color w:val="000000"/>
        </w:rPr>
        <w:t xml:space="preserve"> or underestimate developed areas.</w:t>
      </w:r>
      <w:bookmarkStart w:id="41" w:name="_Ref142648816"/>
    </w:p>
    <w:p w14:paraId="55D7238F" w14:textId="71C63F1E" w:rsidR="00103457" w:rsidRDefault="00103457" w:rsidP="00103457">
      <w:pPr>
        <w:suppressLineNumbers/>
        <w:spacing w:line="240" w:lineRule="auto"/>
        <w:rPr>
          <w:rFonts w:ascii="Times New Roman" w:hAnsi="Times New Roman"/>
          <w:bCs/>
        </w:rPr>
      </w:pPr>
      <w:bookmarkStart w:id="42" w:name="_Ref157589898"/>
      <w:bookmarkStart w:id="43" w:name="_Toc172233717"/>
      <w:r w:rsidRPr="007D7640">
        <w:rPr>
          <w:rFonts w:ascii="Times New Roman" w:hAnsi="Times New Roman"/>
          <w:b/>
        </w:rPr>
        <w:t xml:space="preserve">Table </w:t>
      </w:r>
      <w:r w:rsidRPr="007D7640">
        <w:rPr>
          <w:rFonts w:ascii="Times New Roman" w:hAnsi="Times New Roman"/>
          <w:b/>
          <w:i/>
        </w:rPr>
        <w:fldChar w:fldCharType="begin"/>
      </w:r>
      <w:r w:rsidRPr="007D7640">
        <w:rPr>
          <w:rFonts w:ascii="Times New Roman" w:hAnsi="Times New Roman"/>
          <w:b/>
        </w:rPr>
        <w:instrText xml:space="preserve"> SEQ Table \* ARABIC </w:instrText>
      </w:r>
      <w:r w:rsidRPr="007D7640">
        <w:rPr>
          <w:rFonts w:ascii="Times New Roman" w:hAnsi="Times New Roman"/>
          <w:b/>
          <w:i/>
        </w:rPr>
        <w:fldChar w:fldCharType="separate"/>
      </w:r>
      <w:r w:rsidR="00B129D9">
        <w:rPr>
          <w:rFonts w:ascii="Times New Roman" w:hAnsi="Times New Roman"/>
          <w:b/>
          <w:noProof/>
        </w:rPr>
        <w:t>1</w:t>
      </w:r>
      <w:r w:rsidRPr="007D7640">
        <w:rPr>
          <w:rFonts w:ascii="Times New Roman" w:hAnsi="Times New Roman"/>
          <w:b/>
          <w:i/>
        </w:rPr>
        <w:fldChar w:fldCharType="end"/>
      </w:r>
      <w:bookmarkEnd w:id="41"/>
      <w:bookmarkEnd w:id="42"/>
      <w:r w:rsidRPr="00103457">
        <w:rPr>
          <w:rFonts w:ascii="Times New Roman" w:hAnsi="Times New Roman"/>
          <w:bCs/>
        </w:rPr>
        <w:t>: Confusion matrix of undeveloped and developed areas classifications. The overall accuracy of the data is in bold, and the misclassified error is in bold italics.</w:t>
      </w:r>
      <w:bookmarkEnd w:id="43"/>
    </w:p>
    <w:p w14:paraId="624C5F10" w14:textId="77777777" w:rsidR="001145AB" w:rsidRPr="00103457" w:rsidRDefault="001145AB" w:rsidP="00103457">
      <w:pPr>
        <w:suppressLineNumbers/>
        <w:spacing w:line="240" w:lineRule="auto"/>
        <w:rPr>
          <w:rFonts w:ascii="Times New Roman" w:hAnsi="Times New Roman"/>
          <w:bCs/>
        </w:rPr>
      </w:pPr>
    </w:p>
    <w:tbl>
      <w:tblPr>
        <w:tblW w:w="8730" w:type="dxa"/>
        <w:tblLook w:val="04A0" w:firstRow="1" w:lastRow="0" w:firstColumn="1" w:lastColumn="0" w:noHBand="0" w:noVBand="1"/>
      </w:tblPr>
      <w:tblGrid>
        <w:gridCol w:w="720"/>
        <w:gridCol w:w="1890"/>
        <w:gridCol w:w="1890"/>
        <w:gridCol w:w="118"/>
        <w:gridCol w:w="1142"/>
        <w:gridCol w:w="1260"/>
        <w:gridCol w:w="1710"/>
      </w:tblGrid>
      <w:tr w:rsidR="00103457" w:rsidRPr="00103457" w14:paraId="3E32AC4B" w14:textId="77777777" w:rsidTr="006F7C17">
        <w:trPr>
          <w:trHeight w:val="336"/>
        </w:trPr>
        <w:tc>
          <w:tcPr>
            <w:tcW w:w="720" w:type="dxa"/>
            <w:tcBorders>
              <w:top w:val="single" w:sz="4" w:space="0" w:color="auto"/>
              <w:left w:val="nil"/>
              <w:right w:val="single" w:sz="4" w:space="0" w:color="auto"/>
            </w:tcBorders>
            <w:shd w:val="clear" w:color="auto" w:fill="auto"/>
            <w:noWrap/>
            <w:vAlign w:val="center"/>
          </w:tcPr>
          <w:p w14:paraId="397BFB1E" w14:textId="77777777" w:rsidR="00103457" w:rsidRPr="00103457" w:rsidRDefault="00103457" w:rsidP="00103457">
            <w:pPr>
              <w:suppressLineNumbers/>
              <w:spacing w:line="240" w:lineRule="auto"/>
              <w:rPr>
                <w:rFonts w:ascii="Times New Roman" w:hAnsi="Times New Roman"/>
                <w:color w:val="000000"/>
              </w:rPr>
            </w:pPr>
          </w:p>
        </w:tc>
        <w:tc>
          <w:tcPr>
            <w:tcW w:w="1890" w:type="dxa"/>
            <w:tcBorders>
              <w:top w:val="single" w:sz="4" w:space="0" w:color="auto"/>
              <w:left w:val="single" w:sz="4" w:space="0" w:color="auto"/>
              <w:bottom w:val="single" w:sz="4" w:space="0" w:color="auto"/>
              <w:right w:val="nil"/>
            </w:tcBorders>
            <w:shd w:val="clear" w:color="auto" w:fill="auto"/>
            <w:noWrap/>
            <w:vAlign w:val="bottom"/>
          </w:tcPr>
          <w:p w14:paraId="645D8364" w14:textId="77777777" w:rsidR="00103457" w:rsidRPr="00103457" w:rsidRDefault="00103457" w:rsidP="00103457">
            <w:pPr>
              <w:suppressLineNumbers/>
              <w:spacing w:line="240" w:lineRule="auto"/>
              <w:rPr>
                <w:rFonts w:ascii="Times New Roman" w:hAnsi="Times New Roman"/>
                <w:color w:val="000000"/>
              </w:rPr>
            </w:pPr>
          </w:p>
        </w:tc>
        <w:tc>
          <w:tcPr>
            <w:tcW w:w="1890" w:type="dxa"/>
            <w:tcBorders>
              <w:top w:val="single" w:sz="4" w:space="0" w:color="auto"/>
              <w:left w:val="nil"/>
              <w:bottom w:val="single" w:sz="4" w:space="0" w:color="auto"/>
              <w:right w:val="nil"/>
            </w:tcBorders>
            <w:shd w:val="clear" w:color="auto" w:fill="auto"/>
            <w:noWrap/>
            <w:vAlign w:val="bottom"/>
          </w:tcPr>
          <w:p w14:paraId="728676D5" w14:textId="77777777" w:rsidR="00103457" w:rsidRPr="00103457" w:rsidRDefault="00103457" w:rsidP="00103457">
            <w:pPr>
              <w:suppressLineNumbers/>
              <w:spacing w:line="240" w:lineRule="auto"/>
              <w:rPr>
                <w:rFonts w:ascii="Times New Roman" w:hAnsi="Times New Roman"/>
                <w:b/>
                <w:color w:val="000000"/>
              </w:rPr>
            </w:pPr>
            <w:r w:rsidRPr="00103457">
              <w:rPr>
                <w:rFonts w:ascii="Times New Roman" w:hAnsi="Times New Roman"/>
                <w:b/>
                <w:color w:val="000000"/>
              </w:rPr>
              <w:t>Observation</w:t>
            </w:r>
          </w:p>
        </w:tc>
        <w:tc>
          <w:tcPr>
            <w:tcW w:w="1260" w:type="dxa"/>
            <w:gridSpan w:val="2"/>
            <w:tcBorders>
              <w:top w:val="single" w:sz="4" w:space="0" w:color="auto"/>
              <w:left w:val="nil"/>
              <w:bottom w:val="single" w:sz="4" w:space="0" w:color="auto"/>
              <w:right w:val="nil"/>
            </w:tcBorders>
            <w:shd w:val="clear" w:color="auto" w:fill="auto"/>
            <w:noWrap/>
            <w:vAlign w:val="bottom"/>
          </w:tcPr>
          <w:p w14:paraId="2B89AB9D" w14:textId="77777777" w:rsidR="00103457" w:rsidRPr="00103457" w:rsidRDefault="00103457" w:rsidP="00103457">
            <w:pPr>
              <w:suppressLineNumbers/>
              <w:spacing w:line="240" w:lineRule="auto"/>
              <w:rPr>
                <w:rFonts w:ascii="Times New Roman" w:hAnsi="Times New Roman"/>
                <w:b/>
                <w:color w:val="000000"/>
              </w:rPr>
            </w:pPr>
          </w:p>
        </w:tc>
        <w:tc>
          <w:tcPr>
            <w:tcW w:w="1260" w:type="dxa"/>
            <w:tcBorders>
              <w:top w:val="single" w:sz="4" w:space="0" w:color="auto"/>
              <w:left w:val="nil"/>
              <w:bottom w:val="single" w:sz="4" w:space="0" w:color="auto"/>
              <w:right w:val="nil"/>
            </w:tcBorders>
            <w:shd w:val="clear" w:color="auto" w:fill="auto"/>
            <w:noWrap/>
            <w:vAlign w:val="bottom"/>
          </w:tcPr>
          <w:p w14:paraId="5B895E9B" w14:textId="77777777" w:rsidR="00103457" w:rsidRPr="00103457" w:rsidRDefault="00103457" w:rsidP="00103457">
            <w:pPr>
              <w:suppressLineNumbers/>
              <w:spacing w:line="240" w:lineRule="auto"/>
              <w:rPr>
                <w:rFonts w:ascii="Times New Roman" w:hAnsi="Times New Roman"/>
                <w:b/>
                <w:color w:val="000000"/>
              </w:rPr>
            </w:pPr>
          </w:p>
        </w:tc>
        <w:tc>
          <w:tcPr>
            <w:tcW w:w="1710" w:type="dxa"/>
            <w:tcBorders>
              <w:top w:val="single" w:sz="4" w:space="0" w:color="auto"/>
              <w:left w:val="nil"/>
              <w:bottom w:val="single" w:sz="4" w:space="0" w:color="auto"/>
              <w:right w:val="nil"/>
            </w:tcBorders>
            <w:shd w:val="clear" w:color="auto" w:fill="auto"/>
            <w:noWrap/>
            <w:vAlign w:val="bottom"/>
          </w:tcPr>
          <w:p w14:paraId="3FFF3F78" w14:textId="77777777" w:rsidR="00103457" w:rsidRPr="00103457" w:rsidRDefault="00103457" w:rsidP="00103457">
            <w:pPr>
              <w:suppressLineNumbers/>
              <w:spacing w:line="240" w:lineRule="auto"/>
              <w:rPr>
                <w:rFonts w:ascii="Times New Roman" w:hAnsi="Times New Roman"/>
                <w:b/>
                <w:color w:val="000000"/>
              </w:rPr>
            </w:pPr>
          </w:p>
        </w:tc>
      </w:tr>
      <w:tr w:rsidR="00103457" w:rsidRPr="00103457" w14:paraId="1998220C" w14:textId="77777777" w:rsidTr="006F7C17">
        <w:trPr>
          <w:trHeight w:val="336"/>
        </w:trPr>
        <w:tc>
          <w:tcPr>
            <w:tcW w:w="720" w:type="dxa"/>
            <w:tcBorders>
              <w:left w:val="nil"/>
              <w:right w:val="single" w:sz="4" w:space="0" w:color="auto"/>
            </w:tcBorders>
            <w:shd w:val="clear" w:color="auto" w:fill="auto"/>
            <w:noWrap/>
            <w:vAlign w:val="center"/>
          </w:tcPr>
          <w:p w14:paraId="3908A0F3" w14:textId="77777777" w:rsidR="00103457" w:rsidRPr="00103457" w:rsidRDefault="00103457" w:rsidP="00103457">
            <w:pPr>
              <w:suppressLineNumbers/>
              <w:spacing w:line="240" w:lineRule="auto"/>
              <w:rPr>
                <w:rFonts w:ascii="Times New Roman" w:hAnsi="Times New Roman"/>
                <w:color w:val="000000"/>
              </w:rPr>
            </w:pPr>
          </w:p>
        </w:tc>
        <w:tc>
          <w:tcPr>
            <w:tcW w:w="1890" w:type="dxa"/>
            <w:tcBorders>
              <w:top w:val="single" w:sz="4" w:space="0" w:color="auto"/>
              <w:left w:val="single" w:sz="4" w:space="0" w:color="auto"/>
              <w:bottom w:val="nil"/>
              <w:right w:val="single" w:sz="4" w:space="0" w:color="auto"/>
            </w:tcBorders>
            <w:shd w:val="clear" w:color="auto" w:fill="auto"/>
            <w:noWrap/>
            <w:vAlign w:val="bottom"/>
          </w:tcPr>
          <w:p w14:paraId="1B134CBE"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Class</w:t>
            </w:r>
          </w:p>
        </w:tc>
        <w:tc>
          <w:tcPr>
            <w:tcW w:w="1890" w:type="dxa"/>
            <w:tcBorders>
              <w:top w:val="single" w:sz="4" w:space="0" w:color="auto"/>
              <w:left w:val="single" w:sz="4" w:space="0" w:color="auto"/>
              <w:bottom w:val="nil"/>
              <w:right w:val="nil"/>
            </w:tcBorders>
            <w:shd w:val="clear" w:color="auto" w:fill="auto"/>
            <w:noWrap/>
            <w:vAlign w:val="bottom"/>
          </w:tcPr>
          <w:p w14:paraId="4E73CCE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Undeveloped</w:t>
            </w:r>
          </w:p>
        </w:tc>
        <w:tc>
          <w:tcPr>
            <w:tcW w:w="1260" w:type="dxa"/>
            <w:gridSpan w:val="2"/>
            <w:tcBorders>
              <w:top w:val="single" w:sz="4" w:space="0" w:color="auto"/>
              <w:left w:val="nil"/>
              <w:bottom w:val="nil"/>
              <w:right w:val="nil"/>
            </w:tcBorders>
            <w:shd w:val="clear" w:color="auto" w:fill="auto"/>
            <w:noWrap/>
            <w:vAlign w:val="bottom"/>
          </w:tcPr>
          <w:p w14:paraId="4B89408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Developed</w:t>
            </w:r>
          </w:p>
        </w:tc>
        <w:tc>
          <w:tcPr>
            <w:tcW w:w="1260" w:type="dxa"/>
            <w:tcBorders>
              <w:top w:val="single" w:sz="4" w:space="0" w:color="auto"/>
              <w:left w:val="nil"/>
              <w:bottom w:val="nil"/>
              <w:right w:val="nil"/>
            </w:tcBorders>
            <w:shd w:val="clear" w:color="auto" w:fill="auto"/>
            <w:noWrap/>
            <w:vAlign w:val="bottom"/>
          </w:tcPr>
          <w:p w14:paraId="6B7DE0E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User</w:t>
            </w:r>
          </w:p>
        </w:tc>
        <w:tc>
          <w:tcPr>
            <w:tcW w:w="1710" w:type="dxa"/>
            <w:tcBorders>
              <w:top w:val="single" w:sz="4" w:space="0" w:color="auto"/>
              <w:left w:val="nil"/>
              <w:bottom w:val="nil"/>
              <w:right w:val="nil"/>
            </w:tcBorders>
            <w:shd w:val="clear" w:color="auto" w:fill="auto"/>
            <w:noWrap/>
            <w:vAlign w:val="bottom"/>
          </w:tcPr>
          <w:p w14:paraId="572AA21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Commission</w:t>
            </w:r>
          </w:p>
        </w:tc>
      </w:tr>
      <w:tr w:rsidR="00103457" w:rsidRPr="00103457" w14:paraId="53514FDC" w14:textId="77777777" w:rsidTr="006F7C17">
        <w:trPr>
          <w:trHeight w:val="336"/>
        </w:trPr>
        <w:tc>
          <w:tcPr>
            <w:tcW w:w="720" w:type="dxa"/>
            <w:vMerge w:val="restart"/>
            <w:tcBorders>
              <w:left w:val="nil"/>
              <w:right w:val="single" w:sz="4" w:space="0" w:color="auto"/>
            </w:tcBorders>
            <w:shd w:val="clear" w:color="auto" w:fill="auto"/>
            <w:noWrap/>
            <w:textDirection w:val="btLr"/>
            <w:vAlign w:val="center"/>
            <w:hideMark/>
          </w:tcPr>
          <w:p w14:paraId="7C5EDEDA" w14:textId="77777777" w:rsidR="00103457" w:rsidRPr="00103457" w:rsidRDefault="00103457" w:rsidP="00103457">
            <w:pPr>
              <w:suppressLineNumbers/>
              <w:spacing w:line="240" w:lineRule="auto"/>
              <w:ind w:left="113" w:right="113"/>
              <w:rPr>
                <w:rFonts w:ascii="Times New Roman" w:hAnsi="Times New Roman"/>
                <w:b/>
                <w:color w:val="000000"/>
              </w:rPr>
            </w:pPr>
            <w:r w:rsidRPr="00103457">
              <w:rPr>
                <w:rFonts w:ascii="Times New Roman" w:hAnsi="Times New Roman"/>
                <w:b/>
                <w:color w:val="000000"/>
              </w:rPr>
              <w:t>Prediction</w:t>
            </w:r>
          </w:p>
        </w:tc>
        <w:tc>
          <w:tcPr>
            <w:tcW w:w="1890" w:type="dxa"/>
            <w:tcBorders>
              <w:top w:val="single" w:sz="4" w:space="0" w:color="auto"/>
              <w:left w:val="single" w:sz="4" w:space="0" w:color="auto"/>
              <w:bottom w:val="nil"/>
              <w:right w:val="single" w:sz="4" w:space="0" w:color="auto"/>
            </w:tcBorders>
            <w:shd w:val="clear" w:color="auto" w:fill="auto"/>
            <w:noWrap/>
            <w:vAlign w:val="bottom"/>
            <w:hideMark/>
          </w:tcPr>
          <w:p w14:paraId="5E984FB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Undeveloped</w:t>
            </w:r>
          </w:p>
        </w:tc>
        <w:tc>
          <w:tcPr>
            <w:tcW w:w="2008" w:type="dxa"/>
            <w:gridSpan w:val="2"/>
            <w:tcBorders>
              <w:top w:val="single" w:sz="4" w:space="0" w:color="auto"/>
              <w:left w:val="single" w:sz="4" w:space="0" w:color="auto"/>
              <w:bottom w:val="nil"/>
              <w:right w:val="nil"/>
            </w:tcBorders>
            <w:shd w:val="clear" w:color="auto" w:fill="auto"/>
            <w:noWrap/>
            <w:vAlign w:val="bottom"/>
            <w:hideMark/>
          </w:tcPr>
          <w:p w14:paraId="14384AA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9157</w:t>
            </w:r>
          </w:p>
        </w:tc>
        <w:tc>
          <w:tcPr>
            <w:tcW w:w="1142" w:type="dxa"/>
            <w:tcBorders>
              <w:top w:val="single" w:sz="4" w:space="0" w:color="auto"/>
              <w:left w:val="nil"/>
              <w:bottom w:val="nil"/>
              <w:right w:val="nil"/>
            </w:tcBorders>
            <w:shd w:val="clear" w:color="auto" w:fill="auto"/>
            <w:noWrap/>
            <w:vAlign w:val="bottom"/>
            <w:hideMark/>
          </w:tcPr>
          <w:p w14:paraId="4E948A3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425</w:t>
            </w:r>
          </w:p>
        </w:tc>
        <w:tc>
          <w:tcPr>
            <w:tcW w:w="1260" w:type="dxa"/>
            <w:tcBorders>
              <w:top w:val="single" w:sz="4" w:space="0" w:color="auto"/>
              <w:left w:val="nil"/>
              <w:bottom w:val="nil"/>
              <w:right w:val="nil"/>
            </w:tcBorders>
            <w:shd w:val="clear" w:color="auto" w:fill="auto"/>
            <w:noWrap/>
            <w:vAlign w:val="bottom"/>
            <w:hideMark/>
          </w:tcPr>
          <w:p w14:paraId="3388080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0.9556</w:t>
            </w:r>
          </w:p>
        </w:tc>
        <w:tc>
          <w:tcPr>
            <w:tcW w:w="1710" w:type="dxa"/>
            <w:tcBorders>
              <w:top w:val="single" w:sz="4" w:space="0" w:color="auto"/>
              <w:left w:val="nil"/>
              <w:bottom w:val="nil"/>
              <w:right w:val="nil"/>
            </w:tcBorders>
            <w:shd w:val="clear" w:color="auto" w:fill="auto"/>
            <w:noWrap/>
            <w:vAlign w:val="bottom"/>
            <w:hideMark/>
          </w:tcPr>
          <w:p w14:paraId="04A89B0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0.0444</w:t>
            </w:r>
          </w:p>
        </w:tc>
      </w:tr>
      <w:tr w:rsidR="00103457" w:rsidRPr="00103457" w14:paraId="3E7733EA" w14:textId="77777777" w:rsidTr="006F7C17">
        <w:trPr>
          <w:trHeight w:val="336"/>
        </w:trPr>
        <w:tc>
          <w:tcPr>
            <w:tcW w:w="720" w:type="dxa"/>
            <w:vMerge/>
            <w:tcBorders>
              <w:left w:val="nil"/>
              <w:right w:val="single" w:sz="4" w:space="0" w:color="auto"/>
            </w:tcBorders>
            <w:vAlign w:val="center"/>
            <w:hideMark/>
          </w:tcPr>
          <w:p w14:paraId="71719AB6" w14:textId="77777777" w:rsidR="00103457" w:rsidRPr="00103457" w:rsidRDefault="00103457" w:rsidP="00103457">
            <w:pPr>
              <w:suppressLineNumbers/>
              <w:spacing w:line="240" w:lineRule="auto"/>
              <w:rPr>
                <w:rFonts w:ascii="Times New Roman" w:hAnsi="Times New Roman"/>
                <w:color w:val="000000"/>
              </w:rPr>
            </w:pPr>
          </w:p>
        </w:tc>
        <w:tc>
          <w:tcPr>
            <w:tcW w:w="1890" w:type="dxa"/>
            <w:tcBorders>
              <w:top w:val="nil"/>
              <w:left w:val="single" w:sz="4" w:space="0" w:color="auto"/>
              <w:bottom w:val="nil"/>
              <w:right w:val="single" w:sz="4" w:space="0" w:color="auto"/>
            </w:tcBorders>
            <w:shd w:val="clear" w:color="auto" w:fill="auto"/>
            <w:noWrap/>
            <w:vAlign w:val="bottom"/>
            <w:hideMark/>
          </w:tcPr>
          <w:p w14:paraId="2E49389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Developed</w:t>
            </w:r>
          </w:p>
        </w:tc>
        <w:tc>
          <w:tcPr>
            <w:tcW w:w="2008" w:type="dxa"/>
            <w:gridSpan w:val="2"/>
            <w:tcBorders>
              <w:top w:val="nil"/>
              <w:left w:val="single" w:sz="4" w:space="0" w:color="auto"/>
              <w:bottom w:val="nil"/>
              <w:right w:val="nil"/>
            </w:tcBorders>
            <w:shd w:val="clear" w:color="auto" w:fill="auto"/>
            <w:noWrap/>
            <w:vAlign w:val="bottom"/>
            <w:hideMark/>
          </w:tcPr>
          <w:p w14:paraId="4A0DF30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407</w:t>
            </w:r>
          </w:p>
        </w:tc>
        <w:tc>
          <w:tcPr>
            <w:tcW w:w="1142" w:type="dxa"/>
            <w:tcBorders>
              <w:top w:val="nil"/>
              <w:left w:val="nil"/>
              <w:bottom w:val="nil"/>
              <w:right w:val="nil"/>
            </w:tcBorders>
            <w:shd w:val="clear" w:color="auto" w:fill="auto"/>
            <w:noWrap/>
            <w:vAlign w:val="bottom"/>
            <w:hideMark/>
          </w:tcPr>
          <w:p w14:paraId="1430D6B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1610</w:t>
            </w:r>
          </w:p>
        </w:tc>
        <w:tc>
          <w:tcPr>
            <w:tcW w:w="1260" w:type="dxa"/>
            <w:tcBorders>
              <w:top w:val="nil"/>
              <w:left w:val="nil"/>
              <w:bottom w:val="nil"/>
              <w:right w:val="nil"/>
            </w:tcBorders>
            <w:shd w:val="clear" w:color="auto" w:fill="auto"/>
            <w:noWrap/>
            <w:vAlign w:val="bottom"/>
            <w:hideMark/>
          </w:tcPr>
          <w:p w14:paraId="30A90FE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0.7912</w:t>
            </w:r>
          </w:p>
        </w:tc>
        <w:tc>
          <w:tcPr>
            <w:tcW w:w="1710" w:type="dxa"/>
            <w:tcBorders>
              <w:top w:val="nil"/>
              <w:left w:val="nil"/>
              <w:bottom w:val="nil"/>
              <w:right w:val="nil"/>
            </w:tcBorders>
            <w:shd w:val="clear" w:color="auto" w:fill="auto"/>
            <w:noWrap/>
            <w:vAlign w:val="bottom"/>
            <w:hideMark/>
          </w:tcPr>
          <w:p w14:paraId="60D3F55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0.2088</w:t>
            </w:r>
          </w:p>
        </w:tc>
      </w:tr>
      <w:tr w:rsidR="00103457" w:rsidRPr="00103457" w14:paraId="305A4D82" w14:textId="77777777" w:rsidTr="006F7C17">
        <w:trPr>
          <w:trHeight w:val="336"/>
        </w:trPr>
        <w:tc>
          <w:tcPr>
            <w:tcW w:w="720" w:type="dxa"/>
            <w:vMerge/>
            <w:tcBorders>
              <w:left w:val="nil"/>
              <w:right w:val="single" w:sz="4" w:space="0" w:color="auto"/>
            </w:tcBorders>
            <w:vAlign w:val="center"/>
            <w:hideMark/>
          </w:tcPr>
          <w:p w14:paraId="7E0F6BC6" w14:textId="77777777" w:rsidR="00103457" w:rsidRPr="00103457" w:rsidRDefault="00103457" w:rsidP="00103457">
            <w:pPr>
              <w:suppressLineNumbers/>
              <w:spacing w:line="240" w:lineRule="auto"/>
              <w:rPr>
                <w:rFonts w:ascii="Times New Roman" w:hAnsi="Times New Roman"/>
                <w:color w:val="000000"/>
              </w:rPr>
            </w:pPr>
          </w:p>
        </w:tc>
        <w:tc>
          <w:tcPr>
            <w:tcW w:w="1890" w:type="dxa"/>
            <w:tcBorders>
              <w:top w:val="nil"/>
              <w:left w:val="single" w:sz="4" w:space="0" w:color="auto"/>
              <w:bottom w:val="nil"/>
              <w:right w:val="single" w:sz="4" w:space="0" w:color="auto"/>
            </w:tcBorders>
            <w:shd w:val="clear" w:color="auto" w:fill="auto"/>
            <w:noWrap/>
            <w:vAlign w:val="bottom"/>
            <w:hideMark/>
          </w:tcPr>
          <w:p w14:paraId="30A68DF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Producer</w:t>
            </w:r>
          </w:p>
        </w:tc>
        <w:tc>
          <w:tcPr>
            <w:tcW w:w="2008" w:type="dxa"/>
            <w:gridSpan w:val="2"/>
            <w:tcBorders>
              <w:top w:val="nil"/>
              <w:left w:val="single" w:sz="4" w:space="0" w:color="auto"/>
              <w:bottom w:val="nil"/>
              <w:right w:val="nil"/>
            </w:tcBorders>
            <w:shd w:val="clear" w:color="auto" w:fill="auto"/>
            <w:noWrap/>
            <w:vAlign w:val="bottom"/>
            <w:hideMark/>
          </w:tcPr>
          <w:p w14:paraId="00A1A43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0.9574</w:t>
            </w:r>
          </w:p>
        </w:tc>
        <w:tc>
          <w:tcPr>
            <w:tcW w:w="1142" w:type="dxa"/>
            <w:tcBorders>
              <w:top w:val="nil"/>
              <w:left w:val="nil"/>
              <w:bottom w:val="nil"/>
              <w:right w:val="nil"/>
            </w:tcBorders>
            <w:shd w:val="clear" w:color="auto" w:fill="auto"/>
            <w:noWrap/>
            <w:vAlign w:val="bottom"/>
            <w:hideMark/>
          </w:tcPr>
          <w:p w14:paraId="54247C4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0.7911</w:t>
            </w:r>
          </w:p>
        </w:tc>
        <w:tc>
          <w:tcPr>
            <w:tcW w:w="1260" w:type="dxa"/>
            <w:tcBorders>
              <w:top w:val="nil"/>
              <w:left w:val="nil"/>
              <w:bottom w:val="nil"/>
              <w:right w:val="nil"/>
            </w:tcBorders>
            <w:shd w:val="clear" w:color="auto" w:fill="auto"/>
            <w:noWrap/>
            <w:vAlign w:val="bottom"/>
            <w:hideMark/>
          </w:tcPr>
          <w:p w14:paraId="16C0D4DD" w14:textId="77777777" w:rsidR="00103457" w:rsidRPr="00103457" w:rsidRDefault="00103457" w:rsidP="00103457">
            <w:pPr>
              <w:suppressLineNumbers/>
              <w:spacing w:line="240" w:lineRule="auto"/>
              <w:rPr>
                <w:rFonts w:ascii="Times New Roman" w:hAnsi="Times New Roman"/>
                <w:b/>
                <w:color w:val="000000"/>
              </w:rPr>
            </w:pPr>
            <w:r w:rsidRPr="00103457">
              <w:rPr>
                <w:rFonts w:ascii="Times New Roman" w:hAnsi="Times New Roman"/>
                <w:b/>
                <w:color w:val="000000"/>
              </w:rPr>
              <w:t>0.9283</w:t>
            </w:r>
          </w:p>
        </w:tc>
        <w:tc>
          <w:tcPr>
            <w:tcW w:w="1710" w:type="dxa"/>
            <w:tcBorders>
              <w:top w:val="nil"/>
              <w:left w:val="nil"/>
              <w:bottom w:val="nil"/>
              <w:right w:val="nil"/>
            </w:tcBorders>
            <w:shd w:val="clear" w:color="auto" w:fill="auto"/>
            <w:noWrap/>
            <w:vAlign w:val="bottom"/>
            <w:hideMark/>
          </w:tcPr>
          <w:p w14:paraId="7EB2E724" w14:textId="77777777" w:rsidR="00103457" w:rsidRPr="00103457" w:rsidRDefault="00103457" w:rsidP="00103457">
            <w:pPr>
              <w:suppressLineNumbers/>
              <w:spacing w:line="240" w:lineRule="auto"/>
              <w:rPr>
                <w:rFonts w:ascii="Times New Roman" w:hAnsi="Times New Roman"/>
                <w:b/>
                <w:color w:val="000000"/>
              </w:rPr>
            </w:pPr>
          </w:p>
        </w:tc>
      </w:tr>
      <w:tr w:rsidR="00103457" w:rsidRPr="00103457" w14:paraId="79075D55" w14:textId="77777777" w:rsidTr="006F7C17">
        <w:trPr>
          <w:trHeight w:val="336"/>
        </w:trPr>
        <w:tc>
          <w:tcPr>
            <w:tcW w:w="720" w:type="dxa"/>
            <w:vMerge/>
            <w:tcBorders>
              <w:left w:val="nil"/>
              <w:bottom w:val="single" w:sz="4" w:space="0" w:color="auto"/>
              <w:right w:val="single" w:sz="4" w:space="0" w:color="auto"/>
            </w:tcBorders>
            <w:vAlign w:val="center"/>
            <w:hideMark/>
          </w:tcPr>
          <w:p w14:paraId="135C50C4" w14:textId="77777777" w:rsidR="00103457" w:rsidRPr="00103457" w:rsidRDefault="00103457" w:rsidP="00103457">
            <w:pPr>
              <w:suppressLineNumbers/>
              <w:spacing w:line="240" w:lineRule="auto"/>
              <w:rPr>
                <w:rFonts w:ascii="Times New Roman" w:hAnsi="Times New Roman"/>
                <w:color w:val="000000"/>
              </w:rPr>
            </w:pP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57932F3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Omission</w:t>
            </w:r>
          </w:p>
        </w:tc>
        <w:tc>
          <w:tcPr>
            <w:tcW w:w="2008" w:type="dxa"/>
            <w:gridSpan w:val="2"/>
            <w:tcBorders>
              <w:top w:val="nil"/>
              <w:left w:val="single" w:sz="4" w:space="0" w:color="auto"/>
              <w:bottom w:val="single" w:sz="4" w:space="0" w:color="auto"/>
              <w:right w:val="nil"/>
            </w:tcBorders>
            <w:shd w:val="clear" w:color="auto" w:fill="auto"/>
            <w:noWrap/>
            <w:vAlign w:val="bottom"/>
            <w:hideMark/>
          </w:tcPr>
          <w:p w14:paraId="4486494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0.0426</w:t>
            </w:r>
          </w:p>
        </w:tc>
        <w:tc>
          <w:tcPr>
            <w:tcW w:w="1142" w:type="dxa"/>
            <w:tcBorders>
              <w:top w:val="nil"/>
              <w:left w:val="nil"/>
              <w:bottom w:val="single" w:sz="4" w:space="0" w:color="auto"/>
              <w:right w:val="nil"/>
            </w:tcBorders>
            <w:shd w:val="clear" w:color="auto" w:fill="auto"/>
            <w:noWrap/>
            <w:vAlign w:val="bottom"/>
            <w:hideMark/>
          </w:tcPr>
          <w:p w14:paraId="6EB6513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0.2089</w:t>
            </w:r>
          </w:p>
        </w:tc>
        <w:tc>
          <w:tcPr>
            <w:tcW w:w="1260" w:type="dxa"/>
            <w:tcBorders>
              <w:top w:val="nil"/>
              <w:left w:val="nil"/>
              <w:bottom w:val="single" w:sz="4" w:space="0" w:color="auto"/>
              <w:right w:val="nil"/>
            </w:tcBorders>
            <w:shd w:val="clear" w:color="auto" w:fill="auto"/>
            <w:noWrap/>
            <w:vAlign w:val="bottom"/>
            <w:hideMark/>
          </w:tcPr>
          <w:p w14:paraId="63572ADC" w14:textId="77777777" w:rsidR="00103457" w:rsidRPr="00103457" w:rsidRDefault="00103457" w:rsidP="00103457">
            <w:pPr>
              <w:suppressLineNumbers/>
              <w:spacing w:line="240" w:lineRule="auto"/>
              <w:rPr>
                <w:rFonts w:ascii="Times New Roman" w:hAnsi="Times New Roman"/>
                <w:color w:val="000000"/>
              </w:rPr>
            </w:pPr>
          </w:p>
        </w:tc>
        <w:tc>
          <w:tcPr>
            <w:tcW w:w="1710" w:type="dxa"/>
            <w:tcBorders>
              <w:top w:val="nil"/>
              <w:left w:val="nil"/>
              <w:bottom w:val="single" w:sz="4" w:space="0" w:color="auto"/>
              <w:right w:val="nil"/>
            </w:tcBorders>
            <w:shd w:val="clear" w:color="auto" w:fill="auto"/>
            <w:noWrap/>
            <w:vAlign w:val="bottom"/>
            <w:hideMark/>
          </w:tcPr>
          <w:p w14:paraId="22141F74" w14:textId="77777777" w:rsidR="00103457" w:rsidRPr="00103457" w:rsidRDefault="00103457" w:rsidP="00103457">
            <w:pPr>
              <w:suppressLineNumbers/>
              <w:spacing w:line="240" w:lineRule="auto"/>
              <w:rPr>
                <w:rFonts w:ascii="Times New Roman" w:hAnsi="Times New Roman"/>
                <w:b/>
                <w:i/>
                <w:color w:val="000000"/>
              </w:rPr>
            </w:pPr>
            <w:r w:rsidRPr="00103457">
              <w:rPr>
                <w:rFonts w:ascii="Times New Roman" w:hAnsi="Times New Roman"/>
                <w:b/>
                <w:i/>
                <w:color w:val="000000"/>
              </w:rPr>
              <w:t>0.0717</w:t>
            </w:r>
          </w:p>
        </w:tc>
      </w:tr>
    </w:tbl>
    <w:p w14:paraId="2A948EED" w14:textId="77777777" w:rsidR="00103457" w:rsidRPr="00103457" w:rsidRDefault="00103457" w:rsidP="00103457">
      <w:pPr>
        <w:rPr>
          <w:rFonts w:ascii="Times New Roman" w:hAnsi="Times New Roman"/>
          <w:color w:val="000000"/>
        </w:rPr>
      </w:pPr>
    </w:p>
    <w:p w14:paraId="32920355" w14:textId="77777777" w:rsidR="00103457" w:rsidRPr="00103457" w:rsidRDefault="00103457" w:rsidP="00277F12">
      <w:pPr>
        <w:pStyle w:val="Heading3"/>
      </w:pPr>
      <w:bookmarkStart w:id="44" w:name="_Toc172288716"/>
      <w:r w:rsidRPr="00103457">
        <w:t>Quantities and rates of urban expansion</w:t>
      </w:r>
      <w:bookmarkEnd w:id="44"/>
    </w:p>
    <w:p w14:paraId="2696A3D4" w14:textId="7F6F3223"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The total developed area increased 2.3 times from 4001 km² in 2001 to 9402 km² in 2020, with varying changes in different countries and city types (</w:t>
      </w:r>
      <w:r w:rsidRPr="00103457">
        <w:rPr>
          <w:rFonts w:ascii="Times New Roman" w:hAnsi="Times New Roman"/>
          <w:color w:val="000000"/>
        </w:rPr>
        <w:fldChar w:fldCharType="begin"/>
      </w:r>
      <w:r w:rsidRPr="00103457">
        <w:rPr>
          <w:rFonts w:ascii="Times New Roman" w:hAnsi="Times New Roman"/>
          <w:color w:val="000000"/>
        </w:rPr>
        <w:instrText xml:space="preserve"> REF _Ref144838763 \h  \* MERGEFORMAT </w:instrText>
      </w:r>
      <w:r w:rsidRPr="00103457">
        <w:rPr>
          <w:rFonts w:ascii="Times New Roman" w:hAnsi="Times New Roman"/>
          <w:color w:val="000000"/>
        </w:rPr>
      </w:r>
      <w:r w:rsidRPr="00103457">
        <w:rPr>
          <w:rFonts w:ascii="Times New Roman" w:hAnsi="Times New Roman"/>
          <w:color w:val="000000"/>
        </w:rPr>
        <w:fldChar w:fldCharType="separate"/>
      </w:r>
      <w:r w:rsidR="00B129D9" w:rsidRPr="00B129D9">
        <w:rPr>
          <w:rFonts w:ascii="Times New Roman" w:hAnsi="Times New Roman"/>
          <w:color w:val="000000"/>
        </w:rPr>
        <w:t xml:space="preserve">Figure </w:t>
      </w:r>
      <w:r w:rsidR="00B129D9" w:rsidRPr="00B129D9">
        <w:rPr>
          <w:rFonts w:ascii="Times New Roman" w:hAnsi="Times New Roman"/>
          <w:noProof/>
          <w:color w:val="000000"/>
        </w:rPr>
        <w:t>3</w:t>
      </w:r>
      <w:r w:rsidRPr="00103457">
        <w:rPr>
          <w:rFonts w:ascii="Times New Roman" w:hAnsi="Times New Roman"/>
          <w:color w:val="000000"/>
        </w:rPr>
        <w:fldChar w:fldCharType="end"/>
      </w:r>
      <w:r w:rsidRPr="00103457">
        <w:rPr>
          <w:rFonts w:ascii="Times New Roman" w:hAnsi="Times New Roman"/>
          <w:color w:val="000000"/>
        </w:rPr>
        <w:t xml:space="preserve"> and S1). Across the study area, most of the urban expansion occurred in small and medium cities. The total area of urban </w:t>
      </w:r>
      <w:r w:rsidRPr="00103457">
        <w:rPr>
          <w:rFonts w:ascii="Times New Roman" w:hAnsi="Times New Roman"/>
          <w:color w:val="000000"/>
        </w:rPr>
        <w:lastRenderedPageBreak/>
        <w:t xml:space="preserve">expansion was 5401 km², with 2106 km² (39%) in medium and 775 km² (14%) in small cities compared to 2520 km² (47%) in large cities. </w:t>
      </w:r>
    </w:p>
    <w:p w14:paraId="7C17CE95" w14:textId="5F3EB900" w:rsidR="00103457" w:rsidRPr="00103457" w:rsidRDefault="00103457" w:rsidP="00103457">
      <w:pPr>
        <w:suppressLineNumbers/>
        <w:spacing w:line="240" w:lineRule="auto"/>
        <w:rPr>
          <w:rFonts w:ascii="Times New Roman" w:hAnsi="Times New Roman"/>
          <w:color w:val="000000"/>
        </w:rPr>
      </w:pPr>
      <w:bookmarkStart w:id="45" w:name="_Ref142644154"/>
      <w:r w:rsidRPr="00103457">
        <w:rPr>
          <w:rFonts w:ascii="Times New Roman" w:hAnsi="Times New Roman"/>
          <w:noProof/>
          <w:color w:val="000000"/>
          <w:lang w:bidi="ar-SA"/>
        </w:rPr>
        <w:drawing>
          <wp:inline distT="0" distB="0" distL="0" distR="0" wp14:anchorId="071FD4C6" wp14:editId="6B32570A">
            <wp:extent cx="5943600" cy="4902835"/>
            <wp:effectExtent l="0" t="0" r="0" b="0"/>
            <wp:docPr id="569382096"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82096" name="Picture 6" descr="A graph of different colored lin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902835"/>
                    </a:xfrm>
                    <a:prstGeom prst="rect">
                      <a:avLst/>
                    </a:prstGeom>
                  </pic:spPr>
                </pic:pic>
              </a:graphicData>
            </a:graphic>
          </wp:inline>
        </w:drawing>
      </w:r>
    </w:p>
    <w:p w14:paraId="385D30C7" w14:textId="0F5622BF" w:rsidR="00103457" w:rsidRPr="001145AB" w:rsidRDefault="00103457" w:rsidP="001145AB">
      <w:pPr>
        <w:suppressLineNumbers/>
        <w:spacing w:line="240" w:lineRule="auto"/>
        <w:rPr>
          <w:rFonts w:ascii="Times New Roman" w:hAnsi="Times New Roman"/>
          <w:bCs/>
          <w:color w:val="000000"/>
        </w:rPr>
      </w:pPr>
      <w:bookmarkStart w:id="46" w:name="_Ref144838763"/>
      <w:bookmarkStart w:id="47" w:name="_Toc172233500"/>
      <w:r w:rsidRPr="007D7640">
        <w:rPr>
          <w:rFonts w:ascii="Times New Roman" w:hAnsi="Times New Roman"/>
          <w:b/>
          <w:color w:val="000000"/>
        </w:rPr>
        <w:t xml:space="preserve">Figure </w:t>
      </w:r>
      <w:r w:rsidRPr="007D7640">
        <w:rPr>
          <w:rFonts w:ascii="Times New Roman" w:hAnsi="Times New Roman"/>
          <w:b/>
          <w:color w:val="000000"/>
        </w:rPr>
        <w:fldChar w:fldCharType="begin"/>
      </w:r>
      <w:r w:rsidRPr="007D7640">
        <w:rPr>
          <w:rFonts w:ascii="Times New Roman" w:hAnsi="Times New Roman"/>
          <w:b/>
          <w:color w:val="000000"/>
        </w:rPr>
        <w:instrText xml:space="preserve"> SEQ Figure \* ARABIC </w:instrText>
      </w:r>
      <w:r w:rsidRPr="007D7640">
        <w:rPr>
          <w:rFonts w:ascii="Times New Roman" w:hAnsi="Times New Roman"/>
          <w:b/>
          <w:color w:val="000000"/>
        </w:rPr>
        <w:fldChar w:fldCharType="separate"/>
      </w:r>
      <w:r w:rsidR="00B129D9">
        <w:rPr>
          <w:rFonts w:ascii="Times New Roman" w:hAnsi="Times New Roman"/>
          <w:b/>
          <w:noProof/>
          <w:color w:val="000000"/>
        </w:rPr>
        <w:t>3</w:t>
      </w:r>
      <w:r w:rsidRPr="007D7640">
        <w:rPr>
          <w:rFonts w:ascii="Times New Roman" w:hAnsi="Times New Roman"/>
          <w:b/>
          <w:color w:val="000000"/>
        </w:rPr>
        <w:fldChar w:fldCharType="end"/>
      </w:r>
      <w:bookmarkEnd w:id="45"/>
      <w:bookmarkEnd w:id="46"/>
      <w:r w:rsidRPr="00103457">
        <w:rPr>
          <w:rFonts w:ascii="Times New Roman" w:hAnsi="Times New Roman"/>
          <w:bCs/>
          <w:color w:val="000000"/>
        </w:rPr>
        <w:t xml:space="preserve">: </w:t>
      </w:r>
      <w:bookmarkStart w:id="48" w:name="_Ref142568152"/>
      <w:r w:rsidRPr="00103457">
        <w:rPr>
          <w:rFonts w:ascii="Times New Roman" w:hAnsi="Times New Roman"/>
          <w:bCs/>
          <w:color w:val="000000"/>
        </w:rPr>
        <w:t>Developed areas and expansion rates for city types in each country. Large cities are in red,</w:t>
      </w:r>
      <w:r w:rsidRPr="00103457" w:rsidDel="001C0440">
        <w:rPr>
          <w:rFonts w:ascii="Times New Roman" w:hAnsi="Times New Roman"/>
          <w:bCs/>
          <w:color w:val="000000"/>
        </w:rPr>
        <w:t xml:space="preserve"> </w:t>
      </w:r>
      <w:r w:rsidRPr="00103457">
        <w:rPr>
          <w:rFonts w:ascii="Times New Roman" w:hAnsi="Times New Roman"/>
          <w:bCs/>
          <w:color w:val="000000"/>
        </w:rPr>
        <w:t>medium cities are in blue, and small cities are in yellow. The area graphs on the left represent the total developed area for each city type in each country, and the line graphs on the right are the corresponding annual expansion rates.</w:t>
      </w:r>
      <w:bookmarkEnd w:id="47"/>
      <w:bookmarkEnd w:id="48"/>
    </w:p>
    <w:p w14:paraId="1938E227" w14:textId="77777777" w:rsidR="001145AB" w:rsidRPr="00103457" w:rsidRDefault="001145AB" w:rsidP="001145AB">
      <w:pPr>
        <w:suppressLineNumbers/>
        <w:spacing w:line="240" w:lineRule="auto"/>
        <w:rPr>
          <w:rFonts w:ascii="Times New Roman" w:hAnsi="Times New Roman"/>
          <w:color w:val="000000"/>
        </w:rPr>
      </w:pPr>
    </w:p>
    <w:p w14:paraId="6A250580" w14:textId="77A884E5" w:rsidR="00103457" w:rsidRPr="00103457" w:rsidRDefault="00103457" w:rsidP="00103457">
      <w:pPr>
        <w:ind w:firstLine="360"/>
        <w:rPr>
          <w:rFonts w:ascii="Times New Roman" w:hAnsi="Times New Roman"/>
          <w:color w:val="000000"/>
        </w:rPr>
      </w:pPr>
      <w:r w:rsidRPr="00103457">
        <w:rPr>
          <w:rFonts w:ascii="Times New Roman" w:hAnsi="Times New Roman"/>
          <w:color w:val="000000"/>
        </w:rPr>
        <w:t>Across the study area, average annual expansion rates varied over 20 years, and rates were generally highest in medium cities in Nigeria and Togo, large cities in Benin, and small cities in Ghana (</w:t>
      </w:r>
      <w:r w:rsidRPr="00103457">
        <w:rPr>
          <w:rFonts w:ascii="Times New Roman" w:hAnsi="Times New Roman"/>
          <w:color w:val="000000"/>
        </w:rPr>
        <w:fldChar w:fldCharType="begin"/>
      </w:r>
      <w:r w:rsidRPr="00103457">
        <w:rPr>
          <w:rFonts w:ascii="Times New Roman" w:hAnsi="Times New Roman"/>
          <w:color w:val="000000"/>
        </w:rPr>
        <w:instrText xml:space="preserve"> REF _Ref157590003 \h  \* MERGEFORMAT </w:instrText>
      </w:r>
      <w:r w:rsidRPr="00103457">
        <w:rPr>
          <w:rFonts w:ascii="Times New Roman" w:hAnsi="Times New Roman"/>
          <w:color w:val="000000"/>
        </w:rPr>
      </w:r>
      <w:r w:rsidRPr="00103457">
        <w:rPr>
          <w:rFonts w:ascii="Times New Roman" w:hAnsi="Times New Roman"/>
          <w:color w:val="000000"/>
        </w:rPr>
        <w:fldChar w:fldCharType="separate"/>
      </w:r>
      <w:r w:rsidR="00B129D9" w:rsidRPr="00B129D9">
        <w:rPr>
          <w:rFonts w:ascii="Times New Roman" w:hAnsi="Times New Roman"/>
          <w:color w:val="000000"/>
        </w:rPr>
        <w:t xml:space="preserve">Table </w:t>
      </w:r>
      <w:r w:rsidR="00B129D9" w:rsidRPr="00B129D9">
        <w:rPr>
          <w:rFonts w:ascii="Times New Roman" w:hAnsi="Times New Roman"/>
          <w:noProof/>
          <w:color w:val="000000"/>
        </w:rPr>
        <w:t>2</w:t>
      </w:r>
      <w:r w:rsidRPr="00103457">
        <w:rPr>
          <w:rFonts w:ascii="Times New Roman" w:hAnsi="Times New Roman"/>
          <w:color w:val="000000"/>
        </w:rPr>
        <w:fldChar w:fldCharType="end"/>
      </w:r>
      <w:r w:rsidRPr="00103457">
        <w:rPr>
          <w:rFonts w:ascii="Times New Roman" w:hAnsi="Times New Roman"/>
          <w:color w:val="000000"/>
        </w:rPr>
        <w:t xml:space="preserve"> and Figure 3). As a result, the overall percentage of total developed area in medium cities increased from 34.5% to 37.1%, while large cities decreased from 49.5% to 47.9% and small cities decreased from 16.0% to 15.1%. The mean expansion rates were highest in </w:t>
      </w:r>
      <w:r w:rsidRPr="00103457">
        <w:rPr>
          <w:rFonts w:ascii="Times New Roman" w:hAnsi="Times New Roman"/>
          <w:color w:val="000000"/>
        </w:rPr>
        <w:lastRenderedPageBreak/>
        <w:t>Nigeria, followed by Ghana, Benin, and Togo (Table 2). In Nigeria and Togo, expansion rates were highest in medium cities. In Ghana, expansion rates were highest in small cities, and medium cities rates were higher than in large cities. Benin was the only country with the highest expansion rate in large cities.</w:t>
      </w:r>
      <w:bookmarkStart w:id="49" w:name="_Ref144838573"/>
      <w:r w:rsidRPr="00103457">
        <w:rPr>
          <w:rFonts w:ascii="Times New Roman" w:hAnsi="Times New Roman"/>
          <w:color w:val="000000"/>
        </w:rPr>
        <w:t xml:space="preserve"> Across the countries, the AER year-to-year standard deviation ranged from 0.39 in Ghana to 1.09 in Togo. At the city level, the highest standard deviation was in large cities, except in Togo. The year-to-year skewness values were mostly positive, indicating asymmetric distributions where growth was relatively low in most years with higher rates occurring in a few years. The exceptions were in Nigeria, the skewness in medium and large cities was close to zero, and in Ghana the skewness in large cities was negative. </w:t>
      </w:r>
    </w:p>
    <w:p w14:paraId="2950FD15" w14:textId="45F6799A" w:rsidR="00103457" w:rsidRPr="00B00D3E" w:rsidRDefault="00103457" w:rsidP="00103457">
      <w:pPr>
        <w:suppressLineNumbers/>
        <w:spacing w:line="240" w:lineRule="auto"/>
        <w:rPr>
          <w:rFonts w:ascii="Times New Roman" w:hAnsi="Times New Roman"/>
          <w:color w:val="000000"/>
        </w:rPr>
      </w:pPr>
      <w:bookmarkStart w:id="50" w:name="_Ref157590003"/>
      <w:bookmarkStart w:id="51" w:name="_Toc172233718"/>
      <w:r w:rsidRPr="007D7640">
        <w:rPr>
          <w:rFonts w:ascii="Times New Roman" w:hAnsi="Times New Roman"/>
          <w:b/>
          <w:bCs/>
          <w:color w:val="000000"/>
        </w:rPr>
        <w:t xml:space="preserve">Table </w:t>
      </w:r>
      <w:r w:rsidRPr="007D7640">
        <w:rPr>
          <w:rFonts w:ascii="Times New Roman" w:hAnsi="Times New Roman"/>
          <w:b/>
          <w:bCs/>
          <w:i/>
          <w:iCs/>
          <w:color w:val="000000"/>
        </w:rPr>
        <w:fldChar w:fldCharType="begin"/>
      </w:r>
      <w:r w:rsidRPr="007D7640">
        <w:rPr>
          <w:rFonts w:ascii="Times New Roman" w:hAnsi="Times New Roman"/>
          <w:b/>
          <w:bCs/>
          <w:color w:val="000000"/>
        </w:rPr>
        <w:instrText xml:space="preserve"> SEQ Table \* ARABIC </w:instrText>
      </w:r>
      <w:r w:rsidRPr="007D7640">
        <w:rPr>
          <w:rFonts w:ascii="Times New Roman" w:hAnsi="Times New Roman"/>
          <w:b/>
          <w:bCs/>
          <w:i/>
          <w:iCs/>
          <w:color w:val="000000"/>
        </w:rPr>
        <w:fldChar w:fldCharType="separate"/>
      </w:r>
      <w:r w:rsidR="00B129D9">
        <w:rPr>
          <w:rFonts w:ascii="Times New Roman" w:hAnsi="Times New Roman"/>
          <w:b/>
          <w:bCs/>
          <w:noProof/>
          <w:color w:val="000000"/>
        </w:rPr>
        <w:t>2</w:t>
      </w:r>
      <w:r w:rsidRPr="007D7640">
        <w:rPr>
          <w:rFonts w:ascii="Times New Roman" w:hAnsi="Times New Roman"/>
          <w:b/>
          <w:bCs/>
          <w:i/>
          <w:iCs/>
          <w:color w:val="000000"/>
        </w:rPr>
        <w:fldChar w:fldCharType="end"/>
      </w:r>
      <w:bookmarkEnd w:id="49"/>
      <w:bookmarkEnd w:id="50"/>
      <w:r w:rsidRPr="00103457">
        <w:rPr>
          <w:rFonts w:ascii="Times New Roman" w:hAnsi="Times New Roman"/>
          <w:color w:val="000000"/>
        </w:rPr>
        <w:t>:  Descriptive statistics of mean annual expansion rate from 2001 – 2020.</w:t>
      </w:r>
      <w:bookmarkEnd w:id="51"/>
      <w:r w:rsidRPr="00103457">
        <w:rPr>
          <w:rFonts w:ascii="Times New Roman" w:hAnsi="Times New Roman"/>
          <w:color w:val="000000"/>
        </w:rPr>
        <w:t xml:space="preserve"> </w:t>
      </w:r>
    </w:p>
    <w:p w14:paraId="7F7E1F0D" w14:textId="77777777" w:rsidR="00B00D3E" w:rsidRPr="00103457" w:rsidRDefault="00B00D3E" w:rsidP="00103457">
      <w:pPr>
        <w:suppressLineNumbers/>
        <w:spacing w:line="240" w:lineRule="auto"/>
        <w:rPr>
          <w:rFonts w:ascii="Times New Roman" w:hAnsi="Times New Roman"/>
          <w:bCs/>
          <w:i/>
          <w:color w:val="000000"/>
        </w:rPr>
      </w:pPr>
    </w:p>
    <w:tbl>
      <w:tblPr>
        <w:tblW w:w="9360" w:type="dxa"/>
        <w:tblLayout w:type="fixed"/>
        <w:tblLook w:val="04A0" w:firstRow="1" w:lastRow="0" w:firstColumn="1" w:lastColumn="0" w:noHBand="0" w:noVBand="1"/>
      </w:tblPr>
      <w:tblGrid>
        <w:gridCol w:w="1031"/>
        <w:gridCol w:w="1309"/>
        <w:gridCol w:w="1080"/>
        <w:gridCol w:w="1350"/>
        <w:gridCol w:w="1080"/>
        <w:gridCol w:w="810"/>
        <w:gridCol w:w="720"/>
        <w:gridCol w:w="1260"/>
        <w:gridCol w:w="720"/>
      </w:tblGrid>
      <w:tr w:rsidR="00103457" w:rsidRPr="00103457" w14:paraId="337DB8EC" w14:textId="77777777" w:rsidTr="006F7C17">
        <w:trPr>
          <w:trHeight w:val="287"/>
        </w:trPr>
        <w:tc>
          <w:tcPr>
            <w:tcW w:w="1031" w:type="dxa"/>
            <w:vMerge w:val="restart"/>
            <w:tcBorders>
              <w:top w:val="single" w:sz="4" w:space="0" w:color="auto"/>
              <w:left w:val="nil"/>
              <w:bottom w:val="single" w:sz="4" w:space="0" w:color="000000"/>
              <w:right w:val="single" w:sz="4" w:space="0" w:color="auto"/>
            </w:tcBorders>
            <w:shd w:val="clear" w:color="auto" w:fill="auto"/>
            <w:noWrap/>
            <w:vAlign w:val="bottom"/>
            <w:hideMark/>
          </w:tcPr>
          <w:p w14:paraId="2309D297"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City Type</w:t>
            </w:r>
          </w:p>
        </w:tc>
        <w:tc>
          <w:tcPr>
            <w:tcW w:w="2389" w:type="dxa"/>
            <w:gridSpan w:val="2"/>
            <w:tcBorders>
              <w:top w:val="single" w:sz="4" w:space="0" w:color="auto"/>
              <w:left w:val="single" w:sz="4" w:space="0" w:color="auto"/>
              <w:bottom w:val="single" w:sz="4" w:space="0" w:color="auto"/>
              <w:right w:val="nil"/>
            </w:tcBorders>
            <w:shd w:val="clear" w:color="auto" w:fill="auto"/>
            <w:noWrap/>
            <w:vAlign w:val="bottom"/>
            <w:hideMark/>
          </w:tcPr>
          <w:p w14:paraId="4AE0BB07" w14:textId="77777777" w:rsidR="00103457" w:rsidRPr="00103457" w:rsidRDefault="00103457" w:rsidP="00103457">
            <w:pPr>
              <w:suppressLineNumbers/>
              <w:spacing w:line="240" w:lineRule="auto"/>
              <w:jc w:val="center"/>
              <w:rPr>
                <w:rFonts w:ascii="Times New Roman" w:hAnsi="Times New Roman"/>
                <w:b/>
                <w:bCs/>
                <w:color w:val="000000"/>
              </w:rPr>
            </w:pPr>
            <w:r w:rsidRPr="00103457">
              <w:rPr>
                <w:rFonts w:ascii="Times New Roman" w:hAnsi="Times New Roman"/>
                <w:b/>
                <w:bCs/>
                <w:color w:val="000000"/>
              </w:rPr>
              <w:t>2001</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3E305" w14:textId="77777777" w:rsidR="00103457" w:rsidRPr="00103457" w:rsidRDefault="00103457" w:rsidP="00103457">
            <w:pPr>
              <w:suppressLineNumbers/>
              <w:spacing w:line="240" w:lineRule="auto"/>
              <w:jc w:val="center"/>
              <w:rPr>
                <w:rFonts w:ascii="Times New Roman" w:hAnsi="Times New Roman"/>
                <w:b/>
                <w:bCs/>
                <w:color w:val="000000"/>
              </w:rPr>
            </w:pPr>
            <w:r w:rsidRPr="00103457">
              <w:rPr>
                <w:rFonts w:ascii="Times New Roman" w:hAnsi="Times New Roman"/>
                <w:b/>
                <w:bCs/>
                <w:color w:val="000000"/>
              </w:rPr>
              <w:t>2020</w:t>
            </w:r>
          </w:p>
        </w:tc>
        <w:tc>
          <w:tcPr>
            <w:tcW w:w="3510" w:type="dxa"/>
            <w:gridSpan w:val="4"/>
            <w:tcBorders>
              <w:top w:val="single" w:sz="4" w:space="0" w:color="auto"/>
              <w:left w:val="single" w:sz="4" w:space="0" w:color="auto"/>
              <w:bottom w:val="nil"/>
              <w:right w:val="nil"/>
            </w:tcBorders>
            <w:shd w:val="clear" w:color="auto" w:fill="auto"/>
            <w:noWrap/>
            <w:vAlign w:val="bottom"/>
            <w:hideMark/>
          </w:tcPr>
          <w:p w14:paraId="3AD90ABD" w14:textId="77777777" w:rsidR="00103457" w:rsidRPr="00103457" w:rsidRDefault="00103457" w:rsidP="00103457">
            <w:pPr>
              <w:suppressLineNumbers/>
              <w:spacing w:line="240" w:lineRule="auto"/>
              <w:jc w:val="center"/>
              <w:rPr>
                <w:rFonts w:ascii="Times New Roman" w:hAnsi="Times New Roman"/>
                <w:b/>
                <w:bCs/>
                <w:color w:val="000000"/>
              </w:rPr>
            </w:pPr>
            <w:r w:rsidRPr="00103457">
              <w:rPr>
                <w:rFonts w:ascii="Times New Roman" w:hAnsi="Times New Roman"/>
                <w:b/>
                <w:bCs/>
                <w:color w:val="000000"/>
              </w:rPr>
              <w:t>AER</w:t>
            </w:r>
          </w:p>
        </w:tc>
      </w:tr>
      <w:tr w:rsidR="00103457" w:rsidRPr="00103457" w14:paraId="338C087E" w14:textId="77777777" w:rsidTr="006F7C17">
        <w:trPr>
          <w:trHeight w:val="312"/>
        </w:trPr>
        <w:tc>
          <w:tcPr>
            <w:tcW w:w="1031" w:type="dxa"/>
            <w:vMerge/>
            <w:tcBorders>
              <w:top w:val="single" w:sz="4" w:space="0" w:color="auto"/>
              <w:left w:val="nil"/>
              <w:bottom w:val="single" w:sz="4" w:space="0" w:color="000000"/>
              <w:right w:val="single" w:sz="4" w:space="0" w:color="auto"/>
            </w:tcBorders>
            <w:vAlign w:val="center"/>
            <w:hideMark/>
          </w:tcPr>
          <w:p w14:paraId="792BFB6A" w14:textId="77777777" w:rsidR="00103457" w:rsidRPr="00103457" w:rsidRDefault="00103457" w:rsidP="00103457">
            <w:pPr>
              <w:suppressLineNumbers/>
              <w:spacing w:line="240" w:lineRule="auto"/>
              <w:rPr>
                <w:rFonts w:ascii="Times New Roman" w:hAnsi="Times New Roman"/>
                <w:b/>
                <w:bCs/>
                <w:color w:val="000000"/>
              </w:rPr>
            </w:pPr>
          </w:p>
        </w:tc>
        <w:tc>
          <w:tcPr>
            <w:tcW w:w="1309" w:type="dxa"/>
            <w:tcBorders>
              <w:top w:val="nil"/>
              <w:left w:val="single" w:sz="4" w:space="0" w:color="auto"/>
              <w:bottom w:val="single" w:sz="4" w:space="0" w:color="auto"/>
              <w:right w:val="nil"/>
            </w:tcBorders>
            <w:shd w:val="clear" w:color="auto" w:fill="auto"/>
            <w:noWrap/>
            <w:vAlign w:val="bottom"/>
            <w:hideMark/>
          </w:tcPr>
          <w:p w14:paraId="27590EDD"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Developed (km²)</w:t>
            </w:r>
          </w:p>
        </w:tc>
        <w:tc>
          <w:tcPr>
            <w:tcW w:w="1080" w:type="dxa"/>
            <w:tcBorders>
              <w:top w:val="nil"/>
              <w:left w:val="nil"/>
              <w:bottom w:val="single" w:sz="4" w:space="0" w:color="auto"/>
              <w:right w:val="nil"/>
            </w:tcBorders>
            <w:shd w:val="clear" w:color="auto" w:fill="auto"/>
            <w:noWrap/>
            <w:vAlign w:val="bottom"/>
            <w:hideMark/>
          </w:tcPr>
          <w:p w14:paraId="1E9C09C8"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Percent</w:t>
            </w:r>
          </w:p>
        </w:tc>
        <w:tc>
          <w:tcPr>
            <w:tcW w:w="1350" w:type="dxa"/>
            <w:tcBorders>
              <w:top w:val="nil"/>
              <w:left w:val="single" w:sz="4" w:space="0" w:color="auto"/>
              <w:bottom w:val="single" w:sz="4" w:space="0" w:color="auto"/>
              <w:right w:val="nil"/>
            </w:tcBorders>
            <w:shd w:val="clear" w:color="auto" w:fill="auto"/>
            <w:noWrap/>
            <w:vAlign w:val="bottom"/>
            <w:hideMark/>
          </w:tcPr>
          <w:p w14:paraId="632FFACC"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Developed (km²)</w:t>
            </w:r>
          </w:p>
        </w:tc>
        <w:tc>
          <w:tcPr>
            <w:tcW w:w="1080" w:type="dxa"/>
            <w:tcBorders>
              <w:top w:val="nil"/>
              <w:left w:val="nil"/>
              <w:bottom w:val="single" w:sz="4" w:space="0" w:color="auto"/>
              <w:right w:val="single" w:sz="4" w:space="0" w:color="auto"/>
            </w:tcBorders>
            <w:shd w:val="clear" w:color="auto" w:fill="auto"/>
            <w:noWrap/>
            <w:vAlign w:val="bottom"/>
            <w:hideMark/>
          </w:tcPr>
          <w:p w14:paraId="42B54657"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Percent</w:t>
            </w:r>
          </w:p>
        </w:tc>
        <w:tc>
          <w:tcPr>
            <w:tcW w:w="810" w:type="dxa"/>
            <w:tcBorders>
              <w:top w:val="single" w:sz="4" w:space="0" w:color="auto"/>
              <w:left w:val="single" w:sz="4" w:space="0" w:color="auto"/>
              <w:bottom w:val="single" w:sz="4" w:space="0" w:color="auto"/>
              <w:right w:val="nil"/>
            </w:tcBorders>
            <w:shd w:val="clear" w:color="auto" w:fill="auto"/>
            <w:noWrap/>
            <w:vAlign w:val="bottom"/>
            <w:hideMark/>
          </w:tcPr>
          <w:p w14:paraId="3F585677"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Mean (%)</w:t>
            </w:r>
          </w:p>
        </w:tc>
        <w:tc>
          <w:tcPr>
            <w:tcW w:w="720" w:type="dxa"/>
            <w:tcBorders>
              <w:top w:val="single" w:sz="4" w:space="0" w:color="auto"/>
              <w:left w:val="single" w:sz="4" w:space="0" w:color="auto"/>
              <w:bottom w:val="single" w:sz="4" w:space="0" w:color="auto"/>
              <w:right w:val="nil"/>
            </w:tcBorders>
          </w:tcPr>
          <w:p w14:paraId="3AF9EB6C"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Std. Dev</w:t>
            </w:r>
          </w:p>
        </w:tc>
        <w:tc>
          <w:tcPr>
            <w:tcW w:w="1260" w:type="dxa"/>
            <w:tcBorders>
              <w:top w:val="single" w:sz="4" w:space="0" w:color="auto"/>
              <w:left w:val="single" w:sz="4" w:space="0" w:color="auto"/>
              <w:bottom w:val="single" w:sz="4" w:space="0" w:color="auto"/>
              <w:right w:val="nil"/>
            </w:tcBorders>
          </w:tcPr>
          <w:p w14:paraId="20C9600F"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Skewness</w:t>
            </w:r>
          </w:p>
        </w:tc>
        <w:tc>
          <w:tcPr>
            <w:tcW w:w="720" w:type="dxa"/>
            <w:tcBorders>
              <w:top w:val="single" w:sz="4" w:space="0" w:color="auto"/>
              <w:left w:val="single" w:sz="4" w:space="0" w:color="auto"/>
              <w:bottom w:val="single" w:sz="4" w:space="0" w:color="auto"/>
              <w:right w:val="nil"/>
            </w:tcBorders>
          </w:tcPr>
          <w:p w14:paraId="6876E069"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N</w:t>
            </w:r>
          </w:p>
        </w:tc>
      </w:tr>
      <w:tr w:rsidR="00103457" w:rsidRPr="00103457" w14:paraId="232F46C7"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1E2E9647"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Benin</w:t>
            </w:r>
          </w:p>
        </w:tc>
        <w:tc>
          <w:tcPr>
            <w:tcW w:w="1309" w:type="dxa"/>
            <w:tcBorders>
              <w:top w:val="nil"/>
              <w:left w:val="single" w:sz="4" w:space="0" w:color="auto"/>
              <w:bottom w:val="nil"/>
              <w:right w:val="nil"/>
            </w:tcBorders>
            <w:shd w:val="clear" w:color="auto" w:fill="auto"/>
            <w:noWrap/>
            <w:vAlign w:val="bottom"/>
            <w:hideMark/>
          </w:tcPr>
          <w:p w14:paraId="7C47E6B9"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217.52</w:t>
            </w:r>
          </w:p>
        </w:tc>
        <w:tc>
          <w:tcPr>
            <w:tcW w:w="1080" w:type="dxa"/>
            <w:tcBorders>
              <w:top w:val="nil"/>
              <w:left w:val="nil"/>
              <w:bottom w:val="nil"/>
              <w:right w:val="nil"/>
            </w:tcBorders>
            <w:shd w:val="clear" w:color="auto" w:fill="auto"/>
            <w:noWrap/>
            <w:vAlign w:val="bottom"/>
            <w:hideMark/>
          </w:tcPr>
          <w:p w14:paraId="6D6B4B9A"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100</w:t>
            </w:r>
          </w:p>
        </w:tc>
        <w:tc>
          <w:tcPr>
            <w:tcW w:w="1350" w:type="dxa"/>
            <w:tcBorders>
              <w:top w:val="nil"/>
              <w:left w:val="single" w:sz="4" w:space="0" w:color="auto"/>
              <w:bottom w:val="nil"/>
              <w:right w:val="nil"/>
            </w:tcBorders>
            <w:shd w:val="clear" w:color="auto" w:fill="auto"/>
            <w:noWrap/>
            <w:vAlign w:val="bottom"/>
            <w:hideMark/>
          </w:tcPr>
          <w:p w14:paraId="484051A6"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474.33</w:t>
            </w:r>
          </w:p>
        </w:tc>
        <w:tc>
          <w:tcPr>
            <w:tcW w:w="1080" w:type="dxa"/>
            <w:tcBorders>
              <w:top w:val="nil"/>
              <w:left w:val="nil"/>
              <w:bottom w:val="nil"/>
              <w:right w:val="single" w:sz="4" w:space="0" w:color="auto"/>
            </w:tcBorders>
            <w:shd w:val="clear" w:color="auto" w:fill="auto"/>
            <w:noWrap/>
            <w:vAlign w:val="bottom"/>
            <w:hideMark/>
          </w:tcPr>
          <w:p w14:paraId="66892D23"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100</w:t>
            </w:r>
          </w:p>
        </w:tc>
        <w:tc>
          <w:tcPr>
            <w:tcW w:w="810" w:type="dxa"/>
            <w:tcBorders>
              <w:top w:val="nil"/>
              <w:left w:val="single" w:sz="4" w:space="0" w:color="auto"/>
              <w:bottom w:val="nil"/>
              <w:right w:val="nil"/>
            </w:tcBorders>
            <w:shd w:val="clear" w:color="auto" w:fill="auto"/>
            <w:noWrap/>
            <w:vAlign w:val="bottom"/>
            <w:hideMark/>
          </w:tcPr>
          <w:p w14:paraId="37957DC5"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4.19</w:t>
            </w:r>
          </w:p>
        </w:tc>
        <w:tc>
          <w:tcPr>
            <w:tcW w:w="720" w:type="dxa"/>
            <w:tcBorders>
              <w:top w:val="nil"/>
              <w:left w:val="single" w:sz="4" w:space="0" w:color="auto"/>
              <w:bottom w:val="nil"/>
              <w:right w:val="nil"/>
            </w:tcBorders>
          </w:tcPr>
          <w:p w14:paraId="7D06B12D"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0.83</w:t>
            </w:r>
          </w:p>
        </w:tc>
        <w:tc>
          <w:tcPr>
            <w:tcW w:w="1260" w:type="dxa"/>
            <w:tcBorders>
              <w:top w:val="nil"/>
              <w:left w:val="single" w:sz="4" w:space="0" w:color="auto"/>
              <w:bottom w:val="nil"/>
              <w:right w:val="nil"/>
            </w:tcBorders>
          </w:tcPr>
          <w:p w14:paraId="04C7F78C"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0.60</w:t>
            </w:r>
          </w:p>
        </w:tc>
        <w:tc>
          <w:tcPr>
            <w:tcW w:w="720" w:type="dxa"/>
            <w:tcBorders>
              <w:top w:val="nil"/>
              <w:left w:val="single" w:sz="4" w:space="0" w:color="auto"/>
              <w:bottom w:val="nil"/>
              <w:right w:val="nil"/>
            </w:tcBorders>
          </w:tcPr>
          <w:p w14:paraId="0670746E"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110</w:t>
            </w:r>
          </w:p>
        </w:tc>
      </w:tr>
      <w:tr w:rsidR="00103457" w:rsidRPr="00103457" w14:paraId="70DFD18D"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67BAF737"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Small</w:t>
            </w:r>
          </w:p>
        </w:tc>
        <w:tc>
          <w:tcPr>
            <w:tcW w:w="1309" w:type="dxa"/>
            <w:tcBorders>
              <w:top w:val="nil"/>
              <w:left w:val="single" w:sz="4" w:space="0" w:color="auto"/>
              <w:bottom w:val="nil"/>
              <w:right w:val="nil"/>
            </w:tcBorders>
            <w:shd w:val="clear" w:color="auto" w:fill="auto"/>
            <w:noWrap/>
            <w:vAlign w:val="bottom"/>
            <w:hideMark/>
          </w:tcPr>
          <w:p w14:paraId="0AAAD84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59.60</w:t>
            </w:r>
          </w:p>
        </w:tc>
        <w:tc>
          <w:tcPr>
            <w:tcW w:w="1080" w:type="dxa"/>
            <w:tcBorders>
              <w:top w:val="nil"/>
              <w:left w:val="nil"/>
              <w:bottom w:val="nil"/>
              <w:right w:val="nil"/>
            </w:tcBorders>
            <w:shd w:val="clear" w:color="auto" w:fill="auto"/>
            <w:noWrap/>
            <w:vAlign w:val="bottom"/>
            <w:hideMark/>
          </w:tcPr>
          <w:p w14:paraId="57386A8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27.40</w:t>
            </w:r>
          </w:p>
        </w:tc>
        <w:tc>
          <w:tcPr>
            <w:tcW w:w="1350" w:type="dxa"/>
            <w:tcBorders>
              <w:top w:val="nil"/>
              <w:left w:val="single" w:sz="4" w:space="0" w:color="auto"/>
              <w:bottom w:val="nil"/>
              <w:right w:val="nil"/>
            </w:tcBorders>
            <w:shd w:val="clear" w:color="auto" w:fill="auto"/>
            <w:noWrap/>
            <w:vAlign w:val="bottom"/>
            <w:hideMark/>
          </w:tcPr>
          <w:p w14:paraId="2A5B4FC7"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133.69</w:t>
            </w:r>
          </w:p>
        </w:tc>
        <w:tc>
          <w:tcPr>
            <w:tcW w:w="1080" w:type="dxa"/>
            <w:tcBorders>
              <w:top w:val="nil"/>
              <w:left w:val="nil"/>
              <w:bottom w:val="nil"/>
              <w:right w:val="single" w:sz="4" w:space="0" w:color="auto"/>
            </w:tcBorders>
            <w:shd w:val="clear" w:color="auto" w:fill="auto"/>
            <w:noWrap/>
            <w:vAlign w:val="bottom"/>
            <w:hideMark/>
          </w:tcPr>
          <w:p w14:paraId="0C10488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28.18</w:t>
            </w:r>
          </w:p>
        </w:tc>
        <w:tc>
          <w:tcPr>
            <w:tcW w:w="810" w:type="dxa"/>
            <w:tcBorders>
              <w:top w:val="nil"/>
              <w:left w:val="single" w:sz="4" w:space="0" w:color="auto"/>
              <w:bottom w:val="nil"/>
              <w:right w:val="nil"/>
            </w:tcBorders>
            <w:shd w:val="clear" w:color="auto" w:fill="auto"/>
            <w:noWrap/>
            <w:vAlign w:val="bottom"/>
            <w:hideMark/>
          </w:tcPr>
          <w:p w14:paraId="67BA541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4.34</w:t>
            </w:r>
          </w:p>
        </w:tc>
        <w:tc>
          <w:tcPr>
            <w:tcW w:w="720" w:type="dxa"/>
            <w:tcBorders>
              <w:top w:val="nil"/>
              <w:left w:val="single" w:sz="4" w:space="0" w:color="auto"/>
              <w:bottom w:val="nil"/>
              <w:right w:val="nil"/>
            </w:tcBorders>
          </w:tcPr>
          <w:p w14:paraId="72386D9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0.24</w:t>
            </w:r>
          </w:p>
        </w:tc>
        <w:tc>
          <w:tcPr>
            <w:tcW w:w="1260" w:type="dxa"/>
            <w:tcBorders>
              <w:top w:val="nil"/>
              <w:left w:val="single" w:sz="4" w:space="0" w:color="auto"/>
              <w:bottom w:val="nil"/>
              <w:right w:val="nil"/>
            </w:tcBorders>
          </w:tcPr>
          <w:p w14:paraId="79D10A07"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1.17</w:t>
            </w:r>
          </w:p>
        </w:tc>
        <w:tc>
          <w:tcPr>
            <w:tcW w:w="720" w:type="dxa"/>
            <w:tcBorders>
              <w:top w:val="nil"/>
              <w:left w:val="single" w:sz="4" w:space="0" w:color="auto"/>
              <w:bottom w:val="nil"/>
              <w:right w:val="nil"/>
            </w:tcBorders>
          </w:tcPr>
          <w:p w14:paraId="637A962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97</w:t>
            </w:r>
          </w:p>
        </w:tc>
      </w:tr>
      <w:tr w:rsidR="00103457" w:rsidRPr="00103457" w14:paraId="471B467E"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5576F79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Medium</w:t>
            </w:r>
          </w:p>
        </w:tc>
        <w:tc>
          <w:tcPr>
            <w:tcW w:w="1309" w:type="dxa"/>
            <w:tcBorders>
              <w:top w:val="nil"/>
              <w:left w:val="single" w:sz="4" w:space="0" w:color="auto"/>
              <w:bottom w:val="nil"/>
              <w:right w:val="nil"/>
            </w:tcBorders>
            <w:shd w:val="clear" w:color="auto" w:fill="auto"/>
            <w:noWrap/>
            <w:vAlign w:val="bottom"/>
            <w:hideMark/>
          </w:tcPr>
          <w:p w14:paraId="500484D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84.77</w:t>
            </w:r>
          </w:p>
        </w:tc>
        <w:tc>
          <w:tcPr>
            <w:tcW w:w="1080" w:type="dxa"/>
            <w:tcBorders>
              <w:top w:val="nil"/>
              <w:left w:val="nil"/>
              <w:bottom w:val="nil"/>
              <w:right w:val="nil"/>
            </w:tcBorders>
            <w:shd w:val="clear" w:color="auto" w:fill="auto"/>
            <w:noWrap/>
            <w:vAlign w:val="bottom"/>
            <w:hideMark/>
          </w:tcPr>
          <w:p w14:paraId="5869F08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38.97</w:t>
            </w:r>
          </w:p>
        </w:tc>
        <w:tc>
          <w:tcPr>
            <w:tcW w:w="1350" w:type="dxa"/>
            <w:tcBorders>
              <w:top w:val="nil"/>
              <w:left w:val="single" w:sz="4" w:space="0" w:color="auto"/>
              <w:bottom w:val="nil"/>
              <w:right w:val="nil"/>
            </w:tcBorders>
            <w:shd w:val="clear" w:color="auto" w:fill="auto"/>
            <w:noWrap/>
            <w:vAlign w:val="bottom"/>
            <w:hideMark/>
          </w:tcPr>
          <w:p w14:paraId="733DF1A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171.19</w:t>
            </w:r>
          </w:p>
        </w:tc>
        <w:tc>
          <w:tcPr>
            <w:tcW w:w="1080" w:type="dxa"/>
            <w:tcBorders>
              <w:top w:val="nil"/>
              <w:left w:val="nil"/>
              <w:bottom w:val="nil"/>
              <w:right w:val="single" w:sz="4" w:space="0" w:color="auto"/>
            </w:tcBorders>
            <w:shd w:val="clear" w:color="auto" w:fill="auto"/>
            <w:noWrap/>
            <w:vAlign w:val="bottom"/>
            <w:hideMark/>
          </w:tcPr>
          <w:p w14:paraId="2A6CF98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36.09</w:t>
            </w:r>
          </w:p>
        </w:tc>
        <w:tc>
          <w:tcPr>
            <w:tcW w:w="810" w:type="dxa"/>
            <w:tcBorders>
              <w:top w:val="nil"/>
              <w:left w:val="single" w:sz="4" w:space="0" w:color="auto"/>
              <w:bottom w:val="nil"/>
              <w:right w:val="nil"/>
            </w:tcBorders>
            <w:shd w:val="clear" w:color="auto" w:fill="auto"/>
            <w:noWrap/>
            <w:vAlign w:val="bottom"/>
            <w:hideMark/>
          </w:tcPr>
          <w:p w14:paraId="31AE543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3.77</w:t>
            </w:r>
          </w:p>
        </w:tc>
        <w:tc>
          <w:tcPr>
            <w:tcW w:w="720" w:type="dxa"/>
            <w:tcBorders>
              <w:top w:val="nil"/>
              <w:left w:val="single" w:sz="4" w:space="0" w:color="auto"/>
              <w:bottom w:val="nil"/>
              <w:right w:val="nil"/>
            </w:tcBorders>
          </w:tcPr>
          <w:p w14:paraId="07E0979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0.80</w:t>
            </w:r>
          </w:p>
        </w:tc>
        <w:tc>
          <w:tcPr>
            <w:tcW w:w="1260" w:type="dxa"/>
            <w:tcBorders>
              <w:top w:val="nil"/>
              <w:left w:val="single" w:sz="4" w:space="0" w:color="auto"/>
              <w:bottom w:val="nil"/>
              <w:right w:val="nil"/>
            </w:tcBorders>
          </w:tcPr>
          <w:p w14:paraId="4E247A1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1.87</w:t>
            </w:r>
          </w:p>
        </w:tc>
        <w:tc>
          <w:tcPr>
            <w:tcW w:w="720" w:type="dxa"/>
            <w:tcBorders>
              <w:top w:val="nil"/>
              <w:left w:val="single" w:sz="4" w:space="0" w:color="auto"/>
              <w:bottom w:val="nil"/>
              <w:right w:val="nil"/>
            </w:tcBorders>
          </w:tcPr>
          <w:p w14:paraId="686D607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12</w:t>
            </w:r>
          </w:p>
        </w:tc>
      </w:tr>
      <w:tr w:rsidR="00103457" w:rsidRPr="00103457" w14:paraId="3318DB2E" w14:textId="77777777" w:rsidTr="006F7C17">
        <w:trPr>
          <w:trHeight w:val="312"/>
        </w:trPr>
        <w:tc>
          <w:tcPr>
            <w:tcW w:w="1031" w:type="dxa"/>
            <w:tcBorders>
              <w:top w:val="nil"/>
              <w:left w:val="nil"/>
              <w:bottom w:val="single" w:sz="4" w:space="0" w:color="auto"/>
              <w:right w:val="single" w:sz="4" w:space="0" w:color="auto"/>
            </w:tcBorders>
            <w:shd w:val="clear" w:color="auto" w:fill="auto"/>
            <w:noWrap/>
            <w:vAlign w:val="bottom"/>
            <w:hideMark/>
          </w:tcPr>
          <w:p w14:paraId="7C6C3A9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Large</w:t>
            </w:r>
          </w:p>
        </w:tc>
        <w:tc>
          <w:tcPr>
            <w:tcW w:w="1309" w:type="dxa"/>
            <w:tcBorders>
              <w:top w:val="nil"/>
              <w:left w:val="single" w:sz="4" w:space="0" w:color="auto"/>
              <w:bottom w:val="single" w:sz="4" w:space="0" w:color="auto"/>
              <w:right w:val="nil"/>
            </w:tcBorders>
            <w:shd w:val="clear" w:color="auto" w:fill="auto"/>
            <w:noWrap/>
            <w:vAlign w:val="bottom"/>
            <w:hideMark/>
          </w:tcPr>
          <w:p w14:paraId="5F11C05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73.15</w:t>
            </w:r>
          </w:p>
        </w:tc>
        <w:tc>
          <w:tcPr>
            <w:tcW w:w="1080" w:type="dxa"/>
            <w:tcBorders>
              <w:top w:val="nil"/>
              <w:left w:val="nil"/>
              <w:bottom w:val="single" w:sz="4" w:space="0" w:color="auto"/>
              <w:right w:val="nil"/>
            </w:tcBorders>
            <w:shd w:val="clear" w:color="auto" w:fill="auto"/>
            <w:noWrap/>
            <w:vAlign w:val="bottom"/>
            <w:hideMark/>
          </w:tcPr>
          <w:p w14:paraId="470D076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33.63</w:t>
            </w:r>
          </w:p>
        </w:tc>
        <w:tc>
          <w:tcPr>
            <w:tcW w:w="1350" w:type="dxa"/>
            <w:tcBorders>
              <w:top w:val="nil"/>
              <w:left w:val="single" w:sz="4" w:space="0" w:color="auto"/>
              <w:bottom w:val="single" w:sz="4" w:space="0" w:color="auto"/>
              <w:right w:val="nil"/>
            </w:tcBorders>
            <w:shd w:val="clear" w:color="auto" w:fill="auto"/>
            <w:noWrap/>
            <w:vAlign w:val="bottom"/>
            <w:hideMark/>
          </w:tcPr>
          <w:p w14:paraId="59E1B19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169.46</w:t>
            </w:r>
          </w:p>
        </w:tc>
        <w:tc>
          <w:tcPr>
            <w:tcW w:w="1080" w:type="dxa"/>
            <w:tcBorders>
              <w:top w:val="nil"/>
              <w:left w:val="nil"/>
              <w:bottom w:val="single" w:sz="4" w:space="0" w:color="auto"/>
              <w:right w:val="single" w:sz="4" w:space="0" w:color="auto"/>
            </w:tcBorders>
            <w:shd w:val="clear" w:color="auto" w:fill="auto"/>
            <w:noWrap/>
            <w:vAlign w:val="bottom"/>
            <w:hideMark/>
          </w:tcPr>
          <w:p w14:paraId="4265D587"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35.73</w:t>
            </w:r>
          </w:p>
        </w:tc>
        <w:tc>
          <w:tcPr>
            <w:tcW w:w="810" w:type="dxa"/>
            <w:tcBorders>
              <w:top w:val="nil"/>
              <w:left w:val="single" w:sz="4" w:space="0" w:color="auto"/>
              <w:bottom w:val="single" w:sz="4" w:space="0" w:color="auto"/>
              <w:right w:val="nil"/>
            </w:tcBorders>
            <w:shd w:val="clear" w:color="auto" w:fill="auto"/>
            <w:noWrap/>
            <w:vAlign w:val="bottom"/>
            <w:hideMark/>
          </w:tcPr>
          <w:p w14:paraId="57BD6B5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4.52</w:t>
            </w:r>
          </w:p>
        </w:tc>
        <w:tc>
          <w:tcPr>
            <w:tcW w:w="720" w:type="dxa"/>
            <w:tcBorders>
              <w:top w:val="nil"/>
              <w:left w:val="single" w:sz="4" w:space="0" w:color="auto"/>
              <w:bottom w:val="single" w:sz="4" w:space="0" w:color="auto"/>
              <w:right w:val="nil"/>
            </w:tcBorders>
          </w:tcPr>
          <w:p w14:paraId="18CAE30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1.05</w:t>
            </w:r>
          </w:p>
        </w:tc>
        <w:tc>
          <w:tcPr>
            <w:tcW w:w="1260" w:type="dxa"/>
            <w:tcBorders>
              <w:top w:val="nil"/>
              <w:left w:val="single" w:sz="4" w:space="0" w:color="auto"/>
              <w:bottom w:val="single" w:sz="4" w:space="0" w:color="auto"/>
              <w:right w:val="nil"/>
            </w:tcBorders>
          </w:tcPr>
          <w:p w14:paraId="3A73A2B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0.28</w:t>
            </w:r>
          </w:p>
        </w:tc>
        <w:tc>
          <w:tcPr>
            <w:tcW w:w="720" w:type="dxa"/>
            <w:tcBorders>
              <w:top w:val="nil"/>
              <w:left w:val="single" w:sz="4" w:space="0" w:color="auto"/>
              <w:bottom w:val="single" w:sz="4" w:space="0" w:color="auto"/>
              <w:right w:val="nil"/>
            </w:tcBorders>
          </w:tcPr>
          <w:p w14:paraId="0136EC6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w:t>
            </w:r>
          </w:p>
        </w:tc>
      </w:tr>
      <w:tr w:rsidR="00103457" w:rsidRPr="00103457" w14:paraId="4F7CACF3"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5B9D356C"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Ghana</w:t>
            </w:r>
          </w:p>
        </w:tc>
        <w:tc>
          <w:tcPr>
            <w:tcW w:w="1309" w:type="dxa"/>
            <w:tcBorders>
              <w:top w:val="nil"/>
              <w:left w:val="single" w:sz="4" w:space="0" w:color="auto"/>
              <w:bottom w:val="nil"/>
              <w:right w:val="nil"/>
            </w:tcBorders>
            <w:shd w:val="clear" w:color="auto" w:fill="auto"/>
            <w:noWrap/>
            <w:vAlign w:val="bottom"/>
            <w:hideMark/>
          </w:tcPr>
          <w:p w14:paraId="3917610A"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690.75</w:t>
            </w:r>
          </w:p>
        </w:tc>
        <w:tc>
          <w:tcPr>
            <w:tcW w:w="1080" w:type="dxa"/>
            <w:tcBorders>
              <w:top w:val="nil"/>
              <w:left w:val="nil"/>
              <w:bottom w:val="nil"/>
              <w:right w:val="nil"/>
            </w:tcBorders>
            <w:shd w:val="clear" w:color="auto" w:fill="auto"/>
            <w:noWrap/>
            <w:vAlign w:val="bottom"/>
            <w:hideMark/>
          </w:tcPr>
          <w:p w14:paraId="50F294E6"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100</w:t>
            </w:r>
          </w:p>
        </w:tc>
        <w:tc>
          <w:tcPr>
            <w:tcW w:w="1350" w:type="dxa"/>
            <w:tcBorders>
              <w:top w:val="nil"/>
              <w:left w:val="single" w:sz="4" w:space="0" w:color="auto"/>
              <w:bottom w:val="nil"/>
              <w:right w:val="nil"/>
            </w:tcBorders>
            <w:shd w:val="clear" w:color="auto" w:fill="auto"/>
            <w:noWrap/>
            <w:vAlign w:val="bottom"/>
            <w:hideMark/>
          </w:tcPr>
          <w:p w14:paraId="05471459"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1583.14</w:t>
            </w:r>
          </w:p>
        </w:tc>
        <w:tc>
          <w:tcPr>
            <w:tcW w:w="1080" w:type="dxa"/>
            <w:tcBorders>
              <w:top w:val="nil"/>
              <w:left w:val="nil"/>
              <w:bottom w:val="nil"/>
              <w:right w:val="single" w:sz="4" w:space="0" w:color="auto"/>
            </w:tcBorders>
            <w:shd w:val="clear" w:color="auto" w:fill="auto"/>
            <w:noWrap/>
            <w:vAlign w:val="bottom"/>
            <w:hideMark/>
          </w:tcPr>
          <w:p w14:paraId="12E4572D"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100</w:t>
            </w:r>
          </w:p>
        </w:tc>
        <w:tc>
          <w:tcPr>
            <w:tcW w:w="810" w:type="dxa"/>
            <w:tcBorders>
              <w:top w:val="nil"/>
              <w:left w:val="single" w:sz="4" w:space="0" w:color="auto"/>
              <w:bottom w:val="nil"/>
              <w:right w:val="nil"/>
            </w:tcBorders>
            <w:shd w:val="clear" w:color="auto" w:fill="auto"/>
            <w:noWrap/>
            <w:vAlign w:val="bottom"/>
            <w:hideMark/>
          </w:tcPr>
          <w:p w14:paraId="5CF11FB4"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4.46</w:t>
            </w:r>
          </w:p>
        </w:tc>
        <w:tc>
          <w:tcPr>
            <w:tcW w:w="720" w:type="dxa"/>
            <w:tcBorders>
              <w:top w:val="nil"/>
              <w:left w:val="single" w:sz="4" w:space="0" w:color="auto"/>
              <w:bottom w:val="nil"/>
              <w:right w:val="nil"/>
            </w:tcBorders>
          </w:tcPr>
          <w:p w14:paraId="295A2BBC"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0.39</w:t>
            </w:r>
          </w:p>
        </w:tc>
        <w:tc>
          <w:tcPr>
            <w:tcW w:w="1260" w:type="dxa"/>
            <w:tcBorders>
              <w:top w:val="nil"/>
              <w:left w:val="single" w:sz="4" w:space="0" w:color="auto"/>
              <w:bottom w:val="nil"/>
              <w:right w:val="nil"/>
            </w:tcBorders>
          </w:tcPr>
          <w:p w14:paraId="034CA1FE"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-0.35</w:t>
            </w:r>
          </w:p>
        </w:tc>
        <w:tc>
          <w:tcPr>
            <w:tcW w:w="720" w:type="dxa"/>
            <w:tcBorders>
              <w:top w:val="nil"/>
              <w:left w:val="single" w:sz="4" w:space="0" w:color="auto"/>
              <w:bottom w:val="nil"/>
              <w:right w:val="nil"/>
            </w:tcBorders>
          </w:tcPr>
          <w:p w14:paraId="2DEF46D2"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209</w:t>
            </w:r>
          </w:p>
        </w:tc>
      </w:tr>
      <w:tr w:rsidR="00103457" w:rsidRPr="00103457" w14:paraId="59029FC0"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7D03BBC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Small</w:t>
            </w:r>
          </w:p>
        </w:tc>
        <w:tc>
          <w:tcPr>
            <w:tcW w:w="1309" w:type="dxa"/>
            <w:tcBorders>
              <w:top w:val="nil"/>
              <w:left w:val="single" w:sz="4" w:space="0" w:color="auto"/>
              <w:bottom w:val="nil"/>
              <w:right w:val="nil"/>
            </w:tcBorders>
            <w:shd w:val="clear" w:color="auto" w:fill="auto"/>
            <w:noWrap/>
            <w:vAlign w:val="bottom"/>
            <w:hideMark/>
          </w:tcPr>
          <w:p w14:paraId="1347581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111.27</w:t>
            </w:r>
          </w:p>
        </w:tc>
        <w:tc>
          <w:tcPr>
            <w:tcW w:w="1080" w:type="dxa"/>
            <w:tcBorders>
              <w:top w:val="nil"/>
              <w:left w:val="nil"/>
              <w:bottom w:val="nil"/>
              <w:right w:val="nil"/>
            </w:tcBorders>
            <w:shd w:val="clear" w:color="auto" w:fill="auto"/>
            <w:noWrap/>
            <w:vAlign w:val="bottom"/>
            <w:hideMark/>
          </w:tcPr>
          <w:p w14:paraId="330A8CC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16.11</w:t>
            </w:r>
          </w:p>
        </w:tc>
        <w:tc>
          <w:tcPr>
            <w:tcW w:w="1350" w:type="dxa"/>
            <w:tcBorders>
              <w:top w:val="nil"/>
              <w:left w:val="single" w:sz="4" w:space="0" w:color="auto"/>
              <w:bottom w:val="nil"/>
              <w:right w:val="nil"/>
            </w:tcBorders>
            <w:shd w:val="clear" w:color="auto" w:fill="auto"/>
            <w:noWrap/>
            <w:vAlign w:val="bottom"/>
            <w:hideMark/>
          </w:tcPr>
          <w:p w14:paraId="36C7406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268.80</w:t>
            </w:r>
          </w:p>
        </w:tc>
        <w:tc>
          <w:tcPr>
            <w:tcW w:w="1080" w:type="dxa"/>
            <w:tcBorders>
              <w:top w:val="nil"/>
              <w:left w:val="nil"/>
              <w:bottom w:val="nil"/>
              <w:right w:val="single" w:sz="4" w:space="0" w:color="auto"/>
            </w:tcBorders>
            <w:shd w:val="clear" w:color="auto" w:fill="auto"/>
            <w:noWrap/>
            <w:vAlign w:val="bottom"/>
            <w:hideMark/>
          </w:tcPr>
          <w:p w14:paraId="14FF6DC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16.98</w:t>
            </w:r>
          </w:p>
        </w:tc>
        <w:tc>
          <w:tcPr>
            <w:tcW w:w="810" w:type="dxa"/>
            <w:tcBorders>
              <w:top w:val="nil"/>
              <w:left w:val="single" w:sz="4" w:space="0" w:color="auto"/>
              <w:bottom w:val="nil"/>
              <w:right w:val="nil"/>
            </w:tcBorders>
            <w:shd w:val="clear" w:color="auto" w:fill="auto"/>
            <w:noWrap/>
            <w:vAlign w:val="bottom"/>
            <w:hideMark/>
          </w:tcPr>
          <w:p w14:paraId="2623B03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4.75</w:t>
            </w:r>
          </w:p>
        </w:tc>
        <w:tc>
          <w:tcPr>
            <w:tcW w:w="720" w:type="dxa"/>
            <w:tcBorders>
              <w:top w:val="nil"/>
              <w:left w:val="single" w:sz="4" w:space="0" w:color="auto"/>
              <w:bottom w:val="nil"/>
              <w:right w:val="nil"/>
            </w:tcBorders>
          </w:tcPr>
          <w:p w14:paraId="422BA23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0.34</w:t>
            </w:r>
          </w:p>
        </w:tc>
        <w:tc>
          <w:tcPr>
            <w:tcW w:w="1260" w:type="dxa"/>
            <w:tcBorders>
              <w:top w:val="nil"/>
              <w:left w:val="single" w:sz="4" w:space="0" w:color="auto"/>
              <w:bottom w:val="nil"/>
              <w:right w:val="nil"/>
            </w:tcBorders>
          </w:tcPr>
          <w:p w14:paraId="1EFB045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0.47</w:t>
            </w:r>
          </w:p>
        </w:tc>
        <w:tc>
          <w:tcPr>
            <w:tcW w:w="720" w:type="dxa"/>
            <w:tcBorders>
              <w:top w:val="nil"/>
              <w:left w:val="single" w:sz="4" w:space="0" w:color="auto"/>
              <w:bottom w:val="nil"/>
              <w:right w:val="nil"/>
            </w:tcBorders>
          </w:tcPr>
          <w:p w14:paraId="1EE1D70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179</w:t>
            </w:r>
          </w:p>
        </w:tc>
      </w:tr>
      <w:tr w:rsidR="00103457" w:rsidRPr="00103457" w14:paraId="1304DB08"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54B766C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Medium</w:t>
            </w:r>
          </w:p>
        </w:tc>
        <w:tc>
          <w:tcPr>
            <w:tcW w:w="1309" w:type="dxa"/>
            <w:tcBorders>
              <w:top w:val="nil"/>
              <w:left w:val="single" w:sz="4" w:space="0" w:color="auto"/>
              <w:bottom w:val="nil"/>
              <w:right w:val="nil"/>
            </w:tcBorders>
            <w:shd w:val="clear" w:color="auto" w:fill="auto"/>
            <w:noWrap/>
            <w:vAlign w:val="bottom"/>
            <w:hideMark/>
          </w:tcPr>
          <w:p w14:paraId="1AEF054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141.26</w:t>
            </w:r>
          </w:p>
        </w:tc>
        <w:tc>
          <w:tcPr>
            <w:tcW w:w="1080" w:type="dxa"/>
            <w:tcBorders>
              <w:top w:val="nil"/>
              <w:left w:val="nil"/>
              <w:bottom w:val="nil"/>
              <w:right w:val="nil"/>
            </w:tcBorders>
            <w:shd w:val="clear" w:color="auto" w:fill="auto"/>
            <w:noWrap/>
            <w:vAlign w:val="bottom"/>
            <w:hideMark/>
          </w:tcPr>
          <w:p w14:paraId="5EAA9A4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20.45</w:t>
            </w:r>
          </w:p>
        </w:tc>
        <w:tc>
          <w:tcPr>
            <w:tcW w:w="1350" w:type="dxa"/>
            <w:tcBorders>
              <w:top w:val="nil"/>
              <w:left w:val="single" w:sz="4" w:space="0" w:color="auto"/>
              <w:bottom w:val="nil"/>
              <w:right w:val="nil"/>
            </w:tcBorders>
            <w:shd w:val="clear" w:color="auto" w:fill="auto"/>
            <w:noWrap/>
            <w:vAlign w:val="bottom"/>
            <w:hideMark/>
          </w:tcPr>
          <w:p w14:paraId="51EEABE7"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334.72</w:t>
            </w:r>
          </w:p>
        </w:tc>
        <w:tc>
          <w:tcPr>
            <w:tcW w:w="1080" w:type="dxa"/>
            <w:tcBorders>
              <w:top w:val="nil"/>
              <w:left w:val="nil"/>
              <w:bottom w:val="nil"/>
              <w:right w:val="single" w:sz="4" w:space="0" w:color="auto"/>
            </w:tcBorders>
            <w:shd w:val="clear" w:color="auto" w:fill="auto"/>
            <w:noWrap/>
            <w:vAlign w:val="bottom"/>
            <w:hideMark/>
          </w:tcPr>
          <w:p w14:paraId="4C45A9A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21.14</w:t>
            </w:r>
          </w:p>
        </w:tc>
        <w:tc>
          <w:tcPr>
            <w:tcW w:w="810" w:type="dxa"/>
            <w:tcBorders>
              <w:top w:val="nil"/>
              <w:left w:val="single" w:sz="4" w:space="0" w:color="auto"/>
              <w:bottom w:val="nil"/>
              <w:right w:val="nil"/>
            </w:tcBorders>
            <w:shd w:val="clear" w:color="auto" w:fill="auto"/>
            <w:noWrap/>
            <w:vAlign w:val="bottom"/>
            <w:hideMark/>
          </w:tcPr>
          <w:p w14:paraId="2789C18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4.65</w:t>
            </w:r>
          </w:p>
        </w:tc>
        <w:tc>
          <w:tcPr>
            <w:tcW w:w="720" w:type="dxa"/>
            <w:tcBorders>
              <w:top w:val="nil"/>
              <w:left w:val="single" w:sz="4" w:space="0" w:color="auto"/>
              <w:bottom w:val="nil"/>
              <w:right w:val="nil"/>
            </w:tcBorders>
          </w:tcPr>
          <w:p w14:paraId="6AD361A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0.30</w:t>
            </w:r>
          </w:p>
        </w:tc>
        <w:tc>
          <w:tcPr>
            <w:tcW w:w="1260" w:type="dxa"/>
            <w:tcBorders>
              <w:top w:val="nil"/>
              <w:left w:val="single" w:sz="4" w:space="0" w:color="auto"/>
              <w:bottom w:val="nil"/>
              <w:right w:val="nil"/>
            </w:tcBorders>
          </w:tcPr>
          <w:p w14:paraId="4A55B07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0.54</w:t>
            </w:r>
          </w:p>
        </w:tc>
        <w:tc>
          <w:tcPr>
            <w:tcW w:w="720" w:type="dxa"/>
            <w:tcBorders>
              <w:top w:val="nil"/>
              <w:left w:val="single" w:sz="4" w:space="0" w:color="auto"/>
              <w:bottom w:val="nil"/>
              <w:right w:val="nil"/>
            </w:tcBorders>
          </w:tcPr>
          <w:p w14:paraId="5460721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28</w:t>
            </w:r>
          </w:p>
        </w:tc>
      </w:tr>
      <w:tr w:rsidR="00103457" w:rsidRPr="00103457" w14:paraId="660027D8" w14:textId="77777777" w:rsidTr="006F7C17">
        <w:trPr>
          <w:trHeight w:val="312"/>
        </w:trPr>
        <w:tc>
          <w:tcPr>
            <w:tcW w:w="1031" w:type="dxa"/>
            <w:tcBorders>
              <w:top w:val="nil"/>
              <w:left w:val="nil"/>
              <w:bottom w:val="single" w:sz="4" w:space="0" w:color="auto"/>
              <w:right w:val="single" w:sz="4" w:space="0" w:color="auto"/>
            </w:tcBorders>
            <w:shd w:val="clear" w:color="auto" w:fill="auto"/>
            <w:noWrap/>
            <w:vAlign w:val="bottom"/>
            <w:hideMark/>
          </w:tcPr>
          <w:p w14:paraId="3C53881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Large</w:t>
            </w:r>
          </w:p>
        </w:tc>
        <w:tc>
          <w:tcPr>
            <w:tcW w:w="1309" w:type="dxa"/>
            <w:tcBorders>
              <w:top w:val="nil"/>
              <w:left w:val="single" w:sz="4" w:space="0" w:color="auto"/>
              <w:bottom w:val="single" w:sz="4" w:space="0" w:color="auto"/>
              <w:right w:val="nil"/>
            </w:tcBorders>
            <w:shd w:val="clear" w:color="auto" w:fill="auto"/>
            <w:noWrap/>
            <w:vAlign w:val="bottom"/>
            <w:hideMark/>
          </w:tcPr>
          <w:p w14:paraId="6B99A1F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438.22</w:t>
            </w:r>
          </w:p>
        </w:tc>
        <w:tc>
          <w:tcPr>
            <w:tcW w:w="1080" w:type="dxa"/>
            <w:tcBorders>
              <w:top w:val="nil"/>
              <w:left w:val="nil"/>
              <w:bottom w:val="single" w:sz="4" w:space="0" w:color="auto"/>
              <w:right w:val="nil"/>
            </w:tcBorders>
            <w:shd w:val="clear" w:color="auto" w:fill="auto"/>
            <w:noWrap/>
            <w:vAlign w:val="bottom"/>
            <w:hideMark/>
          </w:tcPr>
          <w:p w14:paraId="7FE6797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63.44</w:t>
            </w:r>
          </w:p>
        </w:tc>
        <w:tc>
          <w:tcPr>
            <w:tcW w:w="1350" w:type="dxa"/>
            <w:tcBorders>
              <w:top w:val="nil"/>
              <w:left w:val="single" w:sz="4" w:space="0" w:color="auto"/>
              <w:bottom w:val="single" w:sz="4" w:space="0" w:color="auto"/>
              <w:right w:val="nil"/>
            </w:tcBorders>
            <w:shd w:val="clear" w:color="auto" w:fill="auto"/>
            <w:noWrap/>
            <w:vAlign w:val="bottom"/>
            <w:hideMark/>
          </w:tcPr>
          <w:p w14:paraId="47CF694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979.61</w:t>
            </w:r>
          </w:p>
        </w:tc>
        <w:tc>
          <w:tcPr>
            <w:tcW w:w="1080" w:type="dxa"/>
            <w:tcBorders>
              <w:top w:val="nil"/>
              <w:left w:val="nil"/>
              <w:bottom w:val="single" w:sz="4" w:space="0" w:color="auto"/>
              <w:right w:val="single" w:sz="4" w:space="0" w:color="auto"/>
            </w:tcBorders>
            <w:shd w:val="clear" w:color="auto" w:fill="auto"/>
            <w:noWrap/>
            <w:vAlign w:val="bottom"/>
            <w:hideMark/>
          </w:tcPr>
          <w:p w14:paraId="7B06C3E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61.88</w:t>
            </w:r>
          </w:p>
        </w:tc>
        <w:tc>
          <w:tcPr>
            <w:tcW w:w="810" w:type="dxa"/>
            <w:tcBorders>
              <w:top w:val="nil"/>
              <w:left w:val="single" w:sz="4" w:space="0" w:color="auto"/>
              <w:bottom w:val="single" w:sz="4" w:space="0" w:color="auto"/>
              <w:right w:val="nil"/>
            </w:tcBorders>
            <w:shd w:val="clear" w:color="auto" w:fill="auto"/>
            <w:noWrap/>
            <w:vAlign w:val="bottom"/>
            <w:hideMark/>
          </w:tcPr>
          <w:p w14:paraId="4D96391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4.32</w:t>
            </w:r>
          </w:p>
        </w:tc>
        <w:tc>
          <w:tcPr>
            <w:tcW w:w="720" w:type="dxa"/>
            <w:tcBorders>
              <w:top w:val="nil"/>
              <w:left w:val="single" w:sz="4" w:space="0" w:color="auto"/>
              <w:bottom w:val="single" w:sz="4" w:space="0" w:color="auto"/>
              <w:right w:val="nil"/>
            </w:tcBorders>
          </w:tcPr>
          <w:p w14:paraId="17197FA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0.41</w:t>
            </w:r>
          </w:p>
        </w:tc>
        <w:tc>
          <w:tcPr>
            <w:tcW w:w="1260" w:type="dxa"/>
            <w:tcBorders>
              <w:top w:val="nil"/>
              <w:left w:val="single" w:sz="4" w:space="0" w:color="auto"/>
              <w:bottom w:val="single" w:sz="4" w:space="0" w:color="auto"/>
              <w:right w:val="nil"/>
            </w:tcBorders>
          </w:tcPr>
          <w:p w14:paraId="4843D28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-0.63</w:t>
            </w:r>
          </w:p>
        </w:tc>
        <w:tc>
          <w:tcPr>
            <w:tcW w:w="720" w:type="dxa"/>
            <w:tcBorders>
              <w:top w:val="nil"/>
              <w:left w:val="single" w:sz="4" w:space="0" w:color="auto"/>
              <w:bottom w:val="single" w:sz="4" w:space="0" w:color="auto"/>
              <w:right w:val="nil"/>
            </w:tcBorders>
          </w:tcPr>
          <w:p w14:paraId="6CF09E9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w:t>
            </w:r>
          </w:p>
        </w:tc>
      </w:tr>
      <w:tr w:rsidR="00103457" w:rsidRPr="00103457" w14:paraId="34628E8F"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2F057D62"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Nigeria</w:t>
            </w:r>
          </w:p>
        </w:tc>
        <w:tc>
          <w:tcPr>
            <w:tcW w:w="1309" w:type="dxa"/>
            <w:tcBorders>
              <w:top w:val="nil"/>
              <w:left w:val="single" w:sz="4" w:space="0" w:color="auto"/>
              <w:bottom w:val="nil"/>
              <w:right w:val="nil"/>
            </w:tcBorders>
            <w:shd w:val="clear" w:color="auto" w:fill="auto"/>
            <w:noWrap/>
            <w:vAlign w:val="bottom"/>
            <w:hideMark/>
          </w:tcPr>
          <w:p w14:paraId="00A7F25F"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2931.72</w:t>
            </w:r>
          </w:p>
        </w:tc>
        <w:tc>
          <w:tcPr>
            <w:tcW w:w="1080" w:type="dxa"/>
            <w:tcBorders>
              <w:top w:val="nil"/>
              <w:left w:val="nil"/>
              <w:bottom w:val="nil"/>
              <w:right w:val="nil"/>
            </w:tcBorders>
            <w:shd w:val="clear" w:color="auto" w:fill="auto"/>
            <w:noWrap/>
            <w:vAlign w:val="bottom"/>
            <w:hideMark/>
          </w:tcPr>
          <w:p w14:paraId="4609CADA"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100</w:t>
            </w:r>
          </w:p>
        </w:tc>
        <w:tc>
          <w:tcPr>
            <w:tcW w:w="1350" w:type="dxa"/>
            <w:tcBorders>
              <w:top w:val="nil"/>
              <w:left w:val="single" w:sz="4" w:space="0" w:color="auto"/>
              <w:bottom w:val="nil"/>
              <w:right w:val="nil"/>
            </w:tcBorders>
            <w:shd w:val="clear" w:color="auto" w:fill="auto"/>
            <w:noWrap/>
            <w:vAlign w:val="bottom"/>
            <w:hideMark/>
          </w:tcPr>
          <w:p w14:paraId="00B7EAB6"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7012.58</w:t>
            </w:r>
          </w:p>
        </w:tc>
        <w:tc>
          <w:tcPr>
            <w:tcW w:w="1080" w:type="dxa"/>
            <w:tcBorders>
              <w:top w:val="nil"/>
              <w:left w:val="nil"/>
              <w:bottom w:val="nil"/>
              <w:right w:val="single" w:sz="4" w:space="0" w:color="auto"/>
            </w:tcBorders>
            <w:shd w:val="clear" w:color="auto" w:fill="auto"/>
            <w:noWrap/>
            <w:vAlign w:val="bottom"/>
            <w:hideMark/>
          </w:tcPr>
          <w:p w14:paraId="2AB3FB12"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100</w:t>
            </w:r>
          </w:p>
        </w:tc>
        <w:tc>
          <w:tcPr>
            <w:tcW w:w="810" w:type="dxa"/>
            <w:tcBorders>
              <w:top w:val="nil"/>
              <w:left w:val="single" w:sz="4" w:space="0" w:color="auto"/>
              <w:bottom w:val="nil"/>
              <w:right w:val="nil"/>
            </w:tcBorders>
            <w:shd w:val="clear" w:color="auto" w:fill="auto"/>
            <w:noWrap/>
            <w:vAlign w:val="bottom"/>
            <w:hideMark/>
          </w:tcPr>
          <w:p w14:paraId="55B3A8CC"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4.70</w:t>
            </w:r>
          </w:p>
        </w:tc>
        <w:tc>
          <w:tcPr>
            <w:tcW w:w="720" w:type="dxa"/>
            <w:tcBorders>
              <w:top w:val="nil"/>
              <w:left w:val="single" w:sz="4" w:space="0" w:color="auto"/>
              <w:bottom w:val="nil"/>
              <w:right w:val="nil"/>
            </w:tcBorders>
          </w:tcPr>
          <w:p w14:paraId="685F757B"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0.72</w:t>
            </w:r>
          </w:p>
        </w:tc>
        <w:tc>
          <w:tcPr>
            <w:tcW w:w="1260" w:type="dxa"/>
            <w:tcBorders>
              <w:top w:val="nil"/>
              <w:left w:val="single" w:sz="4" w:space="0" w:color="auto"/>
              <w:bottom w:val="nil"/>
              <w:right w:val="nil"/>
            </w:tcBorders>
          </w:tcPr>
          <w:p w14:paraId="312AF043"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0.29</w:t>
            </w:r>
          </w:p>
        </w:tc>
        <w:tc>
          <w:tcPr>
            <w:tcW w:w="720" w:type="dxa"/>
            <w:tcBorders>
              <w:top w:val="nil"/>
              <w:left w:val="single" w:sz="4" w:space="0" w:color="auto"/>
              <w:bottom w:val="nil"/>
              <w:right w:val="nil"/>
            </w:tcBorders>
          </w:tcPr>
          <w:p w14:paraId="5750087D"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1231</w:t>
            </w:r>
          </w:p>
        </w:tc>
      </w:tr>
      <w:tr w:rsidR="00103457" w:rsidRPr="00103457" w14:paraId="41882465"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4403D40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Small</w:t>
            </w:r>
          </w:p>
        </w:tc>
        <w:tc>
          <w:tcPr>
            <w:tcW w:w="1309" w:type="dxa"/>
            <w:tcBorders>
              <w:top w:val="nil"/>
              <w:left w:val="single" w:sz="4" w:space="0" w:color="auto"/>
              <w:bottom w:val="nil"/>
              <w:right w:val="nil"/>
            </w:tcBorders>
            <w:shd w:val="clear" w:color="auto" w:fill="auto"/>
            <w:noWrap/>
            <w:vAlign w:val="bottom"/>
            <w:hideMark/>
          </w:tcPr>
          <w:p w14:paraId="61EAB0D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436.95</w:t>
            </w:r>
          </w:p>
        </w:tc>
        <w:tc>
          <w:tcPr>
            <w:tcW w:w="1080" w:type="dxa"/>
            <w:tcBorders>
              <w:top w:val="nil"/>
              <w:left w:val="nil"/>
              <w:bottom w:val="nil"/>
              <w:right w:val="nil"/>
            </w:tcBorders>
            <w:shd w:val="clear" w:color="auto" w:fill="auto"/>
            <w:noWrap/>
            <w:vAlign w:val="bottom"/>
            <w:hideMark/>
          </w:tcPr>
          <w:p w14:paraId="03900CB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14.90</w:t>
            </w:r>
          </w:p>
        </w:tc>
        <w:tc>
          <w:tcPr>
            <w:tcW w:w="1350" w:type="dxa"/>
            <w:tcBorders>
              <w:top w:val="nil"/>
              <w:left w:val="single" w:sz="4" w:space="0" w:color="auto"/>
              <w:bottom w:val="nil"/>
              <w:right w:val="nil"/>
            </w:tcBorders>
            <w:shd w:val="clear" w:color="auto" w:fill="auto"/>
            <w:noWrap/>
            <w:vAlign w:val="bottom"/>
            <w:hideMark/>
          </w:tcPr>
          <w:p w14:paraId="4843A63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956.97</w:t>
            </w:r>
          </w:p>
        </w:tc>
        <w:tc>
          <w:tcPr>
            <w:tcW w:w="1080" w:type="dxa"/>
            <w:tcBorders>
              <w:top w:val="nil"/>
              <w:left w:val="nil"/>
              <w:bottom w:val="nil"/>
              <w:right w:val="single" w:sz="4" w:space="0" w:color="auto"/>
            </w:tcBorders>
            <w:shd w:val="clear" w:color="auto" w:fill="auto"/>
            <w:noWrap/>
            <w:vAlign w:val="bottom"/>
            <w:hideMark/>
          </w:tcPr>
          <w:p w14:paraId="664B48A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13.65</w:t>
            </w:r>
          </w:p>
        </w:tc>
        <w:tc>
          <w:tcPr>
            <w:tcW w:w="810" w:type="dxa"/>
            <w:tcBorders>
              <w:top w:val="nil"/>
              <w:left w:val="single" w:sz="4" w:space="0" w:color="auto"/>
              <w:bottom w:val="nil"/>
              <w:right w:val="nil"/>
            </w:tcBorders>
            <w:shd w:val="clear" w:color="auto" w:fill="auto"/>
            <w:noWrap/>
            <w:vAlign w:val="bottom"/>
            <w:hideMark/>
          </w:tcPr>
          <w:p w14:paraId="712EA72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4.21</w:t>
            </w:r>
          </w:p>
        </w:tc>
        <w:tc>
          <w:tcPr>
            <w:tcW w:w="720" w:type="dxa"/>
            <w:tcBorders>
              <w:top w:val="nil"/>
              <w:left w:val="single" w:sz="4" w:space="0" w:color="auto"/>
              <w:bottom w:val="nil"/>
              <w:right w:val="nil"/>
            </w:tcBorders>
          </w:tcPr>
          <w:p w14:paraId="25D03CE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0.29</w:t>
            </w:r>
          </w:p>
        </w:tc>
        <w:tc>
          <w:tcPr>
            <w:tcW w:w="1260" w:type="dxa"/>
            <w:tcBorders>
              <w:top w:val="nil"/>
              <w:left w:val="single" w:sz="4" w:space="0" w:color="auto"/>
              <w:bottom w:val="nil"/>
              <w:right w:val="nil"/>
            </w:tcBorders>
          </w:tcPr>
          <w:p w14:paraId="40BCE50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1.54</w:t>
            </w:r>
          </w:p>
        </w:tc>
        <w:tc>
          <w:tcPr>
            <w:tcW w:w="720" w:type="dxa"/>
            <w:tcBorders>
              <w:top w:val="nil"/>
              <w:left w:val="single" w:sz="4" w:space="0" w:color="auto"/>
              <w:bottom w:val="nil"/>
              <w:right w:val="nil"/>
            </w:tcBorders>
          </w:tcPr>
          <w:p w14:paraId="29ABDE9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984</w:t>
            </w:r>
          </w:p>
        </w:tc>
      </w:tr>
      <w:tr w:rsidR="00103457" w:rsidRPr="00103457" w14:paraId="5C253997"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1EE91E1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Medium</w:t>
            </w:r>
          </w:p>
        </w:tc>
        <w:tc>
          <w:tcPr>
            <w:tcW w:w="1309" w:type="dxa"/>
            <w:tcBorders>
              <w:top w:val="nil"/>
              <w:left w:val="single" w:sz="4" w:space="0" w:color="auto"/>
              <w:bottom w:val="nil"/>
              <w:right w:val="nil"/>
            </w:tcBorders>
            <w:shd w:val="clear" w:color="auto" w:fill="auto"/>
            <w:noWrap/>
            <w:vAlign w:val="bottom"/>
            <w:hideMark/>
          </w:tcPr>
          <w:p w14:paraId="70344BA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1127.76</w:t>
            </w:r>
          </w:p>
        </w:tc>
        <w:tc>
          <w:tcPr>
            <w:tcW w:w="1080" w:type="dxa"/>
            <w:tcBorders>
              <w:top w:val="nil"/>
              <w:left w:val="nil"/>
              <w:bottom w:val="nil"/>
              <w:right w:val="nil"/>
            </w:tcBorders>
            <w:shd w:val="clear" w:color="auto" w:fill="auto"/>
            <w:noWrap/>
            <w:vAlign w:val="bottom"/>
            <w:hideMark/>
          </w:tcPr>
          <w:p w14:paraId="2147CDD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38.47</w:t>
            </w:r>
          </w:p>
        </w:tc>
        <w:tc>
          <w:tcPr>
            <w:tcW w:w="1350" w:type="dxa"/>
            <w:tcBorders>
              <w:top w:val="nil"/>
              <w:left w:val="single" w:sz="4" w:space="0" w:color="auto"/>
              <w:bottom w:val="nil"/>
              <w:right w:val="nil"/>
            </w:tcBorders>
            <w:shd w:val="clear" w:color="auto" w:fill="auto"/>
            <w:noWrap/>
            <w:vAlign w:val="bottom"/>
            <w:hideMark/>
          </w:tcPr>
          <w:p w14:paraId="5AB1831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2915.56</w:t>
            </w:r>
          </w:p>
        </w:tc>
        <w:tc>
          <w:tcPr>
            <w:tcW w:w="1080" w:type="dxa"/>
            <w:tcBorders>
              <w:top w:val="nil"/>
              <w:left w:val="nil"/>
              <w:bottom w:val="nil"/>
              <w:right w:val="single" w:sz="4" w:space="0" w:color="auto"/>
            </w:tcBorders>
            <w:shd w:val="clear" w:color="auto" w:fill="auto"/>
            <w:noWrap/>
            <w:vAlign w:val="bottom"/>
            <w:hideMark/>
          </w:tcPr>
          <w:p w14:paraId="66FF8B4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41.58</w:t>
            </w:r>
          </w:p>
        </w:tc>
        <w:tc>
          <w:tcPr>
            <w:tcW w:w="810" w:type="dxa"/>
            <w:tcBorders>
              <w:top w:val="nil"/>
              <w:left w:val="single" w:sz="4" w:space="0" w:color="auto"/>
              <w:bottom w:val="nil"/>
              <w:right w:val="nil"/>
            </w:tcBorders>
            <w:shd w:val="clear" w:color="auto" w:fill="auto"/>
            <w:noWrap/>
            <w:vAlign w:val="bottom"/>
            <w:hideMark/>
          </w:tcPr>
          <w:p w14:paraId="748E44C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5.16</w:t>
            </w:r>
          </w:p>
        </w:tc>
        <w:tc>
          <w:tcPr>
            <w:tcW w:w="720" w:type="dxa"/>
            <w:tcBorders>
              <w:top w:val="nil"/>
              <w:left w:val="single" w:sz="4" w:space="0" w:color="auto"/>
              <w:bottom w:val="nil"/>
              <w:right w:val="nil"/>
            </w:tcBorders>
          </w:tcPr>
          <w:p w14:paraId="10F0A1E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0.60</w:t>
            </w:r>
          </w:p>
        </w:tc>
        <w:tc>
          <w:tcPr>
            <w:tcW w:w="1260" w:type="dxa"/>
            <w:tcBorders>
              <w:top w:val="nil"/>
              <w:left w:val="single" w:sz="4" w:space="0" w:color="auto"/>
              <w:bottom w:val="nil"/>
              <w:right w:val="nil"/>
            </w:tcBorders>
          </w:tcPr>
          <w:p w14:paraId="7A7F726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-0.03</w:t>
            </w:r>
          </w:p>
        </w:tc>
        <w:tc>
          <w:tcPr>
            <w:tcW w:w="720" w:type="dxa"/>
            <w:tcBorders>
              <w:top w:val="nil"/>
              <w:left w:val="single" w:sz="4" w:space="0" w:color="auto"/>
              <w:bottom w:val="nil"/>
              <w:right w:val="nil"/>
            </w:tcBorders>
          </w:tcPr>
          <w:p w14:paraId="0653E92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235</w:t>
            </w:r>
          </w:p>
        </w:tc>
      </w:tr>
      <w:tr w:rsidR="00103457" w:rsidRPr="00103457" w14:paraId="4BDD433B" w14:textId="77777777" w:rsidTr="006F7C17">
        <w:trPr>
          <w:trHeight w:val="312"/>
        </w:trPr>
        <w:tc>
          <w:tcPr>
            <w:tcW w:w="1031" w:type="dxa"/>
            <w:tcBorders>
              <w:top w:val="nil"/>
              <w:left w:val="nil"/>
              <w:bottom w:val="single" w:sz="4" w:space="0" w:color="auto"/>
              <w:right w:val="single" w:sz="4" w:space="0" w:color="auto"/>
            </w:tcBorders>
            <w:shd w:val="clear" w:color="auto" w:fill="auto"/>
            <w:noWrap/>
            <w:vAlign w:val="bottom"/>
            <w:hideMark/>
          </w:tcPr>
          <w:p w14:paraId="1B1F325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Large</w:t>
            </w:r>
          </w:p>
        </w:tc>
        <w:tc>
          <w:tcPr>
            <w:tcW w:w="1309" w:type="dxa"/>
            <w:tcBorders>
              <w:top w:val="nil"/>
              <w:left w:val="single" w:sz="4" w:space="0" w:color="auto"/>
              <w:bottom w:val="single" w:sz="4" w:space="0" w:color="auto"/>
              <w:right w:val="nil"/>
            </w:tcBorders>
            <w:shd w:val="clear" w:color="auto" w:fill="auto"/>
            <w:noWrap/>
            <w:vAlign w:val="bottom"/>
            <w:hideMark/>
          </w:tcPr>
          <w:p w14:paraId="16DA2CD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1367.01</w:t>
            </w:r>
          </w:p>
        </w:tc>
        <w:tc>
          <w:tcPr>
            <w:tcW w:w="1080" w:type="dxa"/>
            <w:tcBorders>
              <w:top w:val="nil"/>
              <w:left w:val="nil"/>
              <w:bottom w:val="single" w:sz="4" w:space="0" w:color="auto"/>
              <w:right w:val="nil"/>
            </w:tcBorders>
            <w:shd w:val="clear" w:color="auto" w:fill="auto"/>
            <w:noWrap/>
            <w:vAlign w:val="bottom"/>
            <w:hideMark/>
          </w:tcPr>
          <w:p w14:paraId="4AF5E3C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46.63</w:t>
            </w:r>
          </w:p>
        </w:tc>
        <w:tc>
          <w:tcPr>
            <w:tcW w:w="1350" w:type="dxa"/>
            <w:tcBorders>
              <w:top w:val="nil"/>
              <w:left w:val="single" w:sz="4" w:space="0" w:color="auto"/>
              <w:bottom w:val="single" w:sz="4" w:space="0" w:color="auto"/>
              <w:right w:val="nil"/>
            </w:tcBorders>
            <w:shd w:val="clear" w:color="auto" w:fill="auto"/>
            <w:noWrap/>
            <w:vAlign w:val="bottom"/>
            <w:hideMark/>
          </w:tcPr>
          <w:p w14:paraId="5631312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3140.06</w:t>
            </w:r>
          </w:p>
        </w:tc>
        <w:tc>
          <w:tcPr>
            <w:tcW w:w="1080" w:type="dxa"/>
            <w:tcBorders>
              <w:top w:val="nil"/>
              <w:left w:val="nil"/>
              <w:bottom w:val="nil"/>
              <w:right w:val="single" w:sz="4" w:space="0" w:color="auto"/>
            </w:tcBorders>
            <w:shd w:val="clear" w:color="auto" w:fill="auto"/>
            <w:noWrap/>
            <w:vAlign w:val="bottom"/>
            <w:hideMark/>
          </w:tcPr>
          <w:p w14:paraId="38384EE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44.78</w:t>
            </w:r>
          </w:p>
        </w:tc>
        <w:tc>
          <w:tcPr>
            <w:tcW w:w="810" w:type="dxa"/>
            <w:tcBorders>
              <w:top w:val="nil"/>
              <w:left w:val="single" w:sz="4" w:space="0" w:color="auto"/>
              <w:bottom w:val="nil"/>
              <w:right w:val="nil"/>
            </w:tcBorders>
            <w:shd w:val="clear" w:color="auto" w:fill="auto"/>
            <w:noWrap/>
            <w:vAlign w:val="bottom"/>
            <w:hideMark/>
          </w:tcPr>
          <w:p w14:paraId="6338FA8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4.47</w:t>
            </w:r>
          </w:p>
        </w:tc>
        <w:tc>
          <w:tcPr>
            <w:tcW w:w="720" w:type="dxa"/>
            <w:tcBorders>
              <w:top w:val="nil"/>
              <w:left w:val="single" w:sz="4" w:space="0" w:color="auto"/>
              <w:bottom w:val="nil"/>
              <w:right w:val="nil"/>
            </w:tcBorders>
          </w:tcPr>
          <w:p w14:paraId="1BEF960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0.84</w:t>
            </w:r>
          </w:p>
        </w:tc>
        <w:tc>
          <w:tcPr>
            <w:tcW w:w="1260" w:type="dxa"/>
            <w:tcBorders>
              <w:top w:val="nil"/>
              <w:left w:val="single" w:sz="4" w:space="0" w:color="auto"/>
              <w:bottom w:val="nil"/>
              <w:right w:val="nil"/>
            </w:tcBorders>
          </w:tcPr>
          <w:p w14:paraId="515BA95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0.04</w:t>
            </w:r>
          </w:p>
        </w:tc>
        <w:tc>
          <w:tcPr>
            <w:tcW w:w="720" w:type="dxa"/>
            <w:tcBorders>
              <w:top w:val="nil"/>
              <w:left w:val="single" w:sz="4" w:space="0" w:color="auto"/>
              <w:bottom w:val="nil"/>
              <w:right w:val="nil"/>
            </w:tcBorders>
          </w:tcPr>
          <w:p w14:paraId="447B5E4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12</w:t>
            </w:r>
          </w:p>
        </w:tc>
      </w:tr>
      <w:tr w:rsidR="00103457" w:rsidRPr="00103457" w14:paraId="29630427"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0268FC10"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Togo</w:t>
            </w:r>
          </w:p>
        </w:tc>
        <w:tc>
          <w:tcPr>
            <w:tcW w:w="1309" w:type="dxa"/>
            <w:tcBorders>
              <w:top w:val="nil"/>
              <w:left w:val="single" w:sz="4" w:space="0" w:color="auto"/>
              <w:bottom w:val="nil"/>
              <w:right w:val="nil"/>
            </w:tcBorders>
            <w:shd w:val="clear" w:color="auto" w:fill="auto"/>
            <w:noWrap/>
            <w:vAlign w:val="bottom"/>
            <w:hideMark/>
          </w:tcPr>
          <w:p w14:paraId="109AAC2F"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160.75</w:t>
            </w:r>
          </w:p>
        </w:tc>
        <w:tc>
          <w:tcPr>
            <w:tcW w:w="1080" w:type="dxa"/>
            <w:tcBorders>
              <w:top w:val="nil"/>
              <w:left w:val="nil"/>
              <w:bottom w:val="nil"/>
              <w:right w:val="nil"/>
            </w:tcBorders>
            <w:shd w:val="clear" w:color="auto" w:fill="auto"/>
            <w:noWrap/>
            <w:vAlign w:val="bottom"/>
            <w:hideMark/>
          </w:tcPr>
          <w:p w14:paraId="18CC4DA9"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100</w:t>
            </w:r>
          </w:p>
        </w:tc>
        <w:tc>
          <w:tcPr>
            <w:tcW w:w="1350" w:type="dxa"/>
            <w:tcBorders>
              <w:top w:val="nil"/>
              <w:left w:val="single" w:sz="4" w:space="0" w:color="auto"/>
              <w:bottom w:val="nil"/>
              <w:right w:val="nil"/>
            </w:tcBorders>
            <w:shd w:val="clear" w:color="auto" w:fill="auto"/>
            <w:noWrap/>
            <w:vAlign w:val="bottom"/>
            <w:hideMark/>
          </w:tcPr>
          <w:p w14:paraId="70CC1AEB"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331.77</w:t>
            </w:r>
          </w:p>
        </w:tc>
        <w:tc>
          <w:tcPr>
            <w:tcW w:w="1080" w:type="dxa"/>
            <w:tcBorders>
              <w:top w:val="single" w:sz="4" w:space="0" w:color="auto"/>
              <w:left w:val="nil"/>
              <w:bottom w:val="nil"/>
              <w:right w:val="single" w:sz="4" w:space="0" w:color="auto"/>
            </w:tcBorders>
            <w:shd w:val="clear" w:color="auto" w:fill="auto"/>
            <w:noWrap/>
            <w:vAlign w:val="bottom"/>
            <w:hideMark/>
          </w:tcPr>
          <w:p w14:paraId="613190FF"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100</w:t>
            </w:r>
          </w:p>
        </w:tc>
        <w:tc>
          <w:tcPr>
            <w:tcW w:w="810" w:type="dxa"/>
            <w:tcBorders>
              <w:top w:val="single" w:sz="4" w:space="0" w:color="auto"/>
              <w:left w:val="single" w:sz="4" w:space="0" w:color="auto"/>
              <w:bottom w:val="nil"/>
              <w:right w:val="nil"/>
            </w:tcBorders>
            <w:shd w:val="clear" w:color="auto" w:fill="auto"/>
            <w:noWrap/>
            <w:vAlign w:val="bottom"/>
            <w:hideMark/>
          </w:tcPr>
          <w:p w14:paraId="45946891"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3.89</w:t>
            </w:r>
          </w:p>
        </w:tc>
        <w:tc>
          <w:tcPr>
            <w:tcW w:w="720" w:type="dxa"/>
            <w:tcBorders>
              <w:top w:val="single" w:sz="4" w:space="0" w:color="auto"/>
              <w:left w:val="single" w:sz="4" w:space="0" w:color="auto"/>
              <w:bottom w:val="nil"/>
              <w:right w:val="nil"/>
            </w:tcBorders>
          </w:tcPr>
          <w:p w14:paraId="697C6C06"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1.07</w:t>
            </w:r>
          </w:p>
        </w:tc>
        <w:tc>
          <w:tcPr>
            <w:tcW w:w="1260" w:type="dxa"/>
            <w:tcBorders>
              <w:top w:val="single" w:sz="4" w:space="0" w:color="auto"/>
              <w:left w:val="single" w:sz="4" w:space="0" w:color="auto"/>
              <w:bottom w:val="nil"/>
              <w:right w:val="nil"/>
            </w:tcBorders>
          </w:tcPr>
          <w:p w14:paraId="65490ADA"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0.84</w:t>
            </w:r>
          </w:p>
        </w:tc>
        <w:tc>
          <w:tcPr>
            <w:tcW w:w="720" w:type="dxa"/>
            <w:tcBorders>
              <w:top w:val="single" w:sz="4" w:space="0" w:color="auto"/>
              <w:left w:val="single" w:sz="4" w:space="0" w:color="auto"/>
              <w:bottom w:val="nil"/>
              <w:right w:val="nil"/>
            </w:tcBorders>
          </w:tcPr>
          <w:p w14:paraId="3E3243E2"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53</w:t>
            </w:r>
          </w:p>
        </w:tc>
      </w:tr>
      <w:tr w:rsidR="00103457" w:rsidRPr="00103457" w14:paraId="03EACC8B"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56A317D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Small</w:t>
            </w:r>
          </w:p>
        </w:tc>
        <w:tc>
          <w:tcPr>
            <w:tcW w:w="1309" w:type="dxa"/>
            <w:tcBorders>
              <w:top w:val="nil"/>
              <w:left w:val="single" w:sz="4" w:space="0" w:color="auto"/>
              <w:bottom w:val="nil"/>
              <w:right w:val="nil"/>
            </w:tcBorders>
            <w:shd w:val="clear" w:color="auto" w:fill="auto"/>
            <w:noWrap/>
            <w:vAlign w:val="bottom"/>
            <w:hideMark/>
          </w:tcPr>
          <w:p w14:paraId="49D6A4D7"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32.01</w:t>
            </w:r>
          </w:p>
        </w:tc>
        <w:tc>
          <w:tcPr>
            <w:tcW w:w="1080" w:type="dxa"/>
            <w:tcBorders>
              <w:top w:val="nil"/>
              <w:left w:val="nil"/>
              <w:bottom w:val="nil"/>
              <w:right w:val="nil"/>
            </w:tcBorders>
            <w:shd w:val="clear" w:color="auto" w:fill="auto"/>
            <w:noWrap/>
            <w:vAlign w:val="bottom"/>
            <w:hideMark/>
          </w:tcPr>
          <w:p w14:paraId="4A7EB11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19.91</w:t>
            </w:r>
          </w:p>
        </w:tc>
        <w:tc>
          <w:tcPr>
            <w:tcW w:w="1350" w:type="dxa"/>
            <w:tcBorders>
              <w:top w:val="nil"/>
              <w:left w:val="single" w:sz="4" w:space="0" w:color="auto"/>
              <w:bottom w:val="nil"/>
              <w:right w:val="nil"/>
            </w:tcBorders>
            <w:shd w:val="clear" w:color="auto" w:fill="auto"/>
            <w:noWrap/>
            <w:vAlign w:val="bottom"/>
            <w:hideMark/>
          </w:tcPr>
          <w:p w14:paraId="795D535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55.55</w:t>
            </w:r>
          </w:p>
        </w:tc>
        <w:tc>
          <w:tcPr>
            <w:tcW w:w="1080" w:type="dxa"/>
            <w:tcBorders>
              <w:top w:val="nil"/>
              <w:left w:val="nil"/>
              <w:bottom w:val="nil"/>
              <w:right w:val="single" w:sz="4" w:space="0" w:color="auto"/>
            </w:tcBorders>
            <w:shd w:val="clear" w:color="auto" w:fill="auto"/>
            <w:noWrap/>
            <w:vAlign w:val="bottom"/>
            <w:hideMark/>
          </w:tcPr>
          <w:p w14:paraId="0C52239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16.75</w:t>
            </w:r>
          </w:p>
        </w:tc>
        <w:tc>
          <w:tcPr>
            <w:tcW w:w="810" w:type="dxa"/>
            <w:tcBorders>
              <w:top w:val="nil"/>
              <w:left w:val="single" w:sz="4" w:space="0" w:color="auto"/>
              <w:bottom w:val="nil"/>
              <w:right w:val="nil"/>
            </w:tcBorders>
            <w:shd w:val="clear" w:color="auto" w:fill="auto"/>
            <w:noWrap/>
            <w:vAlign w:val="bottom"/>
            <w:hideMark/>
          </w:tcPr>
          <w:p w14:paraId="462C37B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2.94</w:t>
            </w:r>
          </w:p>
        </w:tc>
        <w:tc>
          <w:tcPr>
            <w:tcW w:w="720" w:type="dxa"/>
            <w:tcBorders>
              <w:top w:val="nil"/>
              <w:left w:val="single" w:sz="4" w:space="0" w:color="auto"/>
              <w:bottom w:val="nil"/>
              <w:right w:val="nil"/>
            </w:tcBorders>
          </w:tcPr>
          <w:p w14:paraId="296140F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0.49</w:t>
            </w:r>
          </w:p>
        </w:tc>
        <w:tc>
          <w:tcPr>
            <w:tcW w:w="1260" w:type="dxa"/>
            <w:tcBorders>
              <w:top w:val="nil"/>
              <w:left w:val="single" w:sz="4" w:space="0" w:color="auto"/>
              <w:bottom w:val="nil"/>
              <w:right w:val="nil"/>
            </w:tcBorders>
          </w:tcPr>
          <w:p w14:paraId="130712E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0.47</w:t>
            </w:r>
          </w:p>
        </w:tc>
        <w:tc>
          <w:tcPr>
            <w:tcW w:w="720" w:type="dxa"/>
            <w:tcBorders>
              <w:top w:val="nil"/>
              <w:left w:val="single" w:sz="4" w:space="0" w:color="auto"/>
              <w:bottom w:val="nil"/>
              <w:right w:val="nil"/>
            </w:tcBorders>
          </w:tcPr>
          <w:p w14:paraId="116C544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45</w:t>
            </w:r>
          </w:p>
        </w:tc>
      </w:tr>
      <w:tr w:rsidR="00103457" w:rsidRPr="00103457" w14:paraId="0BD0911F" w14:textId="77777777" w:rsidTr="006F7C17">
        <w:trPr>
          <w:trHeight w:val="312"/>
        </w:trPr>
        <w:tc>
          <w:tcPr>
            <w:tcW w:w="1031" w:type="dxa"/>
            <w:tcBorders>
              <w:top w:val="nil"/>
              <w:left w:val="nil"/>
              <w:bottom w:val="nil"/>
              <w:right w:val="single" w:sz="4" w:space="0" w:color="auto"/>
            </w:tcBorders>
            <w:shd w:val="clear" w:color="auto" w:fill="auto"/>
            <w:noWrap/>
            <w:vAlign w:val="bottom"/>
            <w:hideMark/>
          </w:tcPr>
          <w:p w14:paraId="61B5974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Medium</w:t>
            </w:r>
          </w:p>
        </w:tc>
        <w:tc>
          <w:tcPr>
            <w:tcW w:w="1309" w:type="dxa"/>
            <w:tcBorders>
              <w:top w:val="nil"/>
              <w:left w:val="single" w:sz="4" w:space="0" w:color="auto"/>
              <w:bottom w:val="nil"/>
              <w:right w:val="nil"/>
            </w:tcBorders>
            <w:shd w:val="clear" w:color="auto" w:fill="auto"/>
            <w:noWrap/>
            <w:vAlign w:val="bottom"/>
            <w:hideMark/>
          </w:tcPr>
          <w:p w14:paraId="0E7A8EF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27.40</w:t>
            </w:r>
          </w:p>
        </w:tc>
        <w:tc>
          <w:tcPr>
            <w:tcW w:w="1080" w:type="dxa"/>
            <w:tcBorders>
              <w:top w:val="nil"/>
              <w:left w:val="nil"/>
              <w:bottom w:val="nil"/>
              <w:right w:val="nil"/>
            </w:tcBorders>
            <w:shd w:val="clear" w:color="auto" w:fill="auto"/>
            <w:noWrap/>
            <w:vAlign w:val="bottom"/>
            <w:hideMark/>
          </w:tcPr>
          <w:p w14:paraId="0ECC38D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17.05</w:t>
            </w:r>
          </w:p>
        </w:tc>
        <w:tc>
          <w:tcPr>
            <w:tcW w:w="1350" w:type="dxa"/>
            <w:tcBorders>
              <w:top w:val="nil"/>
              <w:left w:val="single" w:sz="4" w:space="0" w:color="auto"/>
              <w:bottom w:val="nil"/>
              <w:right w:val="nil"/>
            </w:tcBorders>
            <w:shd w:val="clear" w:color="auto" w:fill="auto"/>
            <w:noWrap/>
            <w:vAlign w:val="bottom"/>
            <w:hideMark/>
          </w:tcPr>
          <w:p w14:paraId="4BAE053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65.40</w:t>
            </w:r>
          </w:p>
        </w:tc>
        <w:tc>
          <w:tcPr>
            <w:tcW w:w="1080" w:type="dxa"/>
            <w:tcBorders>
              <w:top w:val="nil"/>
              <w:left w:val="nil"/>
              <w:bottom w:val="nil"/>
              <w:right w:val="single" w:sz="4" w:space="0" w:color="auto"/>
            </w:tcBorders>
            <w:shd w:val="clear" w:color="auto" w:fill="auto"/>
            <w:noWrap/>
            <w:vAlign w:val="bottom"/>
            <w:hideMark/>
          </w:tcPr>
          <w:p w14:paraId="6E0A2E9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19.71</w:t>
            </w:r>
          </w:p>
        </w:tc>
        <w:tc>
          <w:tcPr>
            <w:tcW w:w="810" w:type="dxa"/>
            <w:tcBorders>
              <w:top w:val="nil"/>
              <w:left w:val="single" w:sz="4" w:space="0" w:color="auto"/>
              <w:bottom w:val="nil"/>
              <w:right w:val="nil"/>
            </w:tcBorders>
            <w:shd w:val="clear" w:color="auto" w:fill="auto"/>
            <w:noWrap/>
            <w:vAlign w:val="bottom"/>
            <w:hideMark/>
          </w:tcPr>
          <w:p w14:paraId="17AB7357"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4.68</w:t>
            </w:r>
          </w:p>
        </w:tc>
        <w:tc>
          <w:tcPr>
            <w:tcW w:w="720" w:type="dxa"/>
            <w:tcBorders>
              <w:top w:val="nil"/>
              <w:left w:val="single" w:sz="4" w:space="0" w:color="auto"/>
              <w:bottom w:val="nil"/>
              <w:right w:val="nil"/>
            </w:tcBorders>
          </w:tcPr>
          <w:p w14:paraId="2774818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1.12</w:t>
            </w:r>
          </w:p>
        </w:tc>
        <w:tc>
          <w:tcPr>
            <w:tcW w:w="1260" w:type="dxa"/>
            <w:tcBorders>
              <w:top w:val="nil"/>
              <w:left w:val="single" w:sz="4" w:space="0" w:color="auto"/>
              <w:bottom w:val="nil"/>
              <w:right w:val="nil"/>
            </w:tcBorders>
          </w:tcPr>
          <w:p w14:paraId="3B9A2FB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0.49</w:t>
            </w:r>
          </w:p>
        </w:tc>
        <w:tc>
          <w:tcPr>
            <w:tcW w:w="720" w:type="dxa"/>
            <w:tcBorders>
              <w:top w:val="nil"/>
              <w:left w:val="single" w:sz="4" w:space="0" w:color="auto"/>
              <w:bottom w:val="nil"/>
              <w:right w:val="nil"/>
            </w:tcBorders>
          </w:tcPr>
          <w:p w14:paraId="2524B21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7</w:t>
            </w:r>
          </w:p>
        </w:tc>
      </w:tr>
      <w:tr w:rsidR="00103457" w:rsidRPr="00103457" w14:paraId="717C24F3" w14:textId="77777777" w:rsidTr="006F7C17">
        <w:trPr>
          <w:trHeight w:val="312"/>
        </w:trPr>
        <w:tc>
          <w:tcPr>
            <w:tcW w:w="1031" w:type="dxa"/>
            <w:tcBorders>
              <w:top w:val="nil"/>
              <w:left w:val="nil"/>
              <w:bottom w:val="single" w:sz="4" w:space="0" w:color="auto"/>
              <w:right w:val="single" w:sz="4" w:space="0" w:color="auto"/>
            </w:tcBorders>
            <w:shd w:val="clear" w:color="auto" w:fill="auto"/>
            <w:noWrap/>
            <w:vAlign w:val="bottom"/>
            <w:hideMark/>
          </w:tcPr>
          <w:p w14:paraId="5B5BFC4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Large</w:t>
            </w:r>
          </w:p>
        </w:tc>
        <w:tc>
          <w:tcPr>
            <w:tcW w:w="1309" w:type="dxa"/>
            <w:tcBorders>
              <w:top w:val="nil"/>
              <w:left w:val="single" w:sz="4" w:space="0" w:color="auto"/>
              <w:bottom w:val="single" w:sz="4" w:space="0" w:color="auto"/>
              <w:right w:val="nil"/>
            </w:tcBorders>
            <w:shd w:val="clear" w:color="auto" w:fill="auto"/>
            <w:noWrap/>
            <w:vAlign w:val="bottom"/>
            <w:hideMark/>
          </w:tcPr>
          <w:p w14:paraId="72EAC5A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101.34</w:t>
            </w:r>
          </w:p>
        </w:tc>
        <w:tc>
          <w:tcPr>
            <w:tcW w:w="1080" w:type="dxa"/>
            <w:tcBorders>
              <w:top w:val="nil"/>
              <w:left w:val="nil"/>
              <w:bottom w:val="single" w:sz="4" w:space="0" w:color="auto"/>
              <w:right w:val="nil"/>
            </w:tcBorders>
            <w:shd w:val="clear" w:color="auto" w:fill="auto"/>
            <w:noWrap/>
            <w:vAlign w:val="bottom"/>
            <w:hideMark/>
          </w:tcPr>
          <w:p w14:paraId="33AC790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63.04</w:t>
            </w:r>
          </w:p>
        </w:tc>
        <w:tc>
          <w:tcPr>
            <w:tcW w:w="1350" w:type="dxa"/>
            <w:tcBorders>
              <w:top w:val="nil"/>
              <w:left w:val="single" w:sz="4" w:space="0" w:color="auto"/>
              <w:bottom w:val="single" w:sz="4" w:space="0" w:color="auto"/>
              <w:right w:val="nil"/>
            </w:tcBorders>
            <w:shd w:val="clear" w:color="auto" w:fill="auto"/>
            <w:noWrap/>
            <w:vAlign w:val="bottom"/>
            <w:hideMark/>
          </w:tcPr>
          <w:p w14:paraId="7AAC86D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210.82</w:t>
            </w:r>
          </w:p>
        </w:tc>
        <w:tc>
          <w:tcPr>
            <w:tcW w:w="1080" w:type="dxa"/>
            <w:tcBorders>
              <w:top w:val="nil"/>
              <w:left w:val="nil"/>
              <w:bottom w:val="single" w:sz="4" w:space="0" w:color="auto"/>
              <w:right w:val="single" w:sz="4" w:space="0" w:color="auto"/>
            </w:tcBorders>
            <w:shd w:val="clear" w:color="auto" w:fill="auto"/>
            <w:noWrap/>
            <w:vAlign w:val="bottom"/>
            <w:hideMark/>
          </w:tcPr>
          <w:p w14:paraId="47BCE86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63.54</w:t>
            </w:r>
          </w:p>
        </w:tc>
        <w:tc>
          <w:tcPr>
            <w:tcW w:w="810" w:type="dxa"/>
            <w:tcBorders>
              <w:top w:val="nil"/>
              <w:left w:val="single" w:sz="4" w:space="0" w:color="auto"/>
              <w:bottom w:val="single" w:sz="4" w:space="0" w:color="auto"/>
              <w:right w:val="nil"/>
            </w:tcBorders>
            <w:shd w:val="clear" w:color="auto" w:fill="auto"/>
            <w:noWrap/>
            <w:vAlign w:val="bottom"/>
            <w:hideMark/>
          </w:tcPr>
          <w:p w14:paraId="352B8CC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3.93</w:t>
            </w:r>
          </w:p>
        </w:tc>
        <w:tc>
          <w:tcPr>
            <w:tcW w:w="720" w:type="dxa"/>
            <w:tcBorders>
              <w:top w:val="nil"/>
              <w:left w:val="single" w:sz="4" w:space="0" w:color="auto"/>
              <w:bottom w:val="single" w:sz="4" w:space="0" w:color="auto"/>
              <w:right w:val="nil"/>
            </w:tcBorders>
          </w:tcPr>
          <w:p w14:paraId="62C5A42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0.68</w:t>
            </w:r>
          </w:p>
        </w:tc>
        <w:tc>
          <w:tcPr>
            <w:tcW w:w="1260" w:type="dxa"/>
            <w:tcBorders>
              <w:top w:val="nil"/>
              <w:left w:val="single" w:sz="4" w:space="0" w:color="auto"/>
              <w:bottom w:val="single" w:sz="4" w:space="0" w:color="auto"/>
              <w:right w:val="nil"/>
            </w:tcBorders>
          </w:tcPr>
          <w:p w14:paraId="533887C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0.23</w:t>
            </w:r>
          </w:p>
        </w:tc>
        <w:tc>
          <w:tcPr>
            <w:tcW w:w="720" w:type="dxa"/>
            <w:tcBorders>
              <w:top w:val="nil"/>
              <w:left w:val="single" w:sz="4" w:space="0" w:color="auto"/>
              <w:bottom w:val="single" w:sz="4" w:space="0" w:color="auto"/>
              <w:right w:val="nil"/>
            </w:tcBorders>
          </w:tcPr>
          <w:p w14:paraId="3ABCA11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1</w:t>
            </w:r>
          </w:p>
        </w:tc>
      </w:tr>
    </w:tbl>
    <w:p w14:paraId="42A27052" w14:textId="4EBB6083" w:rsidR="00103457" w:rsidRPr="00103457" w:rsidRDefault="00103457" w:rsidP="00103457">
      <w:pPr>
        <w:spacing w:before="240"/>
        <w:ind w:firstLine="360"/>
        <w:rPr>
          <w:rFonts w:ascii="Times New Roman" w:hAnsi="Times New Roman"/>
          <w:color w:val="000000"/>
        </w:rPr>
      </w:pPr>
      <w:r w:rsidRPr="00103457">
        <w:rPr>
          <w:rFonts w:ascii="Times New Roman" w:hAnsi="Times New Roman"/>
          <w:color w:val="000000"/>
        </w:rPr>
        <w:t>The distribution of expansion rates across city types changed over the study period (</w:t>
      </w:r>
      <w:r w:rsidRPr="00103457">
        <w:rPr>
          <w:rFonts w:ascii="Times New Roman" w:hAnsi="Times New Roman"/>
          <w:color w:val="000000"/>
        </w:rPr>
        <w:fldChar w:fldCharType="begin"/>
      </w:r>
      <w:r w:rsidRPr="00103457">
        <w:rPr>
          <w:rFonts w:ascii="Times New Roman" w:hAnsi="Times New Roman"/>
          <w:color w:val="000000"/>
        </w:rPr>
        <w:instrText xml:space="preserve"> REF _Ref144838763 \h  \* MERGEFORMAT </w:instrText>
      </w:r>
      <w:r w:rsidRPr="00103457">
        <w:rPr>
          <w:rFonts w:ascii="Times New Roman" w:hAnsi="Times New Roman"/>
          <w:color w:val="000000"/>
        </w:rPr>
      </w:r>
      <w:r w:rsidRPr="00103457">
        <w:rPr>
          <w:rFonts w:ascii="Times New Roman" w:hAnsi="Times New Roman"/>
          <w:color w:val="000000"/>
        </w:rPr>
        <w:fldChar w:fldCharType="separate"/>
      </w:r>
      <w:r w:rsidR="00B129D9" w:rsidRPr="00B129D9">
        <w:rPr>
          <w:rFonts w:ascii="Times New Roman" w:hAnsi="Times New Roman"/>
          <w:color w:val="000000"/>
        </w:rPr>
        <w:t xml:space="preserve">Figure </w:t>
      </w:r>
      <w:r w:rsidR="00B129D9" w:rsidRPr="00B129D9">
        <w:rPr>
          <w:rFonts w:ascii="Times New Roman" w:hAnsi="Times New Roman"/>
          <w:noProof/>
          <w:color w:val="000000"/>
        </w:rPr>
        <w:t>3</w:t>
      </w:r>
      <w:r w:rsidRPr="00103457">
        <w:rPr>
          <w:rFonts w:ascii="Times New Roman" w:hAnsi="Times New Roman"/>
          <w:color w:val="000000"/>
        </w:rPr>
        <w:fldChar w:fldCharType="end"/>
      </w:r>
      <w:r w:rsidRPr="00103457">
        <w:rPr>
          <w:rFonts w:ascii="Times New Roman" w:hAnsi="Times New Roman"/>
          <w:color w:val="000000"/>
        </w:rPr>
        <w:t xml:space="preserve">). There were declining trends of expansion rates in large cities across all four countries (Table </w:t>
      </w:r>
      <w:r w:rsidRPr="00103457">
        <w:rPr>
          <w:rFonts w:ascii="Times New Roman" w:hAnsi="Times New Roman"/>
          <w:color w:val="000000"/>
        </w:rPr>
        <w:lastRenderedPageBreak/>
        <w:t>S1). Medium cities' expansion rates declined in Benin and Nigeria and increased in Togo. Small</w:t>
      </w:r>
      <w:r w:rsidRPr="00103457" w:rsidDel="00BC1A21">
        <w:rPr>
          <w:rFonts w:ascii="Times New Roman" w:hAnsi="Times New Roman"/>
          <w:color w:val="000000"/>
        </w:rPr>
        <w:t xml:space="preserve"> cit</w:t>
      </w:r>
      <w:r w:rsidRPr="00103457">
        <w:rPr>
          <w:rFonts w:ascii="Times New Roman" w:hAnsi="Times New Roman"/>
          <w:color w:val="000000"/>
        </w:rPr>
        <w:t>ies</w:t>
      </w:r>
      <w:r w:rsidRPr="00103457" w:rsidDel="00BC1A21">
        <w:rPr>
          <w:rFonts w:ascii="Times New Roman" w:hAnsi="Times New Roman"/>
          <w:color w:val="000000"/>
        </w:rPr>
        <w:t xml:space="preserve"> </w:t>
      </w:r>
      <w:r w:rsidRPr="00103457">
        <w:rPr>
          <w:rFonts w:ascii="Times New Roman" w:hAnsi="Times New Roman"/>
          <w:color w:val="000000"/>
        </w:rPr>
        <w:t>expansion rates increased in Ghana and Togo. At the beginning of the study period, expansion rates in large cities were mostly equal to or higher than in small and medium cities (</w:t>
      </w:r>
      <w:r w:rsidRPr="00103457">
        <w:rPr>
          <w:rFonts w:ascii="Times New Roman" w:hAnsi="Times New Roman"/>
          <w:color w:val="000000"/>
        </w:rPr>
        <w:fldChar w:fldCharType="begin"/>
      </w:r>
      <w:r w:rsidRPr="00103457">
        <w:rPr>
          <w:rFonts w:ascii="Times New Roman" w:hAnsi="Times New Roman"/>
          <w:color w:val="000000"/>
        </w:rPr>
        <w:instrText xml:space="preserve"> REF _Ref144838763 \h  \* MERGEFORMAT </w:instrText>
      </w:r>
      <w:r w:rsidRPr="00103457">
        <w:rPr>
          <w:rFonts w:ascii="Times New Roman" w:hAnsi="Times New Roman"/>
          <w:color w:val="000000"/>
        </w:rPr>
      </w:r>
      <w:r w:rsidRPr="00103457">
        <w:rPr>
          <w:rFonts w:ascii="Times New Roman" w:hAnsi="Times New Roman"/>
          <w:color w:val="000000"/>
        </w:rPr>
        <w:fldChar w:fldCharType="separate"/>
      </w:r>
      <w:r w:rsidR="00B129D9" w:rsidRPr="00B129D9">
        <w:rPr>
          <w:rFonts w:ascii="Times New Roman" w:hAnsi="Times New Roman"/>
          <w:color w:val="000000"/>
        </w:rPr>
        <w:t xml:space="preserve">Figure </w:t>
      </w:r>
      <w:r w:rsidR="00B129D9" w:rsidRPr="00B129D9">
        <w:rPr>
          <w:rFonts w:ascii="Times New Roman" w:hAnsi="Times New Roman"/>
          <w:noProof/>
          <w:color w:val="000000"/>
        </w:rPr>
        <w:t>3</w:t>
      </w:r>
      <w:r w:rsidRPr="00103457">
        <w:rPr>
          <w:rFonts w:ascii="Times New Roman" w:hAnsi="Times New Roman"/>
          <w:color w:val="000000"/>
        </w:rPr>
        <w:fldChar w:fldCharType="end"/>
      </w:r>
      <w:r w:rsidRPr="00103457">
        <w:rPr>
          <w:rFonts w:ascii="Times New Roman" w:hAnsi="Times New Roman"/>
          <w:color w:val="000000"/>
        </w:rPr>
        <w:t xml:space="preserve"> and S1). However, by the end of the study period, expansion rates in large cities were lower than rates in small and medium cities in each country.</w:t>
      </w:r>
    </w:p>
    <w:p w14:paraId="6CBBBEF2" w14:textId="3447475B" w:rsidR="00103457" w:rsidRPr="00103457" w:rsidRDefault="00103457" w:rsidP="00103457">
      <w:pPr>
        <w:keepNext/>
        <w:ind w:firstLine="360"/>
        <w:rPr>
          <w:rFonts w:ascii="Times New Roman" w:hAnsi="Times New Roman"/>
          <w:color w:val="000000"/>
        </w:rPr>
      </w:pPr>
      <w:r w:rsidRPr="00103457">
        <w:rPr>
          <w:rFonts w:ascii="Times New Roman" w:hAnsi="Times New Roman"/>
          <w:color w:val="000000"/>
        </w:rPr>
        <w:t>The distribution of urban expansion hotspots was uneven across the four countries from 2001 – 2020 (</w:t>
      </w:r>
      <w:r w:rsidRPr="00103457">
        <w:rPr>
          <w:rFonts w:ascii="Times New Roman" w:hAnsi="Times New Roman"/>
          <w:color w:val="000000"/>
        </w:rPr>
        <w:fldChar w:fldCharType="begin"/>
      </w:r>
      <w:r w:rsidRPr="00103457">
        <w:rPr>
          <w:rFonts w:ascii="Times New Roman" w:hAnsi="Times New Roman"/>
          <w:color w:val="000000"/>
        </w:rPr>
        <w:instrText xml:space="preserve"> REF _Ref142644113  \* MERGEFORMAT </w:instrText>
      </w:r>
      <w:r w:rsidRPr="00103457">
        <w:rPr>
          <w:rFonts w:ascii="Times New Roman" w:hAnsi="Times New Roman"/>
          <w:color w:val="000000"/>
        </w:rPr>
        <w:fldChar w:fldCharType="separate"/>
      </w:r>
      <w:r w:rsidR="00B129D9" w:rsidRPr="00B129D9">
        <w:rPr>
          <w:rFonts w:ascii="Times New Roman" w:hAnsi="Times New Roman"/>
          <w:color w:val="000000"/>
        </w:rPr>
        <w:t>Figure 4</w:t>
      </w:r>
      <w:r w:rsidRPr="00103457">
        <w:rPr>
          <w:rFonts w:ascii="Times New Roman" w:hAnsi="Times New Roman"/>
          <w:color w:val="000000"/>
        </w:rPr>
        <w:fldChar w:fldCharType="end"/>
      </w:r>
      <w:r w:rsidRPr="00103457">
        <w:rPr>
          <w:rFonts w:ascii="Times New Roman" w:hAnsi="Times New Roman"/>
          <w:color w:val="000000"/>
        </w:rPr>
        <w:t>). In Ghana,</w:t>
      </w:r>
      <w:r w:rsidRPr="00103457" w:rsidDel="001C0440">
        <w:rPr>
          <w:rFonts w:ascii="Times New Roman" w:hAnsi="Times New Roman"/>
          <w:color w:val="000000"/>
        </w:rPr>
        <w:t xml:space="preserve"> </w:t>
      </w:r>
      <w:r w:rsidRPr="00103457">
        <w:rPr>
          <w:rFonts w:ascii="Times New Roman" w:hAnsi="Times New Roman"/>
          <w:color w:val="000000"/>
        </w:rPr>
        <w:t>there were high expansion rates throughout most of the country except the extreme northern and southern regions. In Togo and Benin, higher expansion rates were concentrated in the northern parts. In Nigeria, the most rapidly expanding cities were concentrated along the coastline. However, there were high expansion rates in some administrative units in central and northern parts of the country.</w:t>
      </w:r>
    </w:p>
    <w:p w14:paraId="79993CDA" w14:textId="044C2579" w:rsidR="00103457" w:rsidRPr="00103457" w:rsidRDefault="00103457" w:rsidP="00103457">
      <w:pPr>
        <w:suppressLineNumbers/>
        <w:rPr>
          <w:rFonts w:ascii="Times New Roman" w:hAnsi="Times New Roman"/>
          <w:color w:val="000000"/>
        </w:rPr>
      </w:pPr>
      <w:r w:rsidRPr="00103457">
        <w:rPr>
          <w:rFonts w:ascii="Times New Roman" w:hAnsi="Times New Roman"/>
          <w:noProof/>
          <w:color w:val="000000"/>
          <w:lang w:bidi="ar-SA"/>
        </w:rPr>
        <w:drawing>
          <wp:inline distT="0" distB="0" distL="0" distR="0" wp14:anchorId="054213CC" wp14:editId="2613A525">
            <wp:extent cx="5769500" cy="3189251"/>
            <wp:effectExtent l="19050" t="19050" r="22225" b="11430"/>
            <wp:docPr id="1899276153" name="Picture 5"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76153" name="Picture 5" descr="A map of the united stat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9500" cy="3189251"/>
                    </a:xfrm>
                    <a:prstGeom prst="rect">
                      <a:avLst/>
                    </a:prstGeom>
                    <a:ln w="6350">
                      <a:solidFill>
                        <a:sysClr val="windowText" lastClr="000000"/>
                      </a:solidFill>
                    </a:ln>
                  </pic:spPr>
                </pic:pic>
              </a:graphicData>
            </a:graphic>
          </wp:inline>
        </w:drawing>
      </w:r>
    </w:p>
    <w:p w14:paraId="06C0699D" w14:textId="69645600" w:rsidR="00103457" w:rsidRPr="00103457" w:rsidRDefault="00103457" w:rsidP="006F53AA">
      <w:pPr>
        <w:suppressLineNumbers/>
        <w:spacing w:line="240" w:lineRule="auto"/>
        <w:rPr>
          <w:rFonts w:ascii="Times New Roman" w:hAnsi="Times New Roman"/>
          <w:bCs/>
          <w:color w:val="000000"/>
        </w:rPr>
      </w:pPr>
      <w:bookmarkStart w:id="52" w:name="_Ref142644113"/>
      <w:bookmarkStart w:id="53" w:name="_Toc172233501"/>
      <w:r w:rsidRPr="007D7640">
        <w:rPr>
          <w:rFonts w:ascii="Times New Roman" w:hAnsi="Times New Roman"/>
          <w:b/>
          <w:color w:val="000000"/>
        </w:rPr>
        <w:t xml:space="preserve">Figure </w:t>
      </w:r>
      <w:r w:rsidRPr="007D7640">
        <w:rPr>
          <w:rFonts w:ascii="Times New Roman" w:hAnsi="Times New Roman"/>
          <w:b/>
          <w:i/>
          <w:color w:val="000000"/>
        </w:rPr>
        <w:fldChar w:fldCharType="begin"/>
      </w:r>
      <w:r w:rsidRPr="007D7640">
        <w:rPr>
          <w:rFonts w:ascii="Times New Roman" w:hAnsi="Times New Roman"/>
          <w:b/>
          <w:color w:val="000000"/>
        </w:rPr>
        <w:instrText xml:space="preserve"> SEQ Figure \* ARABIC </w:instrText>
      </w:r>
      <w:r w:rsidRPr="007D7640">
        <w:rPr>
          <w:rFonts w:ascii="Times New Roman" w:hAnsi="Times New Roman"/>
          <w:b/>
          <w:i/>
          <w:color w:val="000000"/>
        </w:rPr>
        <w:fldChar w:fldCharType="separate"/>
      </w:r>
      <w:r w:rsidR="00B129D9">
        <w:rPr>
          <w:rFonts w:ascii="Times New Roman" w:hAnsi="Times New Roman"/>
          <w:b/>
          <w:noProof/>
          <w:color w:val="000000"/>
        </w:rPr>
        <w:t>4</w:t>
      </w:r>
      <w:r w:rsidRPr="007D7640">
        <w:rPr>
          <w:rFonts w:ascii="Times New Roman" w:hAnsi="Times New Roman"/>
          <w:b/>
          <w:i/>
          <w:color w:val="000000"/>
        </w:rPr>
        <w:fldChar w:fldCharType="end"/>
      </w:r>
      <w:bookmarkEnd w:id="52"/>
      <w:r w:rsidRPr="00103457">
        <w:rPr>
          <w:rFonts w:ascii="Times New Roman" w:hAnsi="Times New Roman"/>
          <w:bCs/>
          <w:color w:val="000000"/>
        </w:rPr>
        <w:t>: Annual urban expansion rates from 2001 – 2020 across administrative unit level-2 boundaries.</w:t>
      </w:r>
      <w:bookmarkEnd w:id="53"/>
    </w:p>
    <w:p w14:paraId="1EA06D9A" w14:textId="77777777" w:rsidR="00103457" w:rsidRPr="00103457" w:rsidRDefault="00103457" w:rsidP="00103457">
      <w:pPr>
        <w:suppressLineNumbers/>
        <w:rPr>
          <w:rFonts w:ascii="Times New Roman" w:hAnsi="Times New Roman"/>
          <w:b/>
          <w:i/>
          <w:color w:val="000000"/>
        </w:rPr>
      </w:pPr>
    </w:p>
    <w:p w14:paraId="0B995DF4" w14:textId="77777777" w:rsidR="006F7C17" w:rsidRPr="00103457" w:rsidRDefault="006F7C17" w:rsidP="00277F12">
      <w:pPr>
        <w:pStyle w:val="Heading3"/>
      </w:pPr>
      <w:bookmarkStart w:id="54" w:name="_Hlk142312401"/>
      <w:bookmarkStart w:id="55" w:name="_Toc172288717"/>
      <w:r w:rsidRPr="00103457">
        <w:lastRenderedPageBreak/>
        <w:t>Patterns of sprawl and infill expansion</w:t>
      </w:r>
      <w:bookmarkEnd w:id="54"/>
      <w:bookmarkEnd w:id="55"/>
    </w:p>
    <w:p w14:paraId="15B6052D" w14:textId="20515DFC" w:rsidR="00103457" w:rsidRPr="00103457" w:rsidRDefault="00103457" w:rsidP="00103457">
      <w:pPr>
        <w:ind w:firstLine="360"/>
        <w:rPr>
          <w:rFonts w:ascii="Times New Roman" w:hAnsi="Times New Roman"/>
          <w:color w:val="000000"/>
        </w:rPr>
      </w:pPr>
      <w:r w:rsidRPr="00103457">
        <w:rPr>
          <w:rFonts w:ascii="Times New Roman" w:hAnsi="Times New Roman"/>
          <w:bCs/>
          <w:color w:val="000000"/>
        </w:rPr>
        <w:t xml:space="preserve">Across the study area, 73% of the total expanded area occurred as sprawl. Of the total sprawl area, 57% occurred in small and medium cities. Sprawl expansion </w:t>
      </w:r>
      <w:r w:rsidRPr="00103457">
        <w:rPr>
          <w:rFonts w:ascii="Times New Roman" w:hAnsi="Times New Roman"/>
          <w:color w:val="000000"/>
        </w:rPr>
        <w:t xml:space="preserve">was </w:t>
      </w:r>
      <w:r w:rsidRPr="00103457">
        <w:rPr>
          <w:rFonts w:ascii="Times New Roman" w:hAnsi="Times New Roman"/>
          <w:bCs/>
          <w:color w:val="000000"/>
        </w:rPr>
        <w:t xml:space="preserve">generally higher than infill </w:t>
      </w:r>
      <w:r w:rsidRPr="00103457">
        <w:rPr>
          <w:rFonts w:ascii="Times New Roman" w:hAnsi="Times New Roman"/>
          <w:color w:val="000000"/>
        </w:rPr>
        <w:t>in all countries and city types over the 20-year time span (</w:t>
      </w:r>
      <w:r w:rsidRPr="00103457">
        <w:rPr>
          <w:rFonts w:ascii="Times New Roman" w:hAnsi="Times New Roman"/>
          <w:color w:val="000000"/>
        </w:rPr>
        <w:fldChar w:fldCharType="begin"/>
      </w:r>
      <w:r w:rsidRPr="00103457">
        <w:rPr>
          <w:rFonts w:ascii="Times New Roman" w:hAnsi="Times New Roman"/>
          <w:color w:val="000000"/>
        </w:rPr>
        <w:instrText xml:space="preserve"> REF _Ref142652725 \h  \* MERGEFORMAT </w:instrText>
      </w:r>
      <w:r w:rsidRPr="00103457">
        <w:rPr>
          <w:rFonts w:ascii="Times New Roman" w:hAnsi="Times New Roman"/>
          <w:color w:val="000000"/>
        </w:rPr>
      </w:r>
      <w:r w:rsidRPr="00103457">
        <w:rPr>
          <w:rFonts w:ascii="Times New Roman" w:hAnsi="Times New Roman"/>
          <w:color w:val="000000"/>
        </w:rPr>
        <w:fldChar w:fldCharType="separate"/>
      </w:r>
      <w:r w:rsidR="00B129D9" w:rsidRPr="00B129D9">
        <w:rPr>
          <w:rFonts w:ascii="Times New Roman" w:hAnsi="Times New Roman"/>
          <w:color w:val="000000"/>
        </w:rPr>
        <w:t>Figure 6</w:t>
      </w:r>
      <w:r w:rsidRPr="00103457">
        <w:rPr>
          <w:rFonts w:ascii="Times New Roman" w:hAnsi="Times New Roman"/>
          <w:color w:val="000000"/>
        </w:rPr>
        <w:fldChar w:fldCharType="end"/>
      </w:r>
      <w:r w:rsidRPr="00103457">
        <w:rPr>
          <w:rFonts w:ascii="Times New Roman" w:hAnsi="Times New Roman"/>
          <w:color w:val="000000"/>
        </w:rPr>
        <w:t>). Except in Togo, where medium cities sprawled the fastest until 2010, sprawl expansion has consistently occurred faster in small compared with medium and large cities. There were statistically significant increases in sprawl-to-infill ratio slope values over time except for large and medium cities in Nigeria and large cities in Togo (Table S2). The increases in sprawl-to-infill ratios were higher in smaller cities than in larger cities (</w:t>
      </w:r>
      <w:r w:rsidRPr="00103457">
        <w:rPr>
          <w:rFonts w:ascii="Times New Roman" w:hAnsi="Times New Roman"/>
          <w:color w:val="000000"/>
        </w:rPr>
        <w:fldChar w:fldCharType="begin"/>
      </w:r>
      <w:r w:rsidRPr="00103457">
        <w:rPr>
          <w:rFonts w:ascii="Times New Roman" w:hAnsi="Times New Roman"/>
          <w:color w:val="000000"/>
        </w:rPr>
        <w:instrText xml:space="preserve"> REF _Ref142652725 \h  \* MERGEFORMAT </w:instrText>
      </w:r>
      <w:r w:rsidRPr="00103457">
        <w:rPr>
          <w:rFonts w:ascii="Times New Roman" w:hAnsi="Times New Roman"/>
          <w:color w:val="000000"/>
        </w:rPr>
      </w:r>
      <w:r w:rsidRPr="00103457">
        <w:rPr>
          <w:rFonts w:ascii="Times New Roman" w:hAnsi="Times New Roman"/>
          <w:color w:val="000000"/>
        </w:rPr>
        <w:fldChar w:fldCharType="separate"/>
      </w:r>
      <w:r w:rsidR="00B129D9" w:rsidRPr="00B129D9">
        <w:rPr>
          <w:rFonts w:ascii="Times New Roman" w:hAnsi="Times New Roman"/>
          <w:color w:val="000000"/>
        </w:rPr>
        <w:t xml:space="preserve">Figure </w:t>
      </w:r>
      <w:r w:rsidR="00B129D9" w:rsidRPr="00B129D9">
        <w:rPr>
          <w:rFonts w:ascii="Times New Roman" w:hAnsi="Times New Roman"/>
          <w:noProof/>
          <w:color w:val="000000"/>
        </w:rPr>
        <w:t>6</w:t>
      </w:r>
      <w:r w:rsidRPr="00103457">
        <w:rPr>
          <w:rFonts w:ascii="Times New Roman" w:hAnsi="Times New Roman"/>
          <w:color w:val="000000"/>
        </w:rPr>
        <w:fldChar w:fldCharType="end"/>
      </w:r>
      <w:r w:rsidRPr="00103457">
        <w:rPr>
          <w:rFonts w:ascii="Times New Roman" w:hAnsi="Times New Roman"/>
          <w:color w:val="000000"/>
        </w:rPr>
        <w:t>).</w:t>
      </w:r>
    </w:p>
    <w:p w14:paraId="02F15748" w14:textId="784638B8" w:rsidR="00103457" w:rsidRPr="00103457" w:rsidRDefault="00103457" w:rsidP="00103457">
      <w:pPr>
        <w:keepNext/>
        <w:suppressLineNumbers/>
        <w:rPr>
          <w:rFonts w:ascii="Times New Roman" w:hAnsi="Times New Roman"/>
          <w:color w:val="000000"/>
        </w:rPr>
      </w:pPr>
      <w:r w:rsidRPr="00103457">
        <w:rPr>
          <w:rFonts w:ascii="Times New Roman" w:hAnsi="Times New Roman"/>
          <w:noProof/>
          <w:color w:val="000000"/>
          <w:lang w:bidi="ar-SA"/>
        </w:rPr>
        <w:drawing>
          <wp:inline distT="0" distB="0" distL="0" distR="0" wp14:anchorId="7A5D9B0B" wp14:editId="4A5886A1">
            <wp:extent cx="5817318" cy="4198289"/>
            <wp:effectExtent l="0" t="0" r="0" b="0"/>
            <wp:docPr id="746536687" name="Picture 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36687" name="Picture 4" descr="A screenshot of a 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22771" cy="4202224"/>
                    </a:xfrm>
                    <a:prstGeom prst="rect">
                      <a:avLst/>
                    </a:prstGeom>
                  </pic:spPr>
                </pic:pic>
              </a:graphicData>
            </a:graphic>
          </wp:inline>
        </w:drawing>
      </w:r>
    </w:p>
    <w:p w14:paraId="7FAE2704" w14:textId="4E4439C3" w:rsidR="00103457" w:rsidRPr="00103457" w:rsidRDefault="00103457" w:rsidP="00103457">
      <w:pPr>
        <w:suppressLineNumbers/>
        <w:spacing w:line="240" w:lineRule="auto"/>
        <w:rPr>
          <w:rFonts w:ascii="Times New Roman" w:hAnsi="Times New Roman"/>
          <w:i/>
          <w:color w:val="000000"/>
        </w:rPr>
      </w:pPr>
      <w:bookmarkStart w:id="56" w:name="_Ref142649141"/>
      <w:bookmarkStart w:id="57" w:name="_Toc172233502"/>
      <w:r w:rsidRPr="007D7640">
        <w:rPr>
          <w:rFonts w:ascii="Times New Roman" w:hAnsi="Times New Roman"/>
          <w:b/>
          <w:bCs/>
          <w:color w:val="000000"/>
        </w:rPr>
        <w:t xml:space="preserve">Figure </w:t>
      </w:r>
      <w:r w:rsidRPr="007D7640">
        <w:rPr>
          <w:rFonts w:ascii="Times New Roman" w:hAnsi="Times New Roman"/>
          <w:b/>
          <w:bCs/>
          <w:i/>
          <w:color w:val="000000"/>
        </w:rPr>
        <w:fldChar w:fldCharType="begin"/>
      </w:r>
      <w:r w:rsidRPr="007D7640">
        <w:rPr>
          <w:rFonts w:ascii="Times New Roman" w:hAnsi="Times New Roman"/>
          <w:b/>
          <w:bCs/>
          <w:color w:val="000000"/>
        </w:rPr>
        <w:instrText xml:space="preserve"> SEQ Figure \* ARABIC </w:instrText>
      </w:r>
      <w:r w:rsidRPr="007D7640">
        <w:rPr>
          <w:rFonts w:ascii="Times New Roman" w:hAnsi="Times New Roman"/>
          <w:b/>
          <w:bCs/>
          <w:i/>
          <w:color w:val="000000"/>
        </w:rPr>
        <w:fldChar w:fldCharType="separate"/>
      </w:r>
      <w:r w:rsidR="00B129D9">
        <w:rPr>
          <w:rFonts w:ascii="Times New Roman" w:hAnsi="Times New Roman"/>
          <w:b/>
          <w:bCs/>
          <w:noProof/>
          <w:color w:val="000000"/>
        </w:rPr>
        <w:t>5</w:t>
      </w:r>
      <w:r w:rsidRPr="007D7640">
        <w:rPr>
          <w:rFonts w:ascii="Times New Roman" w:hAnsi="Times New Roman"/>
          <w:b/>
          <w:bCs/>
          <w:i/>
          <w:color w:val="000000"/>
        </w:rPr>
        <w:fldChar w:fldCharType="end"/>
      </w:r>
      <w:bookmarkEnd w:id="56"/>
      <w:r w:rsidRPr="00103457">
        <w:rPr>
          <w:rFonts w:ascii="Times New Roman" w:hAnsi="Times New Roman"/>
          <w:color w:val="000000"/>
        </w:rPr>
        <w:t>: Sprawl and infill patterns of small, medium, and large cities.</w:t>
      </w:r>
      <w:bookmarkEnd w:id="57"/>
    </w:p>
    <w:p w14:paraId="5D630027" w14:textId="38FAD9AA" w:rsidR="00103457" w:rsidRPr="00103457" w:rsidRDefault="00103457" w:rsidP="00103457">
      <w:pPr>
        <w:keepNext/>
        <w:suppressLineNumbers/>
        <w:rPr>
          <w:rFonts w:ascii="Times New Roman" w:hAnsi="Times New Roman"/>
          <w:color w:val="000000"/>
        </w:rPr>
      </w:pPr>
      <w:r w:rsidRPr="00103457">
        <w:rPr>
          <w:rFonts w:ascii="Times New Roman" w:hAnsi="Times New Roman"/>
          <w:noProof/>
          <w:color w:val="000000"/>
          <w:lang w:bidi="ar-SA"/>
        </w:rPr>
        <w:lastRenderedPageBreak/>
        <w:drawing>
          <wp:inline distT="0" distB="0" distL="0" distR="0" wp14:anchorId="6E158D00" wp14:editId="4BCF1B3B">
            <wp:extent cx="5399532" cy="3238500"/>
            <wp:effectExtent l="0" t="0" r="0" b="0"/>
            <wp:docPr id="761590463" name="Picture 3" descr="A graph of different countries/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90463" name="Picture 3" descr="A graph of different countries/region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9532" cy="3238500"/>
                    </a:xfrm>
                    <a:prstGeom prst="rect">
                      <a:avLst/>
                    </a:prstGeom>
                  </pic:spPr>
                </pic:pic>
              </a:graphicData>
            </a:graphic>
          </wp:inline>
        </w:drawing>
      </w:r>
    </w:p>
    <w:p w14:paraId="3A09C5DD" w14:textId="5C21F636" w:rsidR="00103457" w:rsidRDefault="00103457" w:rsidP="00103457">
      <w:pPr>
        <w:suppressLineNumbers/>
        <w:spacing w:line="240" w:lineRule="auto"/>
        <w:rPr>
          <w:rFonts w:ascii="Times New Roman" w:hAnsi="Times New Roman"/>
          <w:color w:val="000000"/>
        </w:rPr>
      </w:pPr>
      <w:bookmarkStart w:id="58" w:name="_Ref142652725"/>
      <w:bookmarkStart w:id="59" w:name="_Toc172233503"/>
      <w:r w:rsidRPr="007D7640">
        <w:rPr>
          <w:rFonts w:ascii="Times New Roman" w:hAnsi="Times New Roman"/>
          <w:b/>
          <w:bCs/>
          <w:color w:val="000000"/>
        </w:rPr>
        <w:t xml:space="preserve">Figure </w:t>
      </w:r>
      <w:r w:rsidRPr="007D7640">
        <w:rPr>
          <w:rFonts w:ascii="Times New Roman" w:hAnsi="Times New Roman"/>
          <w:b/>
          <w:bCs/>
          <w:i/>
          <w:color w:val="000000"/>
        </w:rPr>
        <w:fldChar w:fldCharType="begin"/>
      </w:r>
      <w:r w:rsidRPr="007D7640">
        <w:rPr>
          <w:rFonts w:ascii="Times New Roman" w:hAnsi="Times New Roman"/>
          <w:b/>
          <w:bCs/>
          <w:color w:val="000000"/>
        </w:rPr>
        <w:instrText xml:space="preserve"> SEQ Figure \* ARABIC </w:instrText>
      </w:r>
      <w:r w:rsidRPr="007D7640">
        <w:rPr>
          <w:rFonts w:ascii="Times New Roman" w:hAnsi="Times New Roman"/>
          <w:b/>
          <w:bCs/>
          <w:i/>
          <w:color w:val="000000"/>
        </w:rPr>
        <w:fldChar w:fldCharType="separate"/>
      </w:r>
      <w:r w:rsidR="00B129D9">
        <w:rPr>
          <w:rFonts w:ascii="Times New Roman" w:hAnsi="Times New Roman"/>
          <w:b/>
          <w:bCs/>
          <w:noProof/>
          <w:color w:val="000000"/>
        </w:rPr>
        <w:t>6</w:t>
      </w:r>
      <w:r w:rsidRPr="007D7640">
        <w:rPr>
          <w:rFonts w:ascii="Times New Roman" w:hAnsi="Times New Roman"/>
          <w:b/>
          <w:bCs/>
          <w:i/>
          <w:color w:val="000000"/>
        </w:rPr>
        <w:fldChar w:fldCharType="end"/>
      </w:r>
      <w:bookmarkEnd w:id="58"/>
      <w:r w:rsidRPr="00103457">
        <w:rPr>
          <w:rFonts w:ascii="Times New Roman" w:hAnsi="Times New Roman"/>
          <w:color w:val="000000"/>
        </w:rPr>
        <w:t>: Sprawl-infill ratio for large, medium, and small city types in each country.</w:t>
      </w:r>
      <w:bookmarkEnd w:id="59"/>
    </w:p>
    <w:p w14:paraId="0934E488" w14:textId="77777777" w:rsidR="006A5420" w:rsidRPr="00B00D3E" w:rsidRDefault="006A5420" w:rsidP="00103457">
      <w:pPr>
        <w:suppressLineNumbers/>
        <w:spacing w:line="240" w:lineRule="auto"/>
        <w:rPr>
          <w:rFonts w:ascii="Times New Roman" w:hAnsi="Times New Roman"/>
          <w:color w:val="000000"/>
        </w:rPr>
      </w:pPr>
    </w:p>
    <w:p w14:paraId="337A169C" w14:textId="77777777" w:rsidR="00E83DAD" w:rsidRPr="00103457" w:rsidRDefault="00E83DAD" w:rsidP="00103457">
      <w:pPr>
        <w:suppressLineNumbers/>
        <w:spacing w:line="240" w:lineRule="auto"/>
        <w:rPr>
          <w:rFonts w:ascii="Times New Roman" w:hAnsi="Times New Roman"/>
          <w:bCs/>
          <w:i/>
          <w:color w:val="000000"/>
        </w:rPr>
      </w:pPr>
    </w:p>
    <w:p w14:paraId="23F88621" w14:textId="77777777" w:rsidR="00103457" w:rsidRPr="00103457" w:rsidRDefault="00103457" w:rsidP="00277F12">
      <w:pPr>
        <w:pStyle w:val="Heading3"/>
      </w:pPr>
      <w:bookmarkStart w:id="60" w:name="_Toc172288718"/>
      <w:r w:rsidRPr="00103457">
        <w:t>Expansion rate in relation to developed area</w:t>
      </w:r>
      <w:bookmarkEnd w:id="60"/>
      <w:r w:rsidRPr="00103457">
        <w:t xml:space="preserve"> </w:t>
      </w:r>
    </w:p>
    <w:p w14:paraId="79B73F9E" w14:textId="71CA7824" w:rsidR="0053102C" w:rsidRPr="00103457" w:rsidRDefault="00103457" w:rsidP="00103457">
      <w:pPr>
        <w:ind w:firstLine="360"/>
        <w:rPr>
          <w:rFonts w:ascii="Times New Roman" w:hAnsi="Times New Roman"/>
          <w:bCs/>
          <w:color w:val="000000"/>
        </w:rPr>
      </w:pPr>
      <w:r w:rsidRPr="00103457">
        <w:rPr>
          <w:rFonts w:ascii="Times New Roman" w:hAnsi="Times New Roman"/>
          <w:bCs/>
          <w:color w:val="000000"/>
        </w:rPr>
        <w:t>Using a univariate regression model, we modeled relationships between annual expansion rates from 2001-2020 and developed area in 2001. The model shows that expansion rates were inversely related to initial developed areas (</w:t>
      </w:r>
      <w:r w:rsidRPr="00103457">
        <w:rPr>
          <w:rFonts w:ascii="Times New Roman" w:hAnsi="Times New Roman"/>
          <w:bCs/>
          <w:color w:val="000000"/>
        </w:rPr>
        <w:fldChar w:fldCharType="begin"/>
      </w:r>
      <w:r w:rsidRPr="00103457">
        <w:rPr>
          <w:rFonts w:ascii="Times New Roman" w:hAnsi="Times New Roman"/>
          <w:bCs/>
          <w:color w:val="000000"/>
        </w:rPr>
        <w:instrText xml:space="preserve"> REF _Ref143240255  \* MERGEFORMAT </w:instrText>
      </w:r>
      <w:r w:rsidRPr="00103457">
        <w:rPr>
          <w:rFonts w:ascii="Times New Roman" w:hAnsi="Times New Roman"/>
          <w:bCs/>
          <w:color w:val="000000"/>
        </w:rPr>
        <w:fldChar w:fldCharType="separate"/>
      </w:r>
      <w:r w:rsidR="00B129D9" w:rsidRPr="00B129D9">
        <w:rPr>
          <w:rFonts w:ascii="Times New Roman" w:hAnsi="Times New Roman"/>
          <w:bCs/>
          <w:color w:val="000000"/>
        </w:rPr>
        <w:t xml:space="preserve">Figure </w:t>
      </w:r>
      <w:r w:rsidR="00B129D9" w:rsidRPr="00B129D9">
        <w:rPr>
          <w:rFonts w:ascii="Times New Roman" w:hAnsi="Times New Roman"/>
          <w:bCs/>
          <w:noProof/>
          <w:color w:val="000000"/>
        </w:rPr>
        <w:t>7</w:t>
      </w:r>
      <w:r w:rsidRPr="00103457">
        <w:rPr>
          <w:rFonts w:ascii="Times New Roman" w:hAnsi="Times New Roman"/>
          <w:bCs/>
          <w:color w:val="000000"/>
        </w:rPr>
        <w:fldChar w:fldCharType="end"/>
      </w:r>
      <w:r w:rsidRPr="00103457">
        <w:rPr>
          <w:rFonts w:ascii="Times New Roman" w:hAnsi="Times New Roman"/>
          <w:bCs/>
          <w:color w:val="000000"/>
        </w:rPr>
        <w:t xml:space="preserve"> and Figure S3). This relationship was significant at an alpha-level of 0.05, except in Togo. As developed area increased, the mean expansion rate decreased, with the fastest decline in Ghana (</w:t>
      </w:r>
      <w:r w:rsidRPr="00103457">
        <w:rPr>
          <w:rFonts w:ascii="Times New Roman" w:hAnsi="Times New Roman"/>
          <w:bCs/>
          <w:color w:val="000000"/>
        </w:rPr>
        <w:fldChar w:fldCharType="begin"/>
      </w:r>
      <w:r w:rsidRPr="00103457">
        <w:rPr>
          <w:rFonts w:ascii="Times New Roman" w:hAnsi="Times New Roman"/>
          <w:bCs/>
          <w:color w:val="000000"/>
        </w:rPr>
        <w:instrText xml:space="preserve"> REF _Ref143240543  \* MERGEFORMAT </w:instrText>
      </w:r>
      <w:r w:rsidRPr="00103457">
        <w:rPr>
          <w:rFonts w:ascii="Times New Roman" w:hAnsi="Times New Roman"/>
          <w:bCs/>
          <w:color w:val="000000"/>
        </w:rPr>
        <w:fldChar w:fldCharType="separate"/>
      </w:r>
      <w:r w:rsidR="00B129D9" w:rsidRPr="00B129D9">
        <w:rPr>
          <w:rFonts w:ascii="Times New Roman" w:hAnsi="Times New Roman"/>
          <w:color w:val="000000"/>
        </w:rPr>
        <w:t>Table 3</w:t>
      </w:r>
      <w:r w:rsidRPr="00103457">
        <w:rPr>
          <w:rFonts w:ascii="Times New Roman" w:hAnsi="Times New Roman"/>
          <w:bCs/>
          <w:color w:val="000000"/>
        </w:rPr>
        <w:fldChar w:fldCharType="end"/>
      </w:r>
      <w:r w:rsidRPr="00103457">
        <w:rPr>
          <w:rFonts w:ascii="Times New Roman" w:hAnsi="Times New Roman"/>
          <w:bCs/>
          <w:color w:val="000000"/>
        </w:rPr>
        <w:t>). Thus, we generally found cities that started with smaller developed areas grew faster than cities with larger developed areas.</w:t>
      </w:r>
    </w:p>
    <w:p w14:paraId="45144B5F" w14:textId="76AEE57F" w:rsidR="00103457" w:rsidRPr="00B00D3E" w:rsidRDefault="00103457" w:rsidP="00103457">
      <w:pPr>
        <w:suppressLineNumbers/>
        <w:spacing w:line="240" w:lineRule="auto"/>
        <w:rPr>
          <w:rFonts w:ascii="Times New Roman" w:hAnsi="Times New Roman"/>
          <w:color w:val="000000"/>
        </w:rPr>
      </w:pPr>
      <w:bookmarkStart w:id="61" w:name="_Ref143240543"/>
      <w:bookmarkStart w:id="62" w:name="_Toc172233719"/>
      <w:r w:rsidRPr="007D7640">
        <w:rPr>
          <w:rFonts w:ascii="Times New Roman" w:hAnsi="Times New Roman"/>
          <w:b/>
          <w:bCs/>
          <w:color w:val="000000"/>
        </w:rPr>
        <w:t xml:space="preserve">Table </w:t>
      </w:r>
      <w:r w:rsidRPr="007D7640">
        <w:rPr>
          <w:rFonts w:ascii="Times New Roman" w:hAnsi="Times New Roman"/>
          <w:b/>
          <w:bCs/>
          <w:i/>
          <w:iCs/>
          <w:color w:val="000000"/>
        </w:rPr>
        <w:fldChar w:fldCharType="begin"/>
      </w:r>
      <w:r w:rsidRPr="007D7640">
        <w:rPr>
          <w:rFonts w:ascii="Times New Roman" w:hAnsi="Times New Roman"/>
          <w:b/>
          <w:bCs/>
          <w:color w:val="000000"/>
        </w:rPr>
        <w:instrText xml:space="preserve"> SEQ Table \* ARABIC </w:instrText>
      </w:r>
      <w:r w:rsidRPr="007D7640">
        <w:rPr>
          <w:rFonts w:ascii="Times New Roman" w:hAnsi="Times New Roman"/>
          <w:b/>
          <w:bCs/>
          <w:i/>
          <w:iCs/>
          <w:color w:val="000000"/>
        </w:rPr>
        <w:fldChar w:fldCharType="separate"/>
      </w:r>
      <w:r w:rsidR="00B129D9">
        <w:rPr>
          <w:rFonts w:ascii="Times New Roman" w:hAnsi="Times New Roman"/>
          <w:b/>
          <w:bCs/>
          <w:noProof/>
          <w:color w:val="000000"/>
        </w:rPr>
        <w:t>3</w:t>
      </w:r>
      <w:r w:rsidRPr="007D7640">
        <w:rPr>
          <w:rFonts w:ascii="Times New Roman" w:hAnsi="Times New Roman"/>
          <w:b/>
          <w:bCs/>
          <w:i/>
          <w:iCs/>
          <w:color w:val="000000"/>
        </w:rPr>
        <w:fldChar w:fldCharType="end"/>
      </w:r>
      <w:bookmarkEnd w:id="61"/>
      <w:r w:rsidRPr="00103457">
        <w:rPr>
          <w:rFonts w:ascii="Times New Roman" w:hAnsi="Times New Roman"/>
          <w:color w:val="000000"/>
        </w:rPr>
        <w:t>: Summary of relations between expansion rate and initial developed area.</w:t>
      </w:r>
      <w:bookmarkEnd w:id="62"/>
    </w:p>
    <w:tbl>
      <w:tblPr>
        <w:tblW w:w="8834" w:type="dxa"/>
        <w:tblLook w:val="04A0" w:firstRow="1" w:lastRow="0" w:firstColumn="1" w:lastColumn="0" w:noHBand="0" w:noVBand="1"/>
      </w:tblPr>
      <w:tblGrid>
        <w:gridCol w:w="1440"/>
        <w:gridCol w:w="990"/>
        <w:gridCol w:w="1890"/>
        <w:gridCol w:w="1080"/>
        <w:gridCol w:w="2070"/>
        <w:gridCol w:w="1364"/>
      </w:tblGrid>
      <w:tr w:rsidR="00103457" w:rsidRPr="00103457" w14:paraId="11EC565D" w14:textId="77777777" w:rsidTr="006F7C17">
        <w:trPr>
          <w:trHeight w:val="335"/>
        </w:trPr>
        <w:tc>
          <w:tcPr>
            <w:tcW w:w="1440" w:type="dxa"/>
            <w:tcBorders>
              <w:top w:val="single" w:sz="4" w:space="0" w:color="auto"/>
              <w:left w:val="nil"/>
              <w:bottom w:val="single" w:sz="4" w:space="0" w:color="auto"/>
              <w:right w:val="nil"/>
            </w:tcBorders>
            <w:shd w:val="clear" w:color="auto" w:fill="auto"/>
            <w:noWrap/>
            <w:vAlign w:val="bottom"/>
            <w:hideMark/>
          </w:tcPr>
          <w:p w14:paraId="369C611E"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Study Area</w:t>
            </w:r>
          </w:p>
        </w:tc>
        <w:tc>
          <w:tcPr>
            <w:tcW w:w="990" w:type="dxa"/>
            <w:tcBorders>
              <w:top w:val="single" w:sz="4" w:space="0" w:color="auto"/>
              <w:left w:val="nil"/>
              <w:bottom w:val="single" w:sz="4" w:space="0" w:color="auto"/>
              <w:right w:val="nil"/>
            </w:tcBorders>
            <w:shd w:val="clear" w:color="auto" w:fill="auto"/>
            <w:noWrap/>
            <w:vAlign w:val="bottom"/>
            <w:hideMark/>
          </w:tcPr>
          <w:p w14:paraId="28467B11"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Slope</w:t>
            </w:r>
          </w:p>
        </w:tc>
        <w:tc>
          <w:tcPr>
            <w:tcW w:w="1890" w:type="dxa"/>
            <w:tcBorders>
              <w:top w:val="single" w:sz="4" w:space="0" w:color="auto"/>
              <w:left w:val="nil"/>
              <w:bottom w:val="single" w:sz="4" w:space="0" w:color="auto"/>
              <w:right w:val="nil"/>
            </w:tcBorders>
            <w:shd w:val="clear" w:color="auto" w:fill="auto"/>
            <w:noWrap/>
            <w:vAlign w:val="bottom"/>
            <w:hideMark/>
          </w:tcPr>
          <w:p w14:paraId="32EBF360"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Standard Error</w:t>
            </w:r>
          </w:p>
        </w:tc>
        <w:tc>
          <w:tcPr>
            <w:tcW w:w="1080" w:type="dxa"/>
            <w:tcBorders>
              <w:top w:val="single" w:sz="4" w:space="0" w:color="auto"/>
              <w:left w:val="nil"/>
              <w:bottom w:val="single" w:sz="4" w:space="0" w:color="auto"/>
              <w:right w:val="nil"/>
            </w:tcBorders>
            <w:shd w:val="clear" w:color="auto" w:fill="auto"/>
            <w:noWrap/>
            <w:vAlign w:val="bottom"/>
            <w:hideMark/>
          </w:tcPr>
          <w:p w14:paraId="20E46632"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P-Value</w:t>
            </w:r>
          </w:p>
        </w:tc>
        <w:tc>
          <w:tcPr>
            <w:tcW w:w="2070" w:type="dxa"/>
            <w:tcBorders>
              <w:top w:val="single" w:sz="4" w:space="0" w:color="auto"/>
              <w:left w:val="nil"/>
              <w:bottom w:val="single" w:sz="4" w:space="0" w:color="auto"/>
              <w:right w:val="nil"/>
            </w:tcBorders>
            <w:shd w:val="clear" w:color="auto" w:fill="auto"/>
            <w:noWrap/>
            <w:vAlign w:val="bottom"/>
            <w:hideMark/>
          </w:tcPr>
          <w:p w14:paraId="7531481B"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Confidence Interval (95%)</w:t>
            </w:r>
          </w:p>
        </w:tc>
        <w:tc>
          <w:tcPr>
            <w:tcW w:w="1364" w:type="dxa"/>
            <w:tcBorders>
              <w:top w:val="single" w:sz="4" w:space="0" w:color="auto"/>
              <w:left w:val="nil"/>
              <w:bottom w:val="single" w:sz="4" w:space="0" w:color="auto"/>
              <w:right w:val="nil"/>
            </w:tcBorders>
            <w:shd w:val="clear" w:color="auto" w:fill="auto"/>
            <w:noWrap/>
            <w:vAlign w:val="bottom"/>
            <w:hideMark/>
          </w:tcPr>
          <w:p w14:paraId="7EA819A2"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Multiple R-squared</w:t>
            </w:r>
          </w:p>
        </w:tc>
      </w:tr>
      <w:tr w:rsidR="00103457" w:rsidRPr="00103457" w14:paraId="3A29768E" w14:textId="77777777" w:rsidTr="006F7C17">
        <w:trPr>
          <w:trHeight w:val="335"/>
        </w:trPr>
        <w:tc>
          <w:tcPr>
            <w:tcW w:w="1440" w:type="dxa"/>
            <w:tcBorders>
              <w:top w:val="nil"/>
              <w:left w:val="nil"/>
              <w:bottom w:val="nil"/>
              <w:right w:val="nil"/>
            </w:tcBorders>
            <w:shd w:val="clear" w:color="auto" w:fill="auto"/>
            <w:noWrap/>
            <w:vAlign w:val="bottom"/>
            <w:hideMark/>
          </w:tcPr>
          <w:p w14:paraId="32B9E0A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Benin</w:t>
            </w:r>
          </w:p>
        </w:tc>
        <w:tc>
          <w:tcPr>
            <w:tcW w:w="990" w:type="dxa"/>
            <w:tcBorders>
              <w:top w:val="nil"/>
              <w:left w:val="nil"/>
              <w:bottom w:val="nil"/>
              <w:right w:val="nil"/>
            </w:tcBorders>
            <w:shd w:val="clear" w:color="auto" w:fill="auto"/>
            <w:noWrap/>
            <w:vAlign w:val="bottom"/>
            <w:hideMark/>
          </w:tcPr>
          <w:p w14:paraId="1FEC9A0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-0.1288</w:t>
            </w:r>
          </w:p>
        </w:tc>
        <w:tc>
          <w:tcPr>
            <w:tcW w:w="1890" w:type="dxa"/>
            <w:tcBorders>
              <w:top w:val="nil"/>
              <w:left w:val="nil"/>
              <w:bottom w:val="nil"/>
              <w:right w:val="nil"/>
            </w:tcBorders>
            <w:shd w:val="clear" w:color="auto" w:fill="auto"/>
            <w:noWrap/>
            <w:vAlign w:val="bottom"/>
            <w:hideMark/>
          </w:tcPr>
          <w:p w14:paraId="52DE925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0.0256</w:t>
            </w:r>
          </w:p>
        </w:tc>
        <w:tc>
          <w:tcPr>
            <w:tcW w:w="1080" w:type="dxa"/>
            <w:tcBorders>
              <w:top w:val="nil"/>
              <w:left w:val="nil"/>
              <w:bottom w:val="nil"/>
              <w:right w:val="nil"/>
            </w:tcBorders>
            <w:shd w:val="clear" w:color="auto" w:fill="auto"/>
            <w:noWrap/>
            <w:vAlign w:val="bottom"/>
            <w:hideMark/>
          </w:tcPr>
          <w:p w14:paraId="3FA1784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0.0000</w:t>
            </w:r>
          </w:p>
        </w:tc>
        <w:tc>
          <w:tcPr>
            <w:tcW w:w="2070" w:type="dxa"/>
            <w:tcBorders>
              <w:top w:val="nil"/>
              <w:left w:val="nil"/>
              <w:bottom w:val="nil"/>
              <w:right w:val="nil"/>
            </w:tcBorders>
            <w:shd w:val="clear" w:color="auto" w:fill="auto"/>
            <w:noWrap/>
            <w:vAlign w:val="center"/>
            <w:hideMark/>
          </w:tcPr>
          <w:p w14:paraId="3090707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[-0.1796, -0.0780]</w:t>
            </w:r>
          </w:p>
        </w:tc>
        <w:tc>
          <w:tcPr>
            <w:tcW w:w="1364" w:type="dxa"/>
            <w:tcBorders>
              <w:top w:val="nil"/>
              <w:left w:val="nil"/>
              <w:bottom w:val="nil"/>
              <w:right w:val="nil"/>
            </w:tcBorders>
            <w:shd w:val="clear" w:color="auto" w:fill="auto"/>
            <w:noWrap/>
            <w:vAlign w:val="bottom"/>
            <w:hideMark/>
          </w:tcPr>
          <w:p w14:paraId="30369CC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0.1894</w:t>
            </w:r>
          </w:p>
        </w:tc>
      </w:tr>
      <w:tr w:rsidR="00103457" w:rsidRPr="00103457" w14:paraId="6F63250C" w14:textId="77777777" w:rsidTr="006F7C17">
        <w:trPr>
          <w:trHeight w:val="335"/>
        </w:trPr>
        <w:tc>
          <w:tcPr>
            <w:tcW w:w="1440" w:type="dxa"/>
            <w:tcBorders>
              <w:top w:val="nil"/>
              <w:left w:val="nil"/>
              <w:bottom w:val="nil"/>
              <w:right w:val="nil"/>
            </w:tcBorders>
            <w:shd w:val="clear" w:color="auto" w:fill="auto"/>
            <w:noWrap/>
            <w:vAlign w:val="bottom"/>
            <w:hideMark/>
          </w:tcPr>
          <w:p w14:paraId="63B5ED8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Ghana</w:t>
            </w:r>
          </w:p>
        </w:tc>
        <w:tc>
          <w:tcPr>
            <w:tcW w:w="990" w:type="dxa"/>
            <w:tcBorders>
              <w:top w:val="nil"/>
              <w:left w:val="nil"/>
              <w:bottom w:val="nil"/>
              <w:right w:val="nil"/>
            </w:tcBorders>
            <w:shd w:val="clear" w:color="auto" w:fill="auto"/>
            <w:noWrap/>
            <w:vAlign w:val="bottom"/>
            <w:hideMark/>
          </w:tcPr>
          <w:p w14:paraId="5565C92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-0.2600</w:t>
            </w:r>
          </w:p>
        </w:tc>
        <w:tc>
          <w:tcPr>
            <w:tcW w:w="1890" w:type="dxa"/>
            <w:tcBorders>
              <w:top w:val="nil"/>
              <w:left w:val="nil"/>
              <w:bottom w:val="nil"/>
              <w:right w:val="nil"/>
            </w:tcBorders>
            <w:shd w:val="clear" w:color="auto" w:fill="auto"/>
            <w:noWrap/>
            <w:vAlign w:val="bottom"/>
            <w:hideMark/>
          </w:tcPr>
          <w:p w14:paraId="3CE3B69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0.0628</w:t>
            </w:r>
          </w:p>
        </w:tc>
        <w:tc>
          <w:tcPr>
            <w:tcW w:w="1080" w:type="dxa"/>
            <w:tcBorders>
              <w:top w:val="nil"/>
              <w:left w:val="nil"/>
              <w:bottom w:val="nil"/>
              <w:right w:val="nil"/>
            </w:tcBorders>
            <w:shd w:val="clear" w:color="auto" w:fill="auto"/>
            <w:noWrap/>
            <w:vAlign w:val="bottom"/>
            <w:hideMark/>
          </w:tcPr>
          <w:p w14:paraId="06E0804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0.0001</w:t>
            </w:r>
          </w:p>
        </w:tc>
        <w:tc>
          <w:tcPr>
            <w:tcW w:w="2070" w:type="dxa"/>
            <w:tcBorders>
              <w:top w:val="nil"/>
              <w:left w:val="nil"/>
              <w:bottom w:val="nil"/>
              <w:right w:val="nil"/>
            </w:tcBorders>
            <w:shd w:val="clear" w:color="auto" w:fill="auto"/>
            <w:noWrap/>
            <w:vAlign w:val="center"/>
            <w:hideMark/>
          </w:tcPr>
          <w:p w14:paraId="6DA5A07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[-0.3838, -0.1362]</w:t>
            </w:r>
          </w:p>
        </w:tc>
        <w:tc>
          <w:tcPr>
            <w:tcW w:w="1364" w:type="dxa"/>
            <w:tcBorders>
              <w:top w:val="nil"/>
              <w:left w:val="nil"/>
              <w:bottom w:val="nil"/>
              <w:right w:val="nil"/>
            </w:tcBorders>
            <w:shd w:val="clear" w:color="auto" w:fill="auto"/>
            <w:noWrap/>
            <w:vAlign w:val="bottom"/>
            <w:hideMark/>
          </w:tcPr>
          <w:p w14:paraId="060B024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0.0765</w:t>
            </w:r>
          </w:p>
        </w:tc>
      </w:tr>
      <w:tr w:rsidR="00103457" w:rsidRPr="00103457" w14:paraId="37DBBC94" w14:textId="77777777" w:rsidTr="006F7C17">
        <w:trPr>
          <w:trHeight w:val="335"/>
        </w:trPr>
        <w:tc>
          <w:tcPr>
            <w:tcW w:w="1440" w:type="dxa"/>
            <w:tcBorders>
              <w:top w:val="nil"/>
              <w:left w:val="nil"/>
              <w:bottom w:val="nil"/>
              <w:right w:val="nil"/>
            </w:tcBorders>
            <w:shd w:val="clear" w:color="auto" w:fill="auto"/>
            <w:noWrap/>
            <w:vAlign w:val="bottom"/>
            <w:hideMark/>
          </w:tcPr>
          <w:p w14:paraId="4991339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Nigeria</w:t>
            </w:r>
          </w:p>
        </w:tc>
        <w:tc>
          <w:tcPr>
            <w:tcW w:w="990" w:type="dxa"/>
            <w:tcBorders>
              <w:top w:val="nil"/>
              <w:left w:val="nil"/>
              <w:bottom w:val="nil"/>
              <w:right w:val="nil"/>
            </w:tcBorders>
            <w:shd w:val="clear" w:color="auto" w:fill="auto"/>
            <w:noWrap/>
            <w:vAlign w:val="bottom"/>
            <w:hideMark/>
          </w:tcPr>
          <w:p w14:paraId="6275405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-0.0930</w:t>
            </w:r>
          </w:p>
        </w:tc>
        <w:tc>
          <w:tcPr>
            <w:tcW w:w="1890" w:type="dxa"/>
            <w:tcBorders>
              <w:top w:val="nil"/>
              <w:left w:val="nil"/>
              <w:bottom w:val="nil"/>
              <w:right w:val="nil"/>
            </w:tcBorders>
            <w:shd w:val="clear" w:color="auto" w:fill="auto"/>
            <w:noWrap/>
            <w:vAlign w:val="bottom"/>
            <w:hideMark/>
          </w:tcPr>
          <w:p w14:paraId="4731EF3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0.0139</w:t>
            </w:r>
          </w:p>
        </w:tc>
        <w:tc>
          <w:tcPr>
            <w:tcW w:w="1080" w:type="dxa"/>
            <w:tcBorders>
              <w:top w:val="nil"/>
              <w:left w:val="nil"/>
              <w:bottom w:val="nil"/>
              <w:right w:val="nil"/>
            </w:tcBorders>
            <w:shd w:val="clear" w:color="auto" w:fill="auto"/>
            <w:noWrap/>
            <w:vAlign w:val="bottom"/>
            <w:hideMark/>
          </w:tcPr>
          <w:p w14:paraId="61B3183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0.0000</w:t>
            </w:r>
          </w:p>
        </w:tc>
        <w:tc>
          <w:tcPr>
            <w:tcW w:w="2070" w:type="dxa"/>
            <w:tcBorders>
              <w:top w:val="nil"/>
              <w:left w:val="nil"/>
              <w:bottom w:val="nil"/>
              <w:right w:val="nil"/>
            </w:tcBorders>
            <w:shd w:val="clear" w:color="auto" w:fill="auto"/>
            <w:noWrap/>
            <w:vAlign w:val="center"/>
            <w:hideMark/>
          </w:tcPr>
          <w:p w14:paraId="2EB53D97"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[-0.1202, -0.0658]</w:t>
            </w:r>
          </w:p>
        </w:tc>
        <w:tc>
          <w:tcPr>
            <w:tcW w:w="1364" w:type="dxa"/>
            <w:tcBorders>
              <w:top w:val="nil"/>
              <w:left w:val="nil"/>
              <w:bottom w:val="nil"/>
              <w:right w:val="nil"/>
            </w:tcBorders>
            <w:shd w:val="clear" w:color="auto" w:fill="auto"/>
            <w:noWrap/>
            <w:vAlign w:val="bottom"/>
            <w:hideMark/>
          </w:tcPr>
          <w:p w14:paraId="7A089F7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0.0354</w:t>
            </w:r>
          </w:p>
        </w:tc>
      </w:tr>
      <w:tr w:rsidR="00103457" w:rsidRPr="00103457" w14:paraId="4EC21F6F" w14:textId="77777777" w:rsidTr="006F7C17">
        <w:trPr>
          <w:trHeight w:val="335"/>
        </w:trPr>
        <w:tc>
          <w:tcPr>
            <w:tcW w:w="1440" w:type="dxa"/>
            <w:tcBorders>
              <w:top w:val="nil"/>
              <w:left w:val="nil"/>
              <w:bottom w:val="single" w:sz="4" w:space="0" w:color="auto"/>
              <w:right w:val="nil"/>
            </w:tcBorders>
            <w:shd w:val="clear" w:color="auto" w:fill="auto"/>
            <w:noWrap/>
            <w:vAlign w:val="bottom"/>
            <w:hideMark/>
          </w:tcPr>
          <w:p w14:paraId="03DE53E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Togo</w:t>
            </w:r>
          </w:p>
        </w:tc>
        <w:tc>
          <w:tcPr>
            <w:tcW w:w="990" w:type="dxa"/>
            <w:tcBorders>
              <w:top w:val="nil"/>
              <w:left w:val="nil"/>
              <w:bottom w:val="single" w:sz="4" w:space="0" w:color="auto"/>
              <w:right w:val="nil"/>
            </w:tcBorders>
            <w:shd w:val="clear" w:color="auto" w:fill="auto"/>
            <w:noWrap/>
            <w:vAlign w:val="bottom"/>
            <w:hideMark/>
          </w:tcPr>
          <w:p w14:paraId="0345B27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-0.1021</w:t>
            </w:r>
          </w:p>
        </w:tc>
        <w:tc>
          <w:tcPr>
            <w:tcW w:w="1890" w:type="dxa"/>
            <w:tcBorders>
              <w:top w:val="nil"/>
              <w:left w:val="nil"/>
              <w:bottom w:val="single" w:sz="4" w:space="0" w:color="auto"/>
              <w:right w:val="nil"/>
            </w:tcBorders>
            <w:shd w:val="clear" w:color="auto" w:fill="auto"/>
            <w:noWrap/>
            <w:vAlign w:val="bottom"/>
            <w:hideMark/>
          </w:tcPr>
          <w:p w14:paraId="23DC482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0.0756</w:t>
            </w:r>
          </w:p>
        </w:tc>
        <w:tc>
          <w:tcPr>
            <w:tcW w:w="1080" w:type="dxa"/>
            <w:tcBorders>
              <w:top w:val="nil"/>
              <w:left w:val="nil"/>
              <w:bottom w:val="single" w:sz="4" w:space="0" w:color="auto"/>
              <w:right w:val="nil"/>
            </w:tcBorders>
            <w:shd w:val="clear" w:color="auto" w:fill="auto"/>
            <w:noWrap/>
            <w:vAlign w:val="bottom"/>
            <w:hideMark/>
          </w:tcPr>
          <w:p w14:paraId="54C8367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0.1830</w:t>
            </w:r>
          </w:p>
        </w:tc>
        <w:tc>
          <w:tcPr>
            <w:tcW w:w="2070" w:type="dxa"/>
            <w:tcBorders>
              <w:top w:val="nil"/>
              <w:left w:val="nil"/>
              <w:bottom w:val="single" w:sz="4" w:space="0" w:color="auto"/>
              <w:right w:val="nil"/>
            </w:tcBorders>
            <w:shd w:val="clear" w:color="auto" w:fill="auto"/>
            <w:noWrap/>
            <w:vAlign w:val="center"/>
            <w:hideMark/>
          </w:tcPr>
          <w:p w14:paraId="1FDD61B9"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[-0.2539, 0.0496]</w:t>
            </w:r>
          </w:p>
        </w:tc>
        <w:tc>
          <w:tcPr>
            <w:tcW w:w="1364" w:type="dxa"/>
            <w:tcBorders>
              <w:top w:val="nil"/>
              <w:left w:val="nil"/>
              <w:bottom w:val="single" w:sz="4" w:space="0" w:color="auto"/>
              <w:right w:val="nil"/>
            </w:tcBorders>
            <w:shd w:val="clear" w:color="auto" w:fill="auto"/>
            <w:noWrap/>
            <w:vAlign w:val="bottom"/>
            <w:hideMark/>
          </w:tcPr>
          <w:p w14:paraId="0AFAB36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0.0346</w:t>
            </w:r>
          </w:p>
        </w:tc>
      </w:tr>
    </w:tbl>
    <w:p w14:paraId="1DA0FE61" w14:textId="0A7D1B1D" w:rsidR="00103457" w:rsidRPr="00103457" w:rsidRDefault="00103457" w:rsidP="00103457">
      <w:pPr>
        <w:suppressLineNumbers/>
        <w:rPr>
          <w:rFonts w:ascii="Times New Roman" w:hAnsi="Times New Roman"/>
          <w:bCs/>
          <w:color w:val="000000"/>
        </w:rPr>
      </w:pPr>
      <w:r w:rsidRPr="00103457">
        <w:rPr>
          <w:rFonts w:ascii="Times New Roman" w:hAnsi="Times New Roman"/>
          <w:bCs/>
          <w:noProof/>
          <w:color w:val="000000"/>
          <w:lang w:bidi="ar-SA"/>
        </w:rPr>
        <w:lastRenderedPageBreak/>
        <w:drawing>
          <wp:inline distT="0" distB="0" distL="0" distR="0" wp14:anchorId="6354855E" wp14:editId="3C8D464F">
            <wp:extent cx="5759196" cy="3599688"/>
            <wp:effectExtent l="0" t="0" r="0" b="1270"/>
            <wp:docPr id="1796673460" name="Picture 7" descr="A graph of different types of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73460" name="Picture 7" descr="A graph of different types of area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196" cy="3599688"/>
                    </a:xfrm>
                    <a:prstGeom prst="rect">
                      <a:avLst/>
                    </a:prstGeom>
                  </pic:spPr>
                </pic:pic>
              </a:graphicData>
            </a:graphic>
          </wp:inline>
        </w:drawing>
      </w:r>
    </w:p>
    <w:p w14:paraId="444B9D8A" w14:textId="655CEA35" w:rsidR="00103457" w:rsidRDefault="00103457" w:rsidP="00103457">
      <w:pPr>
        <w:suppressLineNumbers/>
        <w:spacing w:line="240" w:lineRule="auto"/>
        <w:rPr>
          <w:rFonts w:ascii="Times New Roman" w:hAnsi="Times New Roman"/>
          <w:color w:val="000000"/>
        </w:rPr>
      </w:pPr>
      <w:bookmarkStart w:id="63" w:name="_Ref143240255"/>
      <w:bookmarkStart w:id="64" w:name="_Toc172233504"/>
      <w:r w:rsidRPr="007D7640">
        <w:rPr>
          <w:rFonts w:ascii="Times New Roman" w:hAnsi="Times New Roman"/>
          <w:b/>
          <w:bCs/>
          <w:color w:val="000000"/>
        </w:rPr>
        <w:t xml:space="preserve">Figure </w:t>
      </w:r>
      <w:r w:rsidRPr="007D7640">
        <w:rPr>
          <w:rFonts w:ascii="Times New Roman" w:hAnsi="Times New Roman"/>
          <w:b/>
          <w:bCs/>
          <w:i/>
          <w:color w:val="000000"/>
        </w:rPr>
        <w:fldChar w:fldCharType="begin"/>
      </w:r>
      <w:r w:rsidRPr="007D7640">
        <w:rPr>
          <w:rFonts w:ascii="Times New Roman" w:hAnsi="Times New Roman"/>
          <w:b/>
          <w:bCs/>
          <w:color w:val="000000"/>
        </w:rPr>
        <w:instrText xml:space="preserve"> SEQ Figure \* ARABIC </w:instrText>
      </w:r>
      <w:r w:rsidRPr="007D7640">
        <w:rPr>
          <w:rFonts w:ascii="Times New Roman" w:hAnsi="Times New Roman"/>
          <w:b/>
          <w:bCs/>
          <w:i/>
          <w:color w:val="000000"/>
        </w:rPr>
        <w:fldChar w:fldCharType="separate"/>
      </w:r>
      <w:r w:rsidR="00B129D9">
        <w:rPr>
          <w:rFonts w:ascii="Times New Roman" w:hAnsi="Times New Roman"/>
          <w:b/>
          <w:bCs/>
          <w:noProof/>
          <w:color w:val="000000"/>
        </w:rPr>
        <w:t>7</w:t>
      </w:r>
      <w:r w:rsidRPr="007D7640">
        <w:rPr>
          <w:rFonts w:ascii="Times New Roman" w:hAnsi="Times New Roman"/>
          <w:b/>
          <w:bCs/>
          <w:i/>
          <w:color w:val="000000"/>
        </w:rPr>
        <w:fldChar w:fldCharType="end"/>
      </w:r>
      <w:bookmarkEnd w:id="63"/>
      <w:r w:rsidRPr="00103457">
        <w:rPr>
          <w:rFonts w:ascii="Times New Roman" w:hAnsi="Times New Roman"/>
          <w:color w:val="000000"/>
        </w:rPr>
        <w:t>: Relationship between annual expansion rate (2001-2020) and initial developed area (2001) for each country. The blue and gray portions are the linear regression lines and 95% confidence bounds.</w:t>
      </w:r>
      <w:bookmarkEnd w:id="64"/>
    </w:p>
    <w:p w14:paraId="65DF8EC6" w14:textId="77777777" w:rsidR="006A5420" w:rsidRPr="00B00D3E" w:rsidRDefault="006A5420" w:rsidP="00103457">
      <w:pPr>
        <w:suppressLineNumbers/>
        <w:spacing w:line="240" w:lineRule="auto"/>
        <w:rPr>
          <w:rFonts w:ascii="Times New Roman" w:hAnsi="Times New Roman"/>
          <w:color w:val="000000"/>
        </w:rPr>
      </w:pPr>
    </w:p>
    <w:p w14:paraId="6AA78347" w14:textId="77777777" w:rsidR="00E83DAD" w:rsidRPr="00103457" w:rsidRDefault="00E83DAD" w:rsidP="00103457">
      <w:pPr>
        <w:suppressLineNumbers/>
        <w:spacing w:line="240" w:lineRule="auto"/>
        <w:rPr>
          <w:rFonts w:ascii="Times New Roman" w:hAnsi="Times New Roman"/>
          <w:b/>
          <w:bCs/>
          <w:i/>
          <w:color w:val="000000"/>
        </w:rPr>
      </w:pPr>
    </w:p>
    <w:p w14:paraId="23E789DB" w14:textId="77777777" w:rsidR="00103457" w:rsidRPr="00103457" w:rsidRDefault="00103457" w:rsidP="00277F12">
      <w:pPr>
        <w:pStyle w:val="Heading3"/>
      </w:pPr>
      <w:bookmarkStart w:id="65" w:name="_Toc172288719"/>
      <w:r w:rsidRPr="00103457">
        <w:t>Expansion rate in relation to developed area and gravity index</w:t>
      </w:r>
      <w:bookmarkEnd w:id="65"/>
      <w:r w:rsidRPr="00103457">
        <w:t xml:space="preserve"> </w:t>
      </w:r>
    </w:p>
    <w:p w14:paraId="04A05E6B" w14:textId="5D148DA0"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 xml:space="preserve">We used multivariate linear regression to model the relationships between annual expansion rate from 2001-2020, developed area in 2001, and gravity index (a measure of primary cities' influence on expansion in secondary cities) in 2001. </w:t>
      </w:r>
      <w:r w:rsidRPr="00103457">
        <w:rPr>
          <w:rFonts w:ascii="Times New Roman" w:hAnsi="Times New Roman"/>
          <w:color w:val="000000"/>
        </w:rPr>
        <w:t xml:space="preserve">The highest values of the gravity index occurred in small and medium cities near large cities (Figure S2). </w:t>
      </w:r>
      <w:r w:rsidRPr="00103457">
        <w:rPr>
          <w:rFonts w:ascii="Times New Roman" w:hAnsi="Times New Roman"/>
          <w:bCs/>
          <w:color w:val="000000"/>
        </w:rPr>
        <w:t>There were statistically significant negative associations between expansion rate and developed area in Benin, Ghana, and Nigeria (</w:t>
      </w:r>
      <w:r w:rsidRPr="00103457">
        <w:rPr>
          <w:rFonts w:ascii="Times New Roman" w:hAnsi="Times New Roman"/>
          <w:bCs/>
          <w:color w:val="000000"/>
        </w:rPr>
        <w:fldChar w:fldCharType="begin"/>
      </w:r>
      <w:r w:rsidRPr="00103457">
        <w:rPr>
          <w:rFonts w:ascii="Times New Roman" w:hAnsi="Times New Roman"/>
          <w:bCs/>
          <w:color w:val="000000"/>
        </w:rPr>
        <w:instrText xml:space="preserve"> REF _Ref144839028 \h  \* MERGEFORMAT </w:instrText>
      </w:r>
      <w:r w:rsidRPr="00103457">
        <w:rPr>
          <w:rFonts w:ascii="Times New Roman" w:hAnsi="Times New Roman"/>
          <w:bCs/>
          <w:color w:val="000000"/>
        </w:rPr>
      </w:r>
      <w:r w:rsidRPr="00103457">
        <w:rPr>
          <w:rFonts w:ascii="Times New Roman" w:hAnsi="Times New Roman"/>
          <w:bCs/>
          <w:color w:val="000000"/>
        </w:rPr>
        <w:fldChar w:fldCharType="separate"/>
      </w:r>
      <w:r w:rsidR="00B129D9" w:rsidRPr="00B129D9">
        <w:rPr>
          <w:rFonts w:ascii="Times New Roman" w:hAnsi="Times New Roman"/>
          <w:bCs/>
          <w:color w:val="000000"/>
        </w:rPr>
        <w:t>Table 4</w:t>
      </w:r>
      <w:r w:rsidRPr="00103457">
        <w:rPr>
          <w:rFonts w:ascii="Times New Roman" w:hAnsi="Times New Roman"/>
          <w:bCs/>
          <w:color w:val="000000"/>
        </w:rPr>
        <w:fldChar w:fldCharType="end"/>
      </w:r>
      <w:r w:rsidRPr="00103457">
        <w:rPr>
          <w:rFonts w:ascii="Times New Roman" w:hAnsi="Times New Roman"/>
          <w:bCs/>
          <w:color w:val="000000"/>
        </w:rPr>
        <w:t xml:space="preserve"> and </w:t>
      </w:r>
      <w:r w:rsidRPr="00103457">
        <w:rPr>
          <w:rFonts w:ascii="Times New Roman" w:hAnsi="Times New Roman"/>
          <w:bCs/>
          <w:color w:val="000000"/>
        </w:rPr>
        <w:fldChar w:fldCharType="begin"/>
      </w:r>
      <w:r w:rsidRPr="00103457">
        <w:rPr>
          <w:rFonts w:ascii="Times New Roman" w:hAnsi="Times New Roman"/>
          <w:bCs/>
          <w:color w:val="000000"/>
        </w:rPr>
        <w:instrText xml:space="preserve"> REF _Ref143274785 \h  \* MERGEFORMAT </w:instrText>
      </w:r>
      <w:r w:rsidRPr="00103457">
        <w:rPr>
          <w:rFonts w:ascii="Times New Roman" w:hAnsi="Times New Roman"/>
          <w:bCs/>
          <w:color w:val="000000"/>
        </w:rPr>
      </w:r>
      <w:r w:rsidRPr="00103457">
        <w:rPr>
          <w:rFonts w:ascii="Times New Roman" w:hAnsi="Times New Roman"/>
          <w:bCs/>
          <w:color w:val="000000"/>
        </w:rPr>
        <w:fldChar w:fldCharType="separate"/>
      </w:r>
      <w:r w:rsidR="00B129D9" w:rsidRPr="00B129D9">
        <w:rPr>
          <w:rFonts w:ascii="Times New Roman" w:hAnsi="Times New Roman"/>
          <w:bCs/>
          <w:color w:val="000000"/>
        </w:rPr>
        <w:t>Figure 8</w:t>
      </w:r>
      <w:r w:rsidRPr="00103457">
        <w:rPr>
          <w:rFonts w:ascii="Times New Roman" w:hAnsi="Times New Roman"/>
          <w:bCs/>
          <w:color w:val="000000"/>
        </w:rPr>
        <w:fldChar w:fldCharType="end"/>
      </w:r>
      <w:r w:rsidRPr="00103457">
        <w:rPr>
          <w:rFonts w:ascii="Times New Roman" w:hAnsi="Times New Roman"/>
          <w:bCs/>
          <w:color w:val="000000"/>
        </w:rPr>
        <w:t>). There were also statistically significant negative associations with gravity index in Benin and Togo and a positive association in Nigeria. The partial R</w:t>
      </w:r>
      <w:r w:rsidRPr="00103457">
        <w:rPr>
          <w:rFonts w:ascii="Times New Roman" w:hAnsi="Times New Roman"/>
          <w:bCs/>
          <w:color w:val="000000"/>
          <w:vertAlign w:val="superscript"/>
        </w:rPr>
        <w:t>2</w:t>
      </w:r>
      <w:r w:rsidRPr="00103457">
        <w:rPr>
          <w:rFonts w:ascii="Times New Roman" w:hAnsi="Times New Roman"/>
          <w:bCs/>
          <w:color w:val="000000"/>
        </w:rPr>
        <w:t xml:space="preserve"> values indicated that urban expansion rates had stronger associations with developed area than with the </w:t>
      </w:r>
      <w:r w:rsidRPr="00103457">
        <w:rPr>
          <w:rFonts w:ascii="Times New Roman" w:hAnsi="Times New Roman"/>
          <w:bCs/>
          <w:color w:val="000000"/>
        </w:rPr>
        <w:lastRenderedPageBreak/>
        <w:t>gravity index except in Togo, where the relationship with the gravity index was stronger (</w:t>
      </w:r>
      <w:r w:rsidRPr="00103457">
        <w:rPr>
          <w:rFonts w:ascii="Times New Roman" w:hAnsi="Times New Roman"/>
          <w:bCs/>
          <w:color w:val="000000"/>
        </w:rPr>
        <w:fldChar w:fldCharType="begin"/>
      </w:r>
      <w:r w:rsidRPr="00103457">
        <w:rPr>
          <w:rFonts w:ascii="Times New Roman" w:hAnsi="Times New Roman"/>
          <w:bCs/>
          <w:color w:val="000000"/>
        </w:rPr>
        <w:instrText xml:space="preserve"> REF _Ref144839028 \h  \* MERGEFORMAT </w:instrText>
      </w:r>
      <w:r w:rsidRPr="00103457">
        <w:rPr>
          <w:rFonts w:ascii="Times New Roman" w:hAnsi="Times New Roman"/>
          <w:bCs/>
          <w:color w:val="000000"/>
        </w:rPr>
      </w:r>
      <w:r w:rsidRPr="00103457">
        <w:rPr>
          <w:rFonts w:ascii="Times New Roman" w:hAnsi="Times New Roman"/>
          <w:bCs/>
          <w:color w:val="000000"/>
        </w:rPr>
        <w:fldChar w:fldCharType="separate"/>
      </w:r>
      <w:r w:rsidR="00B129D9" w:rsidRPr="00B129D9">
        <w:rPr>
          <w:rFonts w:ascii="Times New Roman" w:hAnsi="Times New Roman"/>
          <w:bCs/>
          <w:color w:val="000000"/>
        </w:rPr>
        <w:t>Table 4</w:t>
      </w:r>
      <w:r w:rsidRPr="00103457">
        <w:rPr>
          <w:rFonts w:ascii="Times New Roman" w:hAnsi="Times New Roman"/>
          <w:bCs/>
          <w:color w:val="000000"/>
        </w:rPr>
        <w:fldChar w:fldCharType="end"/>
      </w:r>
      <w:r w:rsidRPr="00103457">
        <w:rPr>
          <w:rFonts w:ascii="Times New Roman" w:hAnsi="Times New Roman"/>
          <w:bCs/>
          <w:color w:val="000000"/>
        </w:rPr>
        <w:t>).</w:t>
      </w:r>
      <w:r w:rsidRPr="00103457" w:rsidDel="000D5DD7">
        <w:rPr>
          <w:rFonts w:ascii="Times New Roman" w:hAnsi="Times New Roman"/>
          <w:bCs/>
          <w:color w:val="000000"/>
        </w:rPr>
        <w:t xml:space="preserve"> </w:t>
      </w:r>
      <w:bookmarkStart w:id="66" w:name="_Ref143260201"/>
    </w:p>
    <w:p w14:paraId="1752E9C4" w14:textId="69682AFC" w:rsidR="00103457" w:rsidRPr="00B00D3E" w:rsidRDefault="00103457" w:rsidP="0095642F">
      <w:pPr>
        <w:suppressLineNumbers/>
        <w:spacing w:line="240" w:lineRule="auto"/>
        <w:rPr>
          <w:rFonts w:ascii="Times New Roman" w:hAnsi="Times New Roman"/>
          <w:bCs/>
          <w:color w:val="000000"/>
        </w:rPr>
      </w:pPr>
      <w:bookmarkStart w:id="67" w:name="_Ref144839028"/>
      <w:bookmarkStart w:id="68" w:name="_Toc172233720"/>
      <w:r w:rsidRPr="007D7640">
        <w:rPr>
          <w:rFonts w:ascii="Times New Roman" w:hAnsi="Times New Roman"/>
          <w:b/>
          <w:color w:val="000000"/>
        </w:rPr>
        <w:t xml:space="preserve">Table </w:t>
      </w:r>
      <w:r w:rsidRPr="007D7640">
        <w:rPr>
          <w:rFonts w:ascii="Times New Roman" w:hAnsi="Times New Roman"/>
          <w:b/>
          <w:color w:val="000000"/>
        </w:rPr>
        <w:fldChar w:fldCharType="begin"/>
      </w:r>
      <w:r w:rsidRPr="007D7640">
        <w:rPr>
          <w:rFonts w:ascii="Times New Roman" w:hAnsi="Times New Roman"/>
          <w:b/>
          <w:color w:val="000000"/>
        </w:rPr>
        <w:instrText xml:space="preserve"> SEQ Table \* ARABIC </w:instrText>
      </w:r>
      <w:r w:rsidRPr="007D7640">
        <w:rPr>
          <w:rFonts w:ascii="Times New Roman" w:hAnsi="Times New Roman"/>
          <w:b/>
          <w:color w:val="000000"/>
        </w:rPr>
        <w:fldChar w:fldCharType="separate"/>
      </w:r>
      <w:r w:rsidR="00B129D9">
        <w:rPr>
          <w:rFonts w:ascii="Times New Roman" w:hAnsi="Times New Roman"/>
          <w:b/>
          <w:noProof/>
          <w:color w:val="000000"/>
        </w:rPr>
        <w:t>4</w:t>
      </w:r>
      <w:r w:rsidRPr="007D7640">
        <w:rPr>
          <w:rFonts w:ascii="Times New Roman" w:hAnsi="Times New Roman"/>
          <w:b/>
          <w:color w:val="000000"/>
        </w:rPr>
        <w:fldChar w:fldCharType="end"/>
      </w:r>
      <w:bookmarkEnd w:id="66"/>
      <w:bookmarkEnd w:id="67"/>
      <w:r w:rsidRPr="00103457">
        <w:rPr>
          <w:rFonts w:ascii="Times New Roman" w:hAnsi="Times New Roman"/>
          <w:bCs/>
          <w:color w:val="000000"/>
        </w:rPr>
        <w:t>: Summary of relations between expansion rates and predictors. The alpha-level of significant predictors was set at 0.05.</w:t>
      </w:r>
      <w:bookmarkEnd w:id="68"/>
    </w:p>
    <w:p w14:paraId="70BA8F30" w14:textId="77777777" w:rsidR="00B00D3E" w:rsidRPr="00103457" w:rsidRDefault="00B00D3E" w:rsidP="00103457">
      <w:pPr>
        <w:suppressLineNumbers/>
        <w:spacing w:line="240" w:lineRule="auto"/>
        <w:rPr>
          <w:rFonts w:ascii="Times New Roman" w:hAnsi="Times New Roman"/>
          <w:color w:val="000000"/>
        </w:rPr>
      </w:pPr>
    </w:p>
    <w:tbl>
      <w:tblPr>
        <w:tblW w:w="9252" w:type="dxa"/>
        <w:tblLook w:val="04A0" w:firstRow="1" w:lastRow="0" w:firstColumn="1" w:lastColumn="0" w:noHBand="0" w:noVBand="1"/>
      </w:tblPr>
      <w:tblGrid>
        <w:gridCol w:w="966"/>
        <w:gridCol w:w="1847"/>
        <w:gridCol w:w="968"/>
        <w:gridCol w:w="1177"/>
        <w:gridCol w:w="897"/>
        <w:gridCol w:w="2165"/>
        <w:gridCol w:w="1243"/>
      </w:tblGrid>
      <w:tr w:rsidR="00103457" w:rsidRPr="00103457" w14:paraId="6C041461" w14:textId="77777777" w:rsidTr="002C3697">
        <w:trPr>
          <w:trHeight w:val="332"/>
        </w:trPr>
        <w:tc>
          <w:tcPr>
            <w:tcW w:w="966" w:type="dxa"/>
            <w:tcBorders>
              <w:top w:val="single" w:sz="4" w:space="0" w:color="auto"/>
              <w:left w:val="nil"/>
              <w:bottom w:val="single" w:sz="4" w:space="0" w:color="auto"/>
              <w:right w:val="nil"/>
            </w:tcBorders>
            <w:shd w:val="clear" w:color="auto" w:fill="auto"/>
            <w:noWrap/>
            <w:vAlign w:val="bottom"/>
            <w:hideMark/>
          </w:tcPr>
          <w:p w14:paraId="62DED533"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Study Area</w:t>
            </w:r>
          </w:p>
        </w:tc>
        <w:tc>
          <w:tcPr>
            <w:tcW w:w="1847" w:type="dxa"/>
            <w:tcBorders>
              <w:top w:val="single" w:sz="4" w:space="0" w:color="auto"/>
              <w:left w:val="nil"/>
              <w:bottom w:val="single" w:sz="4" w:space="0" w:color="auto"/>
              <w:right w:val="nil"/>
            </w:tcBorders>
            <w:shd w:val="clear" w:color="auto" w:fill="auto"/>
            <w:noWrap/>
            <w:vAlign w:val="bottom"/>
            <w:hideMark/>
          </w:tcPr>
          <w:p w14:paraId="19A5ECEE"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Predictor</w:t>
            </w:r>
          </w:p>
        </w:tc>
        <w:tc>
          <w:tcPr>
            <w:tcW w:w="968" w:type="dxa"/>
            <w:tcBorders>
              <w:top w:val="single" w:sz="4" w:space="0" w:color="auto"/>
              <w:left w:val="nil"/>
              <w:bottom w:val="single" w:sz="4" w:space="0" w:color="auto"/>
              <w:right w:val="nil"/>
            </w:tcBorders>
            <w:shd w:val="clear" w:color="auto" w:fill="auto"/>
            <w:noWrap/>
            <w:vAlign w:val="bottom"/>
            <w:hideMark/>
          </w:tcPr>
          <w:p w14:paraId="0D7F336A"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Slope</w:t>
            </w:r>
          </w:p>
        </w:tc>
        <w:tc>
          <w:tcPr>
            <w:tcW w:w="1166" w:type="dxa"/>
            <w:tcBorders>
              <w:top w:val="single" w:sz="4" w:space="0" w:color="auto"/>
              <w:left w:val="nil"/>
              <w:bottom w:val="single" w:sz="4" w:space="0" w:color="auto"/>
              <w:right w:val="nil"/>
            </w:tcBorders>
            <w:shd w:val="clear" w:color="auto" w:fill="auto"/>
            <w:noWrap/>
            <w:vAlign w:val="bottom"/>
            <w:hideMark/>
          </w:tcPr>
          <w:p w14:paraId="63E431E3"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Standard Error</w:t>
            </w:r>
          </w:p>
        </w:tc>
        <w:tc>
          <w:tcPr>
            <w:tcW w:w="897" w:type="dxa"/>
            <w:tcBorders>
              <w:top w:val="single" w:sz="4" w:space="0" w:color="auto"/>
              <w:left w:val="nil"/>
              <w:bottom w:val="single" w:sz="4" w:space="0" w:color="auto"/>
              <w:right w:val="nil"/>
            </w:tcBorders>
            <w:shd w:val="clear" w:color="auto" w:fill="auto"/>
            <w:noWrap/>
            <w:vAlign w:val="bottom"/>
            <w:hideMark/>
          </w:tcPr>
          <w:p w14:paraId="445ABD23"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P-Value</w:t>
            </w:r>
          </w:p>
        </w:tc>
        <w:tc>
          <w:tcPr>
            <w:tcW w:w="2165" w:type="dxa"/>
            <w:tcBorders>
              <w:top w:val="single" w:sz="4" w:space="0" w:color="auto"/>
              <w:left w:val="nil"/>
              <w:bottom w:val="single" w:sz="4" w:space="0" w:color="auto"/>
              <w:right w:val="nil"/>
            </w:tcBorders>
            <w:shd w:val="clear" w:color="auto" w:fill="auto"/>
            <w:noWrap/>
            <w:vAlign w:val="bottom"/>
            <w:hideMark/>
          </w:tcPr>
          <w:p w14:paraId="6816C23A"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Confidence Interval (95%)</w:t>
            </w:r>
          </w:p>
        </w:tc>
        <w:tc>
          <w:tcPr>
            <w:tcW w:w="1243" w:type="dxa"/>
            <w:tcBorders>
              <w:top w:val="single" w:sz="4" w:space="0" w:color="auto"/>
              <w:left w:val="nil"/>
              <w:bottom w:val="single" w:sz="4" w:space="0" w:color="auto"/>
              <w:right w:val="nil"/>
            </w:tcBorders>
            <w:shd w:val="clear" w:color="auto" w:fill="auto"/>
            <w:noWrap/>
            <w:vAlign w:val="bottom"/>
            <w:hideMark/>
          </w:tcPr>
          <w:p w14:paraId="4C261518" w14:textId="77777777" w:rsidR="00103457" w:rsidRPr="00103457" w:rsidRDefault="00103457" w:rsidP="00103457">
            <w:pPr>
              <w:suppressLineNumbers/>
              <w:spacing w:line="240" w:lineRule="auto"/>
              <w:rPr>
                <w:rFonts w:ascii="Times New Roman" w:hAnsi="Times New Roman"/>
                <w:b/>
                <w:bCs/>
                <w:color w:val="000000"/>
              </w:rPr>
            </w:pPr>
            <w:r w:rsidRPr="00103457">
              <w:rPr>
                <w:rFonts w:ascii="Times New Roman" w:hAnsi="Times New Roman"/>
                <w:b/>
                <w:bCs/>
                <w:color w:val="000000"/>
              </w:rPr>
              <w:t>Partial R-Squared</w:t>
            </w:r>
          </w:p>
        </w:tc>
      </w:tr>
      <w:tr w:rsidR="00103457" w:rsidRPr="00103457" w14:paraId="3A4B9C45" w14:textId="77777777" w:rsidTr="002C3697">
        <w:trPr>
          <w:trHeight w:val="332"/>
        </w:trPr>
        <w:tc>
          <w:tcPr>
            <w:tcW w:w="966" w:type="dxa"/>
            <w:vMerge w:val="restart"/>
            <w:tcBorders>
              <w:top w:val="nil"/>
              <w:left w:val="nil"/>
              <w:bottom w:val="nil"/>
              <w:right w:val="nil"/>
            </w:tcBorders>
            <w:shd w:val="clear" w:color="auto" w:fill="auto"/>
            <w:noWrap/>
            <w:vAlign w:val="center"/>
            <w:hideMark/>
          </w:tcPr>
          <w:p w14:paraId="738EC53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Benin</w:t>
            </w:r>
          </w:p>
        </w:tc>
        <w:tc>
          <w:tcPr>
            <w:tcW w:w="1847" w:type="dxa"/>
            <w:tcBorders>
              <w:top w:val="nil"/>
              <w:left w:val="nil"/>
              <w:bottom w:val="nil"/>
              <w:right w:val="nil"/>
            </w:tcBorders>
            <w:shd w:val="clear" w:color="auto" w:fill="auto"/>
            <w:noWrap/>
            <w:vAlign w:val="bottom"/>
            <w:hideMark/>
          </w:tcPr>
          <w:p w14:paraId="4730080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Developed Area</w:t>
            </w:r>
          </w:p>
        </w:tc>
        <w:tc>
          <w:tcPr>
            <w:tcW w:w="968" w:type="dxa"/>
            <w:tcBorders>
              <w:top w:val="nil"/>
              <w:left w:val="nil"/>
              <w:bottom w:val="nil"/>
              <w:right w:val="nil"/>
            </w:tcBorders>
            <w:shd w:val="clear" w:color="auto" w:fill="auto"/>
            <w:noWrap/>
            <w:vAlign w:val="bottom"/>
            <w:hideMark/>
          </w:tcPr>
          <w:p w14:paraId="18B0A79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-0.1538</w:t>
            </w:r>
          </w:p>
        </w:tc>
        <w:tc>
          <w:tcPr>
            <w:tcW w:w="1166" w:type="dxa"/>
            <w:tcBorders>
              <w:top w:val="nil"/>
              <w:left w:val="nil"/>
              <w:bottom w:val="nil"/>
              <w:right w:val="nil"/>
            </w:tcBorders>
            <w:shd w:val="clear" w:color="auto" w:fill="auto"/>
            <w:noWrap/>
            <w:vAlign w:val="bottom"/>
            <w:hideMark/>
          </w:tcPr>
          <w:p w14:paraId="4C195A4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0.0262</w:t>
            </w:r>
          </w:p>
        </w:tc>
        <w:tc>
          <w:tcPr>
            <w:tcW w:w="897" w:type="dxa"/>
            <w:tcBorders>
              <w:top w:val="nil"/>
              <w:left w:val="nil"/>
              <w:bottom w:val="nil"/>
              <w:right w:val="nil"/>
            </w:tcBorders>
            <w:shd w:val="clear" w:color="auto" w:fill="auto"/>
            <w:noWrap/>
            <w:vAlign w:val="bottom"/>
            <w:hideMark/>
          </w:tcPr>
          <w:p w14:paraId="03A8AE7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0.0000</w:t>
            </w:r>
          </w:p>
        </w:tc>
        <w:tc>
          <w:tcPr>
            <w:tcW w:w="2165" w:type="dxa"/>
            <w:tcBorders>
              <w:top w:val="nil"/>
              <w:left w:val="nil"/>
              <w:bottom w:val="nil"/>
              <w:right w:val="nil"/>
            </w:tcBorders>
            <w:shd w:val="clear" w:color="auto" w:fill="auto"/>
            <w:noWrap/>
            <w:vAlign w:val="center"/>
            <w:hideMark/>
          </w:tcPr>
          <w:p w14:paraId="79398A7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[-0.2057, -0.1019]</w:t>
            </w:r>
          </w:p>
        </w:tc>
        <w:tc>
          <w:tcPr>
            <w:tcW w:w="1243" w:type="dxa"/>
            <w:tcBorders>
              <w:top w:val="nil"/>
              <w:left w:val="nil"/>
              <w:bottom w:val="nil"/>
              <w:right w:val="nil"/>
            </w:tcBorders>
            <w:shd w:val="clear" w:color="auto" w:fill="auto"/>
            <w:noWrap/>
            <w:vAlign w:val="bottom"/>
            <w:hideMark/>
          </w:tcPr>
          <w:p w14:paraId="2F82719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0.2455</w:t>
            </w:r>
          </w:p>
        </w:tc>
      </w:tr>
      <w:tr w:rsidR="00103457" w:rsidRPr="00103457" w14:paraId="544228E0" w14:textId="77777777" w:rsidTr="002C3697">
        <w:trPr>
          <w:trHeight w:val="332"/>
        </w:trPr>
        <w:tc>
          <w:tcPr>
            <w:tcW w:w="966" w:type="dxa"/>
            <w:vMerge/>
            <w:tcBorders>
              <w:top w:val="nil"/>
              <w:left w:val="nil"/>
              <w:bottom w:val="nil"/>
              <w:right w:val="nil"/>
            </w:tcBorders>
            <w:vAlign w:val="center"/>
            <w:hideMark/>
          </w:tcPr>
          <w:p w14:paraId="01B6DFAF" w14:textId="77777777" w:rsidR="00103457" w:rsidRPr="00103457" w:rsidRDefault="00103457" w:rsidP="00103457">
            <w:pPr>
              <w:suppressLineNumbers/>
              <w:spacing w:line="240" w:lineRule="auto"/>
              <w:rPr>
                <w:rFonts w:ascii="Times New Roman" w:hAnsi="Times New Roman"/>
                <w:color w:val="000000"/>
              </w:rPr>
            </w:pPr>
          </w:p>
        </w:tc>
        <w:tc>
          <w:tcPr>
            <w:tcW w:w="1847" w:type="dxa"/>
            <w:tcBorders>
              <w:top w:val="nil"/>
              <w:left w:val="nil"/>
              <w:bottom w:val="nil"/>
              <w:right w:val="nil"/>
            </w:tcBorders>
            <w:shd w:val="clear" w:color="auto" w:fill="auto"/>
            <w:noWrap/>
            <w:vAlign w:val="bottom"/>
            <w:hideMark/>
          </w:tcPr>
          <w:p w14:paraId="5FAFDD2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Gravity Index</w:t>
            </w:r>
          </w:p>
        </w:tc>
        <w:tc>
          <w:tcPr>
            <w:tcW w:w="968" w:type="dxa"/>
            <w:tcBorders>
              <w:top w:val="nil"/>
              <w:left w:val="nil"/>
              <w:bottom w:val="nil"/>
              <w:right w:val="nil"/>
            </w:tcBorders>
            <w:shd w:val="clear" w:color="auto" w:fill="auto"/>
            <w:noWrap/>
            <w:vAlign w:val="bottom"/>
            <w:hideMark/>
          </w:tcPr>
          <w:p w14:paraId="78C494F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-0.0439</w:t>
            </w:r>
          </w:p>
        </w:tc>
        <w:tc>
          <w:tcPr>
            <w:tcW w:w="1166" w:type="dxa"/>
            <w:tcBorders>
              <w:top w:val="nil"/>
              <w:left w:val="nil"/>
              <w:bottom w:val="nil"/>
              <w:right w:val="nil"/>
            </w:tcBorders>
            <w:shd w:val="clear" w:color="auto" w:fill="auto"/>
            <w:noWrap/>
            <w:vAlign w:val="bottom"/>
            <w:hideMark/>
          </w:tcPr>
          <w:p w14:paraId="28947AA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0.0150</w:t>
            </w:r>
          </w:p>
        </w:tc>
        <w:tc>
          <w:tcPr>
            <w:tcW w:w="897" w:type="dxa"/>
            <w:tcBorders>
              <w:top w:val="nil"/>
              <w:left w:val="nil"/>
              <w:bottom w:val="nil"/>
              <w:right w:val="nil"/>
            </w:tcBorders>
            <w:shd w:val="clear" w:color="auto" w:fill="auto"/>
            <w:noWrap/>
            <w:vAlign w:val="bottom"/>
            <w:hideMark/>
          </w:tcPr>
          <w:p w14:paraId="6331990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0.0035</w:t>
            </w:r>
          </w:p>
        </w:tc>
        <w:tc>
          <w:tcPr>
            <w:tcW w:w="2165" w:type="dxa"/>
            <w:tcBorders>
              <w:top w:val="nil"/>
              <w:left w:val="nil"/>
              <w:bottom w:val="nil"/>
              <w:right w:val="nil"/>
            </w:tcBorders>
            <w:shd w:val="clear" w:color="auto" w:fill="auto"/>
            <w:noWrap/>
            <w:vAlign w:val="center"/>
            <w:hideMark/>
          </w:tcPr>
          <w:p w14:paraId="00C97FC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[-0.0730, -0.0147]</w:t>
            </w:r>
          </w:p>
        </w:tc>
        <w:tc>
          <w:tcPr>
            <w:tcW w:w="1243" w:type="dxa"/>
            <w:tcBorders>
              <w:top w:val="nil"/>
              <w:left w:val="nil"/>
              <w:bottom w:val="nil"/>
              <w:right w:val="nil"/>
            </w:tcBorders>
            <w:shd w:val="clear" w:color="auto" w:fill="auto"/>
            <w:noWrap/>
            <w:vAlign w:val="bottom"/>
            <w:hideMark/>
          </w:tcPr>
          <w:p w14:paraId="4D370ED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0.0775</w:t>
            </w:r>
          </w:p>
        </w:tc>
      </w:tr>
      <w:tr w:rsidR="00103457" w:rsidRPr="00103457" w14:paraId="468B759C" w14:textId="77777777" w:rsidTr="002C3697">
        <w:trPr>
          <w:trHeight w:val="332"/>
        </w:trPr>
        <w:tc>
          <w:tcPr>
            <w:tcW w:w="966" w:type="dxa"/>
            <w:vMerge w:val="restart"/>
            <w:tcBorders>
              <w:top w:val="single" w:sz="4" w:space="0" w:color="auto"/>
              <w:left w:val="nil"/>
              <w:bottom w:val="single" w:sz="4" w:space="0" w:color="000000"/>
              <w:right w:val="nil"/>
            </w:tcBorders>
            <w:shd w:val="clear" w:color="auto" w:fill="auto"/>
            <w:noWrap/>
            <w:vAlign w:val="center"/>
            <w:hideMark/>
          </w:tcPr>
          <w:p w14:paraId="0926F09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Ghana</w:t>
            </w:r>
          </w:p>
        </w:tc>
        <w:tc>
          <w:tcPr>
            <w:tcW w:w="1847" w:type="dxa"/>
            <w:tcBorders>
              <w:top w:val="single" w:sz="4" w:space="0" w:color="auto"/>
              <w:left w:val="nil"/>
              <w:bottom w:val="nil"/>
              <w:right w:val="nil"/>
            </w:tcBorders>
            <w:shd w:val="clear" w:color="auto" w:fill="auto"/>
            <w:noWrap/>
            <w:vAlign w:val="bottom"/>
            <w:hideMark/>
          </w:tcPr>
          <w:p w14:paraId="35E8BB2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Developed Area</w:t>
            </w:r>
          </w:p>
        </w:tc>
        <w:tc>
          <w:tcPr>
            <w:tcW w:w="968" w:type="dxa"/>
            <w:tcBorders>
              <w:top w:val="single" w:sz="4" w:space="0" w:color="auto"/>
              <w:left w:val="nil"/>
              <w:bottom w:val="nil"/>
              <w:right w:val="nil"/>
            </w:tcBorders>
            <w:shd w:val="clear" w:color="auto" w:fill="auto"/>
            <w:noWrap/>
            <w:vAlign w:val="bottom"/>
            <w:hideMark/>
          </w:tcPr>
          <w:p w14:paraId="3C61A3E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-0.1481</w:t>
            </w:r>
          </w:p>
        </w:tc>
        <w:tc>
          <w:tcPr>
            <w:tcW w:w="1166" w:type="dxa"/>
            <w:tcBorders>
              <w:top w:val="single" w:sz="4" w:space="0" w:color="auto"/>
              <w:left w:val="nil"/>
              <w:bottom w:val="nil"/>
              <w:right w:val="nil"/>
            </w:tcBorders>
            <w:shd w:val="clear" w:color="auto" w:fill="auto"/>
            <w:noWrap/>
            <w:vAlign w:val="bottom"/>
            <w:hideMark/>
          </w:tcPr>
          <w:p w14:paraId="08D8FC9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0.0319</w:t>
            </w:r>
          </w:p>
        </w:tc>
        <w:tc>
          <w:tcPr>
            <w:tcW w:w="897" w:type="dxa"/>
            <w:tcBorders>
              <w:top w:val="single" w:sz="4" w:space="0" w:color="auto"/>
              <w:left w:val="nil"/>
              <w:bottom w:val="nil"/>
              <w:right w:val="nil"/>
            </w:tcBorders>
            <w:shd w:val="clear" w:color="auto" w:fill="auto"/>
            <w:noWrap/>
            <w:vAlign w:val="bottom"/>
            <w:hideMark/>
          </w:tcPr>
          <w:p w14:paraId="075E8DB0"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0.0000</w:t>
            </w:r>
          </w:p>
        </w:tc>
        <w:tc>
          <w:tcPr>
            <w:tcW w:w="2165" w:type="dxa"/>
            <w:tcBorders>
              <w:top w:val="single" w:sz="4" w:space="0" w:color="auto"/>
              <w:left w:val="nil"/>
              <w:bottom w:val="nil"/>
              <w:right w:val="nil"/>
            </w:tcBorders>
            <w:shd w:val="clear" w:color="auto" w:fill="auto"/>
            <w:noWrap/>
            <w:vAlign w:val="center"/>
            <w:hideMark/>
          </w:tcPr>
          <w:p w14:paraId="516E5D3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[-0.2110, -0.0851]</w:t>
            </w:r>
          </w:p>
        </w:tc>
        <w:tc>
          <w:tcPr>
            <w:tcW w:w="1243" w:type="dxa"/>
            <w:tcBorders>
              <w:top w:val="single" w:sz="4" w:space="0" w:color="auto"/>
              <w:left w:val="nil"/>
              <w:bottom w:val="nil"/>
              <w:right w:val="nil"/>
            </w:tcBorders>
            <w:shd w:val="clear" w:color="auto" w:fill="auto"/>
            <w:noWrap/>
            <w:vAlign w:val="bottom"/>
            <w:hideMark/>
          </w:tcPr>
          <w:p w14:paraId="11FA3337"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0.0957</w:t>
            </w:r>
          </w:p>
        </w:tc>
      </w:tr>
      <w:tr w:rsidR="00103457" w:rsidRPr="00103457" w14:paraId="399A8C2B" w14:textId="77777777" w:rsidTr="002C3697">
        <w:trPr>
          <w:trHeight w:val="332"/>
        </w:trPr>
        <w:tc>
          <w:tcPr>
            <w:tcW w:w="966" w:type="dxa"/>
            <w:vMerge/>
            <w:tcBorders>
              <w:top w:val="single" w:sz="4" w:space="0" w:color="auto"/>
              <w:left w:val="nil"/>
              <w:bottom w:val="single" w:sz="4" w:space="0" w:color="000000"/>
              <w:right w:val="nil"/>
            </w:tcBorders>
            <w:vAlign w:val="center"/>
            <w:hideMark/>
          </w:tcPr>
          <w:p w14:paraId="6F2BB716" w14:textId="77777777" w:rsidR="00103457" w:rsidRPr="00103457" w:rsidRDefault="00103457" w:rsidP="00103457">
            <w:pPr>
              <w:suppressLineNumbers/>
              <w:spacing w:line="240" w:lineRule="auto"/>
              <w:rPr>
                <w:rFonts w:ascii="Times New Roman" w:hAnsi="Times New Roman"/>
                <w:color w:val="000000"/>
              </w:rPr>
            </w:pPr>
          </w:p>
        </w:tc>
        <w:tc>
          <w:tcPr>
            <w:tcW w:w="1847" w:type="dxa"/>
            <w:tcBorders>
              <w:top w:val="nil"/>
              <w:left w:val="nil"/>
              <w:bottom w:val="single" w:sz="4" w:space="0" w:color="auto"/>
              <w:right w:val="nil"/>
            </w:tcBorders>
            <w:shd w:val="clear" w:color="auto" w:fill="auto"/>
            <w:noWrap/>
            <w:vAlign w:val="bottom"/>
            <w:hideMark/>
          </w:tcPr>
          <w:p w14:paraId="7B1BC9E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Gravity Index</w:t>
            </w:r>
          </w:p>
        </w:tc>
        <w:tc>
          <w:tcPr>
            <w:tcW w:w="968" w:type="dxa"/>
            <w:tcBorders>
              <w:top w:val="nil"/>
              <w:left w:val="nil"/>
              <w:bottom w:val="single" w:sz="4" w:space="0" w:color="auto"/>
              <w:right w:val="nil"/>
            </w:tcBorders>
            <w:shd w:val="clear" w:color="auto" w:fill="auto"/>
            <w:noWrap/>
            <w:vAlign w:val="bottom"/>
            <w:hideMark/>
          </w:tcPr>
          <w:p w14:paraId="741D164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-0.0225</w:t>
            </w:r>
          </w:p>
        </w:tc>
        <w:tc>
          <w:tcPr>
            <w:tcW w:w="1166" w:type="dxa"/>
            <w:tcBorders>
              <w:top w:val="nil"/>
              <w:left w:val="nil"/>
              <w:bottom w:val="single" w:sz="4" w:space="0" w:color="auto"/>
              <w:right w:val="nil"/>
            </w:tcBorders>
            <w:shd w:val="clear" w:color="auto" w:fill="auto"/>
            <w:noWrap/>
            <w:vAlign w:val="bottom"/>
            <w:hideMark/>
          </w:tcPr>
          <w:p w14:paraId="1AEBA12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0.0250</w:t>
            </w:r>
          </w:p>
        </w:tc>
        <w:tc>
          <w:tcPr>
            <w:tcW w:w="897" w:type="dxa"/>
            <w:tcBorders>
              <w:top w:val="nil"/>
              <w:left w:val="nil"/>
              <w:bottom w:val="single" w:sz="4" w:space="0" w:color="auto"/>
              <w:right w:val="nil"/>
            </w:tcBorders>
            <w:shd w:val="clear" w:color="auto" w:fill="auto"/>
            <w:noWrap/>
            <w:vAlign w:val="bottom"/>
            <w:hideMark/>
          </w:tcPr>
          <w:p w14:paraId="5C91C0B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0.3690</w:t>
            </w:r>
          </w:p>
        </w:tc>
        <w:tc>
          <w:tcPr>
            <w:tcW w:w="2165" w:type="dxa"/>
            <w:tcBorders>
              <w:top w:val="nil"/>
              <w:left w:val="nil"/>
              <w:bottom w:val="single" w:sz="4" w:space="0" w:color="auto"/>
              <w:right w:val="nil"/>
            </w:tcBorders>
            <w:shd w:val="clear" w:color="auto" w:fill="auto"/>
            <w:noWrap/>
            <w:vAlign w:val="center"/>
            <w:hideMark/>
          </w:tcPr>
          <w:p w14:paraId="5E9AEFC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[-0.0718, 0.0268]</w:t>
            </w:r>
          </w:p>
        </w:tc>
        <w:tc>
          <w:tcPr>
            <w:tcW w:w="1243" w:type="dxa"/>
            <w:tcBorders>
              <w:top w:val="nil"/>
              <w:left w:val="nil"/>
              <w:bottom w:val="single" w:sz="4" w:space="0" w:color="auto"/>
              <w:right w:val="nil"/>
            </w:tcBorders>
            <w:shd w:val="clear" w:color="auto" w:fill="auto"/>
            <w:noWrap/>
            <w:vAlign w:val="bottom"/>
            <w:hideMark/>
          </w:tcPr>
          <w:p w14:paraId="78ED1063"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0.0040</w:t>
            </w:r>
          </w:p>
        </w:tc>
      </w:tr>
      <w:tr w:rsidR="00103457" w:rsidRPr="00103457" w14:paraId="2955976F" w14:textId="77777777" w:rsidTr="002C3697">
        <w:trPr>
          <w:trHeight w:val="332"/>
        </w:trPr>
        <w:tc>
          <w:tcPr>
            <w:tcW w:w="966" w:type="dxa"/>
            <w:vMerge w:val="restart"/>
            <w:tcBorders>
              <w:top w:val="nil"/>
              <w:left w:val="nil"/>
              <w:bottom w:val="single" w:sz="4" w:space="0" w:color="000000"/>
              <w:right w:val="nil"/>
            </w:tcBorders>
            <w:shd w:val="clear" w:color="auto" w:fill="auto"/>
            <w:noWrap/>
            <w:vAlign w:val="center"/>
            <w:hideMark/>
          </w:tcPr>
          <w:p w14:paraId="79001E2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Nigeria</w:t>
            </w:r>
          </w:p>
        </w:tc>
        <w:tc>
          <w:tcPr>
            <w:tcW w:w="1847" w:type="dxa"/>
            <w:tcBorders>
              <w:top w:val="nil"/>
              <w:left w:val="nil"/>
              <w:bottom w:val="nil"/>
              <w:right w:val="nil"/>
            </w:tcBorders>
            <w:shd w:val="clear" w:color="auto" w:fill="auto"/>
            <w:noWrap/>
            <w:vAlign w:val="bottom"/>
            <w:hideMark/>
          </w:tcPr>
          <w:p w14:paraId="14923B9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Developed Area</w:t>
            </w:r>
          </w:p>
        </w:tc>
        <w:tc>
          <w:tcPr>
            <w:tcW w:w="968" w:type="dxa"/>
            <w:tcBorders>
              <w:top w:val="nil"/>
              <w:left w:val="nil"/>
              <w:bottom w:val="nil"/>
              <w:right w:val="nil"/>
            </w:tcBorders>
            <w:shd w:val="clear" w:color="auto" w:fill="auto"/>
            <w:noWrap/>
            <w:vAlign w:val="bottom"/>
            <w:hideMark/>
          </w:tcPr>
          <w:p w14:paraId="49045C3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-0.1320</w:t>
            </w:r>
          </w:p>
        </w:tc>
        <w:tc>
          <w:tcPr>
            <w:tcW w:w="1166" w:type="dxa"/>
            <w:tcBorders>
              <w:top w:val="nil"/>
              <w:left w:val="nil"/>
              <w:bottom w:val="nil"/>
              <w:right w:val="nil"/>
            </w:tcBorders>
            <w:shd w:val="clear" w:color="auto" w:fill="auto"/>
            <w:noWrap/>
            <w:vAlign w:val="bottom"/>
            <w:hideMark/>
          </w:tcPr>
          <w:p w14:paraId="4753178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0.0143</w:t>
            </w:r>
          </w:p>
        </w:tc>
        <w:tc>
          <w:tcPr>
            <w:tcW w:w="897" w:type="dxa"/>
            <w:tcBorders>
              <w:top w:val="nil"/>
              <w:left w:val="nil"/>
              <w:bottom w:val="nil"/>
              <w:right w:val="nil"/>
            </w:tcBorders>
            <w:shd w:val="clear" w:color="auto" w:fill="auto"/>
            <w:noWrap/>
            <w:vAlign w:val="bottom"/>
            <w:hideMark/>
          </w:tcPr>
          <w:p w14:paraId="59B9820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0.0000</w:t>
            </w:r>
          </w:p>
        </w:tc>
        <w:tc>
          <w:tcPr>
            <w:tcW w:w="2165" w:type="dxa"/>
            <w:tcBorders>
              <w:top w:val="nil"/>
              <w:left w:val="nil"/>
              <w:bottom w:val="nil"/>
              <w:right w:val="nil"/>
            </w:tcBorders>
            <w:shd w:val="clear" w:color="auto" w:fill="auto"/>
            <w:noWrap/>
            <w:vAlign w:val="center"/>
            <w:hideMark/>
          </w:tcPr>
          <w:p w14:paraId="3CBF5D4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[-0.1601, -0.1040]</w:t>
            </w:r>
          </w:p>
        </w:tc>
        <w:tc>
          <w:tcPr>
            <w:tcW w:w="1243" w:type="dxa"/>
            <w:tcBorders>
              <w:top w:val="nil"/>
              <w:left w:val="nil"/>
              <w:bottom w:val="nil"/>
              <w:right w:val="nil"/>
            </w:tcBorders>
            <w:shd w:val="clear" w:color="auto" w:fill="auto"/>
            <w:noWrap/>
            <w:vAlign w:val="bottom"/>
            <w:hideMark/>
          </w:tcPr>
          <w:p w14:paraId="14695E5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0.0628</w:t>
            </w:r>
          </w:p>
        </w:tc>
      </w:tr>
      <w:tr w:rsidR="00103457" w:rsidRPr="00103457" w14:paraId="1AC8F002" w14:textId="77777777" w:rsidTr="002C3697">
        <w:trPr>
          <w:trHeight w:val="332"/>
        </w:trPr>
        <w:tc>
          <w:tcPr>
            <w:tcW w:w="966" w:type="dxa"/>
            <w:vMerge/>
            <w:tcBorders>
              <w:top w:val="nil"/>
              <w:left w:val="nil"/>
              <w:bottom w:val="single" w:sz="4" w:space="0" w:color="000000"/>
              <w:right w:val="nil"/>
            </w:tcBorders>
            <w:vAlign w:val="center"/>
            <w:hideMark/>
          </w:tcPr>
          <w:p w14:paraId="539F5703" w14:textId="77777777" w:rsidR="00103457" w:rsidRPr="00103457" w:rsidRDefault="00103457" w:rsidP="00103457">
            <w:pPr>
              <w:suppressLineNumbers/>
              <w:spacing w:line="240" w:lineRule="auto"/>
              <w:rPr>
                <w:rFonts w:ascii="Times New Roman" w:hAnsi="Times New Roman"/>
                <w:color w:val="000000"/>
              </w:rPr>
            </w:pPr>
          </w:p>
        </w:tc>
        <w:tc>
          <w:tcPr>
            <w:tcW w:w="1847" w:type="dxa"/>
            <w:tcBorders>
              <w:top w:val="nil"/>
              <w:left w:val="nil"/>
              <w:bottom w:val="single" w:sz="4" w:space="0" w:color="auto"/>
              <w:right w:val="nil"/>
            </w:tcBorders>
            <w:shd w:val="clear" w:color="auto" w:fill="auto"/>
            <w:noWrap/>
            <w:vAlign w:val="bottom"/>
            <w:hideMark/>
          </w:tcPr>
          <w:p w14:paraId="22D9F83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Gravity Index</w:t>
            </w:r>
          </w:p>
        </w:tc>
        <w:tc>
          <w:tcPr>
            <w:tcW w:w="968" w:type="dxa"/>
            <w:tcBorders>
              <w:top w:val="nil"/>
              <w:left w:val="nil"/>
              <w:bottom w:val="single" w:sz="4" w:space="0" w:color="auto"/>
              <w:right w:val="nil"/>
            </w:tcBorders>
            <w:shd w:val="clear" w:color="auto" w:fill="auto"/>
            <w:noWrap/>
            <w:vAlign w:val="bottom"/>
            <w:hideMark/>
          </w:tcPr>
          <w:p w14:paraId="1F132B12"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0.0939</w:t>
            </w:r>
          </w:p>
        </w:tc>
        <w:tc>
          <w:tcPr>
            <w:tcW w:w="1166" w:type="dxa"/>
            <w:tcBorders>
              <w:top w:val="nil"/>
              <w:left w:val="nil"/>
              <w:bottom w:val="single" w:sz="4" w:space="0" w:color="auto"/>
              <w:right w:val="nil"/>
            </w:tcBorders>
            <w:shd w:val="clear" w:color="auto" w:fill="auto"/>
            <w:noWrap/>
            <w:vAlign w:val="bottom"/>
            <w:hideMark/>
          </w:tcPr>
          <w:p w14:paraId="3D681F0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0.1564</w:t>
            </w:r>
          </w:p>
        </w:tc>
        <w:tc>
          <w:tcPr>
            <w:tcW w:w="897" w:type="dxa"/>
            <w:tcBorders>
              <w:top w:val="nil"/>
              <w:left w:val="nil"/>
              <w:bottom w:val="single" w:sz="4" w:space="0" w:color="auto"/>
              <w:right w:val="nil"/>
            </w:tcBorders>
            <w:shd w:val="clear" w:color="auto" w:fill="auto"/>
            <w:noWrap/>
            <w:vAlign w:val="bottom"/>
            <w:hideMark/>
          </w:tcPr>
          <w:p w14:paraId="5E7AAF3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0.0000</w:t>
            </w:r>
          </w:p>
        </w:tc>
        <w:tc>
          <w:tcPr>
            <w:tcW w:w="2165" w:type="dxa"/>
            <w:tcBorders>
              <w:top w:val="nil"/>
              <w:left w:val="nil"/>
              <w:bottom w:val="single" w:sz="4" w:space="0" w:color="auto"/>
              <w:right w:val="nil"/>
            </w:tcBorders>
            <w:shd w:val="clear" w:color="auto" w:fill="auto"/>
            <w:noWrap/>
            <w:vAlign w:val="center"/>
            <w:hideMark/>
          </w:tcPr>
          <w:p w14:paraId="23A1F914"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[0.0632, 0.1245]</w:t>
            </w:r>
          </w:p>
        </w:tc>
        <w:tc>
          <w:tcPr>
            <w:tcW w:w="1243" w:type="dxa"/>
            <w:tcBorders>
              <w:top w:val="nil"/>
              <w:left w:val="nil"/>
              <w:bottom w:val="single" w:sz="4" w:space="0" w:color="auto"/>
              <w:right w:val="nil"/>
            </w:tcBorders>
            <w:shd w:val="clear" w:color="auto" w:fill="auto"/>
            <w:noWrap/>
            <w:vAlign w:val="bottom"/>
            <w:hideMark/>
          </w:tcPr>
          <w:p w14:paraId="17DD2B0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0.0275</w:t>
            </w:r>
          </w:p>
        </w:tc>
      </w:tr>
      <w:tr w:rsidR="00103457" w:rsidRPr="00103457" w14:paraId="2024B15F" w14:textId="77777777" w:rsidTr="002C3697">
        <w:trPr>
          <w:trHeight w:val="332"/>
        </w:trPr>
        <w:tc>
          <w:tcPr>
            <w:tcW w:w="966" w:type="dxa"/>
            <w:vMerge w:val="restart"/>
            <w:tcBorders>
              <w:top w:val="nil"/>
              <w:left w:val="nil"/>
              <w:bottom w:val="single" w:sz="4" w:space="0" w:color="000000"/>
              <w:right w:val="nil"/>
            </w:tcBorders>
            <w:shd w:val="clear" w:color="auto" w:fill="auto"/>
            <w:noWrap/>
            <w:vAlign w:val="center"/>
            <w:hideMark/>
          </w:tcPr>
          <w:p w14:paraId="29AC3A3F"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Togo</w:t>
            </w:r>
          </w:p>
        </w:tc>
        <w:tc>
          <w:tcPr>
            <w:tcW w:w="1847" w:type="dxa"/>
            <w:tcBorders>
              <w:top w:val="nil"/>
              <w:left w:val="nil"/>
              <w:bottom w:val="nil"/>
              <w:right w:val="nil"/>
            </w:tcBorders>
            <w:shd w:val="clear" w:color="auto" w:fill="auto"/>
            <w:noWrap/>
            <w:vAlign w:val="bottom"/>
            <w:hideMark/>
          </w:tcPr>
          <w:p w14:paraId="4F433B3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Developed Area</w:t>
            </w:r>
          </w:p>
        </w:tc>
        <w:tc>
          <w:tcPr>
            <w:tcW w:w="968" w:type="dxa"/>
            <w:tcBorders>
              <w:top w:val="nil"/>
              <w:left w:val="nil"/>
              <w:bottom w:val="nil"/>
              <w:right w:val="nil"/>
            </w:tcBorders>
            <w:shd w:val="clear" w:color="auto" w:fill="auto"/>
            <w:noWrap/>
            <w:vAlign w:val="bottom"/>
            <w:hideMark/>
          </w:tcPr>
          <w:p w14:paraId="6144370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-0.1082</w:t>
            </w:r>
          </w:p>
        </w:tc>
        <w:tc>
          <w:tcPr>
            <w:tcW w:w="1166" w:type="dxa"/>
            <w:tcBorders>
              <w:top w:val="nil"/>
              <w:left w:val="nil"/>
              <w:bottom w:val="nil"/>
              <w:right w:val="nil"/>
            </w:tcBorders>
            <w:shd w:val="clear" w:color="auto" w:fill="auto"/>
            <w:noWrap/>
            <w:vAlign w:val="bottom"/>
            <w:hideMark/>
          </w:tcPr>
          <w:p w14:paraId="1100C7C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0.0760</w:t>
            </w:r>
          </w:p>
        </w:tc>
        <w:tc>
          <w:tcPr>
            <w:tcW w:w="897" w:type="dxa"/>
            <w:tcBorders>
              <w:top w:val="nil"/>
              <w:left w:val="nil"/>
              <w:bottom w:val="nil"/>
              <w:right w:val="nil"/>
            </w:tcBorders>
            <w:shd w:val="clear" w:color="auto" w:fill="auto"/>
            <w:noWrap/>
            <w:vAlign w:val="bottom"/>
            <w:hideMark/>
          </w:tcPr>
          <w:p w14:paraId="65FD5098"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0.1610</w:t>
            </w:r>
          </w:p>
        </w:tc>
        <w:tc>
          <w:tcPr>
            <w:tcW w:w="2165" w:type="dxa"/>
            <w:tcBorders>
              <w:top w:val="nil"/>
              <w:left w:val="nil"/>
              <w:bottom w:val="nil"/>
              <w:right w:val="nil"/>
            </w:tcBorders>
            <w:shd w:val="clear" w:color="auto" w:fill="auto"/>
            <w:noWrap/>
            <w:vAlign w:val="center"/>
            <w:hideMark/>
          </w:tcPr>
          <w:p w14:paraId="4209CA9C"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[-0.2609, 0.0446]</w:t>
            </w:r>
          </w:p>
        </w:tc>
        <w:tc>
          <w:tcPr>
            <w:tcW w:w="1243" w:type="dxa"/>
            <w:tcBorders>
              <w:top w:val="nil"/>
              <w:left w:val="nil"/>
              <w:bottom w:val="nil"/>
              <w:right w:val="nil"/>
            </w:tcBorders>
            <w:shd w:val="clear" w:color="auto" w:fill="auto"/>
            <w:noWrap/>
            <w:vAlign w:val="bottom"/>
            <w:hideMark/>
          </w:tcPr>
          <w:p w14:paraId="0CAE9206"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0.0397</w:t>
            </w:r>
          </w:p>
        </w:tc>
      </w:tr>
      <w:tr w:rsidR="00103457" w:rsidRPr="00103457" w14:paraId="36FBB629" w14:textId="77777777" w:rsidTr="002C3697">
        <w:trPr>
          <w:trHeight w:val="332"/>
        </w:trPr>
        <w:tc>
          <w:tcPr>
            <w:tcW w:w="966" w:type="dxa"/>
            <w:vMerge/>
            <w:tcBorders>
              <w:top w:val="nil"/>
              <w:left w:val="nil"/>
              <w:bottom w:val="single" w:sz="4" w:space="0" w:color="000000"/>
              <w:right w:val="nil"/>
            </w:tcBorders>
            <w:vAlign w:val="center"/>
            <w:hideMark/>
          </w:tcPr>
          <w:p w14:paraId="3AB53E09" w14:textId="77777777" w:rsidR="00103457" w:rsidRPr="00103457" w:rsidRDefault="00103457" w:rsidP="00103457">
            <w:pPr>
              <w:suppressLineNumbers/>
              <w:spacing w:line="240" w:lineRule="auto"/>
              <w:rPr>
                <w:rFonts w:ascii="Times New Roman" w:hAnsi="Times New Roman"/>
                <w:color w:val="000000"/>
              </w:rPr>
            </w:pPr>
          </w:p>
        </w:tc>
        <w:tc>
          <w:tcPr>
            <w:tcW w:w="1847" w:type="dxa"/>
            <w:tcBorders>
              <w:top w:val="nil"/>
              <w:left w:val="nil"/>
              <w:bottom w:val="single" w:sz="4" w:space="0" w:color="auto"/>
              <w:right w:val="nil"/>
            </w:tcBorders>
            <w:shd w:val="clear" w:color="auto" w:fill="auto"/>
            <w:noWrap/>
            <w:vAlign w:val="bottom"/>
            <w:hideMark/>
          </w:tcPr>
          <w:p w14:paraId="5619C5C5"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Gravity Index</w:t>
            </w:r>
          </w:p>
        </w:tc>
        <w:tc>
          <w:tcPr>
            <w:tcW w:w="968" w:type="dxa"/>
            <w:tcBorders>
              <w:top w:val="nil"/>
              <w:left w:val="nil"/>
              <w:bottom w:val="single" w:sz="4" w:space="0" w:color="auto"/>
              <w:right w:val="nil"/>
            </w:tcBorders>
            <w:shd w:val="clear" w:color="auto" w:fill="auto"/>
            <w:noWrap/>
            <w:vAlign w:val="bottom"/>
            <w:hideMark/>
          </w:tcPr>
          <w:p w14:paraId="35C502FD"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-0.1968</w:t>
            </w:r>
          </w:p>
        </w:tc>
        <w:tc>
          <w:tcPr>
            <w:tcW w:w="1166" w:type="dxa"/>
            <w:tcBorders>
              <w:top w:val="nil"/>
              <w:left w:val="nil"/>
              <w:bottom w:val="single" w:sz="4" w:space="0" w:color="auto"/>
              <w:right w:val="nil"/>
            </w:tcBorders>
            <w:shd w:val="clear" w:color="auto" w:fill="auto"/>
            <w:noWrap/>
            <w:vAlign w:val="bottom"/>
            <w:hideMark/>
          </w:tcPr>
          <w:p w14:paraId="62107761"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0.0444</w:t>
            </w:r>
          </w:p>
        </w:tc>
        <w:tc>
          <w:tcPr>
            <w:tcW w:w="897" w:type="dxa"/>
            <w:tcBorders>
              <w:top w:val="nil"/>
              <w:left w:val="nil"/>
              <w:bottom w:val="single" w:sz="4" w:space="0" w:color="auto"/>
              <w:right w:val="nil"/>
            </w:tcBorders>
            <w:shd w:val="clear" w:color="auto" w:fill="auto"/>
            <w:noWrap/>
            <w:vAlign w:val="bottom"/>
            <w:hideMark/>
          </w:tcPr>
          <w:p w14:paraId="2CC0AB6B"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0.0001</w:t>
            </w:r>
          </w:p>
        </w:tc>
        <w:tc>
          <w:tcPr>
            <w:tcW w:w="2165" w:type="dxa"/>
            <w:tcBorders>
              <w:top w:val="nil"/>
              <w:left w:val="nil"/>
              <w:bottom w:val="single" w:sz="4" w:space="0" w:color="auto"/>
              <w:right w:val="nil"/>
            </w:tcBorders>
            <w:shd w:val="clear" w:color="auto" w:fill="auto"/>
            <w:noWrap/>
            <w:vAlign w:val="center"/>
            <w:hideMark/>
          </w:tcPr>
          <w:p w14:paraId="767CDFEA"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[-0.2860, -0.1076]</w:t>
            </w:r>
          </w:p>
        </w:tc>
        <w:tc>
          <w:tcPr>
            <w:tcW w:w="1243" w:type="dxa"/>
            <w:tcBorders>
              <w:top w:val="nil"/>
              <w:left w:val="nil"/>
              <w:bottom w:val="single" w:sz="4" w:space="0" w:color="auto"/>
              <w:right w:val="nil"/>
            </w:tcBorders>
            <w:shd w:val="clear" w:color="auto" w:fill="auto"/>
            <w:noWrap/>
            <w:vAlign w:val="bottom"/>
            <w:hideMark/>
          </w:tcPr>
          <w:p w14:paraId="2FA70F1E" w14:textId="77777777" w:rsidR="00103457" w:rsidRPr="00103457" w:rsidRDefault="00103457" w:rsidP="00103457">
            <w:pPr>
              <w:suppressLineNumbers/>
              <w:spacing w:line="240" w:lineRule="auto"/>
              <w:rPr>
                <w:rFonts w:ascii="Times New Roman" w:hAnsi="Times New Roman"/>
                <w:color w:val="000000"/>
              </w:rPr>
            </w:pPr>
            <w:r w:rsidRPr="00103457">
              <w:rPr>
                <w:rFonts w:ascii="Times New Roman" w:hAnsi="Times New Roman"/>
                <w:color w:val="000000"/>
              </w:rPr>
              <w:t>0.2864</w:t>
            </w:r>
          </w:p>
        </w:tc>
      </w:tr>
    </w:tbl>
    <w:p w14:paraId="71880893" w14:textId="77777777" w:rsidR="00103457" w:rsidRPr="00103457" w:rsidRDefault="00103457" w:rsidP="00103457">
      <w:pPr>
        <w:suppressLineNumbers/>
        <w:spacing w:line="240" w:lineRule="auto"/>
        <w:rPr>
          <w:rFonts w:ascii="Times New Roman" w:hAnsi="Times New Roman"/>
          <w:bCs/>
          <w:color w:val="000000"/>
        </w:rPr>
      </w:pPr>
    </w:p>
    <w:p w14:paraId="0ABDECC3" w14:textId="77777777" w:rsidR="00103457" w:rsidRPr="00103457" w:rsidRDefault="00103457" w:rsidP="00103457">
      <w:pPr>
        <w:spacing w:line="240" w:lineRule="auto"/>
        <w:rPr>
          <w:rFonts w:ascii="Times New Roman" w:hAnsi="Times New Roman"/>
          <w:bCs/>
          <w:color w:val="000000"/>
        </w:rPr>
      </w:pPr>
    </w:p>
    <w:p w14:paraId="3330A3F9" w14:textId="7C85DE87" w:rsidR="00103457" w:rsidRPr="00103457" w:rsidRDefault="00103457" w:rsidP="00103457">
      <w:pPr>
        <w:suppressLineNumbers/>
        <w:rPr>
          <w:rFonts w:ascii="Times New Roman" w:hAnsi="Times New Roman"/>
          <w:color w:val="000000"/>
        </w:rPr>
      </w:pPr>
      <w:r w:rsidRPr="00103457">
        <w:rPr>
          <w:rFonts w:ascii="Times New Roman" w:hAnsi="Times New Roman"/>
          <w:noProof/>
          <w:color w:val="000000"/>
          <w:lang w:bidi="ar-SA"/>
        </w:rPr>
        <w:drawing>
          <wp:inline distT="0" distB="0" distL="0" distR="0" wp14:anchorId="12CF1267" wp14:editId="665D4279">
            <wp:extent cx="5895852" cy="2679589"/>
            <wp:effectExtent l="0" t="0" r="0" b="6985"/>
            <wp:docPr id="2111045036" name="Picture 2111045036" descr="A graph of 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45036" name="Picture 1" descr="A graph of a graph of a line&#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98453" cy="2680771"/>
                    </a:xfrm>
                    <a:prstGeom prst="rect">
                      <a:avLst/>
                    </a:prstGeom>
                  </pic:spPr>
                </pic:pic>
              </a:graphicData>
            </a:graphic>
          </wp:inline>
        </w:drawing>
      </w:r>
    </w:p>
    <w:p w14:paraId="6C0F4499" w14:textId="514E3304" w:rsidR="00103457" w:rsidRPr="00103457" w:rsidRDefault="00103457" w:rsidP="0095642F">
      <w:pPr>
        <w:suppressLineNumbers/>
        <w:spacing w:line="240" w:lineRule="auto"/>
        <w:rPr>
          <w:rFonts w:ascii="Times New Roman" w:hAnsi="Times New Roman"/>
          <w:i/>
          <w:color w:val="000000"/>
        </w:rPr>
      </w:pPr>
      <w:bookmarkStart w:id="69" w:name="_Ref143274785"/>
      <w:bookmarkStart w:id="70" w:name="_Toc172233505"/>
      <w:r w:rsidRPr="007D7640">
        <w:rPr>
          <w:rFonts w:ascii="Times New Roman" w:hAnsi="Times New Roman"/>
          <w:b/>
          <w:bCs/>
          <w:color w:val="000000"/>
        </w:rPr>
        <w:t xml:space="preserve">Figure </w:t>
      </w:r>
      <w:r w:rsidRPr="007D7640">
        <w:rPr>
          <w:rFonts w:ascii="Times New Roman" w:hAnsi="Times New Roman"/>
          <w:b/>
          <w:bCs/>
          <w:i/>
          <w:color w:val="000000"/>
        </w:rPr>
        <w:fldChar w:fldCharType="begin"/>
      </w:r>
      <w:r w:rsidRPr="007D7640">
        <w:rPr>
          <w:rFonts w:ascii="Times New Roman" w:hAnsi="Times New Roman"/>
          <w:b/>
          <w:bCs/>
          <w:color w:val="000000"/>
        </w:rPr>
        <w:instrText xml:space="preserve"> SEQ Figure \* ARABIC </w:instrText>
      </w:r>
      <w:r w:rsidRPr="007D7640">
        <w:rPr>
          <w:rFonts w:ascii="Times New Roman" w:hAnsi="Times New Roman"/>
          <w:b/>
          <w:bCs/>
          <w:i/>
          <w:color w:val="000000"/>
        </w:rPr>
        <w:fldChar w:fldCharType="separate"/>
      </w:r>
      <w:r w:rsidR="00B129D9">
        <w:rPr>
          <w:rFonts w:ascii="Times New Roman" w:hAnsi="Times New Roman"/>
          <w:b/>
          <w:bCs/>
          <w:noProof/>
          <w:color w:val="000000"/>
        </w:rPr>
        <w:t>8</w:t>
      </w:r>
      <w:r w:rsidRPr="007D7640">
        <w:rPr>
          <w:rFonts w:ascii="Times New Roman" w:hAnsi="Times New Roman"/>
          <w:b/>
          <w:bCs/>
          <w:i/>
          <w:color w:val="000000"/>
        </w:rPr>
        <w:fldChar w:fldCharType="end"/>
      </w:r>
      <w:bookmarkEnd w:id="69"/>
      <w:r w:rsidRPr="00103457">
        <w:rPr>
          <w:rFonts w:ascii="Times New Roman" w:hAnsi="Times New Roman"/>
          <w:color w:val="000000"/>
        </w:rPr>
        <w:t>: Relationships between mean annual expansion rate (2001-2020), initial developed area (2001) and gravity index (2001) for each country. The initial developed area is in the top row, and the gravity index is in the bottom row.</w:t>
      </w:r>
      <w:bookmarkEnd w:id="70"/>
    </w:p>
    <w:p w14:paraId="20C783D1" w14:textId="77777777" w:rsidR="00103457" w:rsidRPr="00103457" w:rsidRDefault="00103457" w:rsidP="00103457">
      <w:pPr>
        <w:rPr>
          <w:rFonts w:ascii="Times New Roman" w:hAnsi="Times New Roman"/>
          <w:color w:val="000000"/>
        </w:rPr>
      </w:pPr>
    </w:p>
    <w:p w14:paraId="2118A180" w14:textId="77777777" w:rsidR="006F7C17" w:rsidRPr="00103457" w:rsidRDefault="006F7C17" w:rsidP="00E83DAD">
      <w:pPr>
        <w:pStyle w:val="Heading2"/>
      </w:pPr>
      <w:bookmarkStart w:id="71" w:name="_Toc172288720"/>
      <w:r w:rsidRPr="00103457">
        <w:lastRenderedPageBreak/>
        <w:t>Discussion</w:t>
      </w:r>
      <w:bookmarkEnd w:id="71"/>
    </w:p>
    <w:p w14:paraId="48F8644C" w14:textId="77777777" w:rsidR="006F7C17" w:rsidRPr="00103457" w:rsidRDefault="006F7C17" w:rsidP="00277F12">
      <w:pPr>
        <w:pStyle w:val="Heading3"/>
        <w:rPr>
          <w:rFonts w:ascii="Times" w:hAnsi="Times"/>
        </w:rPr>
      </w:pPr>
      <w:bookmarkStart w:id="72" w:name="_Toc172288721"/>
      <w:r w:rsidRPr="00103457">
        <w:t>Patterns of urban expansion rates</w:t>
      </w:r>
      <w:bookmarkEnd w:id="72"/>
    </w:p>
    <w:p w14:paraId="7C2C854F" w14:textId="092A19B8"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We quantified the expansion of 1603 cities in four urbanizing West African countries, including 16 large, 282 medium, and 1305 small cities from 2001-2020 and found high rates of urban expansion across all countries and city sizes. Over the entire study area, the total developed area more than doubled (2.3 times) over the 20-year period and there was a 4.6% mean annual increase in developed area. At a country level, the highest urban expansion rates were in Nigeria</w:t>
      </w:r>
      <w:r w:rsidR="00F25A87">
        <w:rPr>
          <w:rFonts w:ascii="Times New Roman" w:hAnsi="Times New Roman"/>
          <w:bCs/>
          <w:color w:val="000000"/>
        </w:rPr>
        <w:t>,</w:t>
      </w:r>
      <w:r w:rsidRPr="00103457">
        <w:rPr>
          <w:rFonts w:ascii="Times New Roman" w:hAnsi="Times New Roman"/>
          <w:bCs/>
          <w:color w:val="000000"/>
        </w:rPr>
        <w:t xml:space="preserve"> followed by Ghana, Benin, and Togo. The mean annual expansion rates across administrative boundaries generally ranged from 3.9 % to 9.0% (</w:t>
      </w:r>
      <w:r w:rsidRPr="00103457">
        <w:rPr>
          <w:rFonts w:ascii="Times New Roman" w:hAnsi="Times New Roman"/>
          <w:bCs/>
          <w:color w:val="000000"/>
        </w:rPr>
        <w:fldChar w:fldCharType="begin"/>
      </w:r>
      <w:r w:rsidRPr="00103457">
        <w:rPr>
          <w:rFonts w:ascii="Times New Roman" w:hAnsi="Times New Roman"/>
          <w:bCs/>
          <w:color w:val="000000"/>
        </w:rPr>
        <w:instrText xml:space="preserve"> REF _Ref142644113 \h  \* MERGEFORMAT </w:instrText>
      </w:r>
      <w:r w:rsidRPr="00103457">
        <w:rPr>
          <w:rFonts w:ascii="Times New Roman" w:hAnsi="Times New Roman"/>
          <w:bCs/>
          <w:color w:val="000000"/>
        </w:rPr>
      </w:r>
      <w:r w:rsidRPr="00103457">
        <w:rPr>
          <w:rFonts w:ascii="Times New Roman" w:hAnsi="Times New Roman"/>
          <w:bCs/>
          <w:color w:val="000000"/>
        </w:rPr>
        <w:fldChar w:fldCharType="separate"/>
      </w:r>
      <w:r w:rsidR="00B129D9" w:rsidRPr="00B129D9">
        <w:rPr>
          <w:rFonts w:ascii="Times New Roman" w:hAnsi="Times New Roman"/>
          <w:bCs/>
          <w:color w:val="000000"/>
        </w:rPr>
        <w:t xml:space="preserve">Figure </w:t>
      </w:r>
      <w:r w:rsidR="00B129D9" w:rsidRPr="00B129D9">
        <w:rPr>
          <w:rFonts w:ascii="Times New Roman" w:hAnsi="Times New Roman"/>
          <w:bCs/>
          <w:noProof/>
          <w:color w:val="000000"/>
        </w:rPr>
        <w:t>4</w:t>
      </w:r>
      <w:r w:rsidRPr="00103457">
        <w:rPr>
          <w:rFonts w:ascii="Times New Roman" w:hAnsi="Times New Roman"/>
          <w:bCs/>
          <w:color w:val="000000"/>
        </w:rPr>
        <w:fldChar w:fldCharType="end"/>
      </w:r>
      <w:r w:rsidRPr="00103457">
        <w:rPr>
          <w:rFonts w:ascii="Times New Roman" w:hAnsi="Times New Roman"/>
          <w:bCs/>
          <w:color w:val="000000"/>
        </w:rPr>
        <w:t xml:space="preserve">). These high rates are similar to results reported from urban expansion studies in China and India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{"citationID":"mb3ECup8","properties":{"formattedCitation":"(Ning et al., 2022; K. Seto et al., 2011; Zhao et al., 2015)","plainCitation":"(Ning et al., 2022; K. Seto et al., 2011; Zhao et al., 2015)","dontUpdate":true,"noteIndex":0},"citationItems":[{"id":650,"uris":["http://zotero.org/users/8906743/items/76L9UXXR"],"itemData":{"id":650,"type":"article-journal","abstract":"It is undeniable that the process of urbanization in China is a massive phenomenon of scale and speed in hu­ manity history. The relentless march of urbanization poses a critical challenge for creating a comprehensive analysis of the integrated characteristics of contemporary cities. Here, we integrated 30 m continuous and consistent human settlement areas to quantify spatiotemporal dynamics of urban development in 344 prefectural-level cities of China from 1987 to 2017 via Gibrat's law. Results indicated that China had experienced a rapid urbanization process during the past three decades with annual expansion and annual growth rates of 3877.93 km2 and 5.84%, respectively. A key finding was that city growth rate was inversely proportional to initial city size, therefore contradicting Gibrat's law, whose performance was relevant to shifts in urbanization policies. Furthermore, results also highlighted interregional disparities between the southwest and northwest and other regions, as well as intra-regional differences within geographical, urban sizes, and administrative levels. Exploring the validity of Gibrat's law involving the links between city size and growth rate in China deepens our theoretical insights and, more importantly, will make policymakers aware of the need to adopt a holistic approach by considering the uneven nature of urbanization toward better sustainability.","container-title":"Cities","DOI":"10.1016/j.cities.2022.103717","ISSN":"02642751","journalAbbreviation":"Cities","language":"en","page":"103717","source":"DOI.org (Crossref)","title":"Urban growth rates, trajectories, and multi-dimensional disparities in China","URL":"https://linkinghub.elsevier.com/retrieve/pii/S0264275122001561","volume":"126","author":[{"family":"Ning","given":"Ying"},{"family":"Liu","given":"Shuguang"},{"family":"Zhao","given":"Shuqing"},{"family":"Liu","given":"Maochou"},{"family":"Gao","given":"Haiqiang"},{"family":"Gong","given":"Peng"}],"accessed":{"date-parts":[["2023",3,11]]},"issued":{"date-parts":[["2022",7]]}}},{"id":480,"uris":["http://zotero.org/users/8906743/items/AEJV4F9X"],"itemData":{"id":480,"type":"article-journal","archive_location":"WOS:000294126900042","container-title":"PLOS ONE","DOI":"10.1371/journal.pone.0023777","ISSN":"1932-6203","issue":"8","title":"A Meta-Analysis of Global Urban Land Expansion","volume":"6","author":[{"family":"Seto","given":"KC"},{"family":"Fragkias","given":"M"},{"family":"Guneralp","given":"B"},{"family":"Reilly","given":"MK"}],"issued":{"date-parts":[["2011",8,18]]}}},{"id":63,"uris":["http://zotero.org/users/8906743/items/W3WHFFLD","http://zotero.org/users/8906743/items/RMWWQIGN"],"itemData":{"id":63,"type":"article-journal","abstract":"The scale of urbanization in China during the past three decades is unprecedented in human history, and the processes are poorly understood. Here we present an eﬀort to map the urban land expansion processes of 32 major cities in China from 1978 to 2010 using Landsat satellite data to understand the temporal and spatial characteristics. Results showed that the urban extent of the 32 cities expanded exponentially with very high annual rates varying from 3.2% to 12.8%. Temporal ﬂuctuation in urban expansion rates in these 32 cities was obvious, with unexpected and alarming expansion rates from 2005 to 2010 that drastically exceeded their expectation, which was calculated from the long-term trend between 1978 and 2005, by 45%. Overall, we found that the growth rates of cities during the entire study period were inversely related to city size, contradicting the theory or Gibrat’s law, which states that the growth rate is independent of city size. More detailed analysis indicated that city growth in China has transitioned from contradicting to conforming to Gibrat’s law since 1995. Our study suggests that the urban expansion theory (i.e., Gibrat’s law) does not ﬁt Chinese expansion consistently over time, and the exact causes are unknown. Exploring the causes in future research will improve our understanding of the theory and, more importantly, understand the feasibility of the theoretical relationship between city size and expansion rate in guiding contemporary urban expansion planning.","container-title":"Environmental Science &amp; Technology","DOI":"10.1021/acs.est.5b00065","ISSN":"0013-936X, 1520-5851","issue":"16","journalAbbreviation":"Environ. Sci. Technol.","language":"en","page":"9600-9609","source":"DOI.org (Crossref)","title":"Spatial and Temporal Dimensions of Urban Expansion in China","URL":"https://pubs.acs.org/doi/10.1021/acs.est.5b00065","volume":"49","author":[{"family":"Zhao","given":"Shuqing"},{"family":"Zhou","given":"Decheng"},{"family":"Zhu","given":"Chao"},{"family":"Sun","given":"Yan"},{"family":"Wu","given":"Wenjia"},{"family":"Liu","given":"Shuguang"}],"accessed":{"date-parts":[["2023",3,11]]},"issued":{"date-parts":[["2015",8,18]]}}}],"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(Ning et al., 2022; Seto et al., 2011; Zhao et al., 2015)</w:t>
      </w:r>
      <w:r w:rsidRPr="00103457">
        <w:rPr>
          <w:rFonts w:ascii="Times New Roman" w:hAnsi="Times New Roman"/>
          <w:bCs/>
          <w:color w:val="000000"/>
        </w:rPr>
        <w:fldChar w:fldCharType="end"/>
      </w:r>
      <w:r w:rsidRPr="00103457">
        <w:rPr>
          <w:rFonts w:ascii="Times New Roman" w:hAnsi="Times New Roman"/>
          <w:bCs/>
          <w:color w:val="000000"/>
        </w:rPr>
        <w:t xml:space="preserve">. In more developed regions of the world like  Europe, North America, and Oceania, the annual increase in developed areas is generally lower than 3.9%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{"citationID":"E3Qs0n4i","properties":{"formattedCitation":"(K. Seto et al., 2011)","plainCitation":"(K. Seto et al., 2011)","dontUpdate":true,"noteIndex":0},"citationItems":[{"id":480,"uris":["http://zotero.org/users/8906743/items/AEJV4F9X"],"itemData":{"id":480,"type":"article-journal","archive_location":"WOS:000294126900042","container-title":"PLOS ONE","DOI":"10.1371/journal.pone.0023777","ISSN":"1932-6203","issue":"8","title":"A Meta-Analysis of Global Urban Land Expansion","volume":"6","author":[{"family":"Seto","given":"KC"},{"family":"Fragkias","given":"M"},{"family":"Guneralp","given":"B"},{"family":"Reilly","given":"MK"}],"issued":{"date-parts":[["2011",8,18]]}}}],"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(Seto et al., 2011)</w:t>
      </w:r>
      <w:r w:rsidRPr="00103457">
        <w:rPr>
          <w:rFonts w:ascii="Times New Roman" w:hAnsi="Times New Roman"/>
          <w:bCs/>
          <w:color w:val="000000"/>
        </w:rPr>
        <w:fldChar w:fldCharType="end"/>
      </w:r>
      <w:r w:rsidRPr="00103457">
        <w:rPr>
          <w:rFonts w:ascii="Times New Roman" w:hAnsi="Times New Roman"/>
          <w:bCs/>
          <w:color w:val="000000"/>
        </w:rPr>
        <w:t>. The higher expansion rates in West Africa are likely compounding inefficient planning efforts in the region, especially in cities lacking basic services and planning institutions.</w:t>
      </w:r>
    </w:p>
    <w:p w14:paraId="53030F66" w14:textId="77777777"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 xml:space="preserve">Our results showed that smaller cities were generally expanding faster than larger cities, and this result was consistent when comparing city types based on population and when analyzing individual cities based on their developed area. These results are in agreement with a study of 130 cities in China and a global synthesis of urban expansion, which found that cities with populations below 1 million have faster growth rates than more populous cities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{"citationID":"XNf3Ng7I","properties":{"formattedCitation":"(G\\uc0\\u252{}neralp et al., 2020; Schneider &amp; Mertes, 2014)","plainCitation":"(Güneralp et al., 2020; Schneider &amp; Mertes, 2014)","noteIndex":0},"citationItems":[{"id":624,"uris":["http://zotero.org/users/8906743/items/RYJ3GWJE"],"itemData":{"id":624,"type":"article-journal","abstract":"Abstract\n            \n              The physical expansion of urban areas lead to lasting impacts on landscapes and livelihoods. Here, we conduct a global synthesis of trends in urban land expansion, in urban population densities, and lands converted into urban from 1970 to 2010. We find that small-medium urban areas lead their larger counterparts in both rates of urban land expansion and decreases in urban population densities. Urban population densities have consistently declined only in India, China, North America, and Europe with significant exceptions across city sizes. Over 60% of the reported urban expansion was formerly agricultural land with China, Southeast Asia, and Europe in the lead. Counterfactual analysis suggests that, due to the decrease in urban population densities, an estimated 125 000 km\n              2\n              land was converted to urban land uses that could have otherwise remained in cultivation or as natural vegetation. In particular, in India and Nigeria, with much of their populations dependent on agriculture,  85% and 30% more land, respectively, was converted to urban land due to decreasing urban population densities. With increasing urbanization, proactive management of urban land expansion, especially in small and medium cities, will be critical for saving agricultural lands in peri-urban regions while creating equitable and affordable urban landscapes.","container-title":"Environmental Research Letters","DOI":"10.1088/1748-9326/ab6669","ISSN":"1748-9326","issue":"4","journalAbbreviation":"Environ. Res. Lett.","language":"en","page":"044015","source":"DOI.org (Crossref)","title":"Trends in urban land expansion, density, and land transitions from 1970 to 2010: a global synthesis","title-short":"Trends in urban land expansion, density, and land transitions from 1970 to 2010","URL":"https://iopscience.iop.org/article/10.1088/1748-9326/ab6669","volume":"15","author":[{"family":"Güneralp","given":"Burak"},{"family":"Reba","given":"Meredith"},{"family":"Hales","given":"Billy U"},{"family":"Wentz","given":"Elizabeth A"},{"family":"Seto","given":"Karen C"}],"accessed":{"date-parts":[["2023",3,11]]},"issued":{"date-parts":[["2020",4,1]]}}},{"id":367,"uris":["http://zotero.org/users/8906743/items/X2UWUX6T"],"itemData":{"id":367,"type":"article-journal","abstract":"It has long been recognized that compact versus more sprawling urban forms can have very different environmental impacts. As the Chinese population continues to rapidly urbanize, the size, shape, and conﬁguration of cities in China will undoubtedly change to accommodate expansion of housing, industry, and commerce, causing direct and indirect environmental impacts at multiple scales. It is therefore imperative to understand how urban areas are evolving as socio-economic reforms in China are implemented across different regions. This paper compares trends in 142 Chinese cities (including 17 agglomerations) to understand urban expansion and population growth following reforms, 1978–2010. The results show that cities tripled in size, while doubling in population over the same period. In coastal areas targeted by early policies, urban land increased 4–5 times since 1978, for all city sizes. Large agglomerations are the primary consumers of land in coastal and western regions, each adding an average of 450 km2 during the study period, while small-medium cities consumed an average 20 km2. Although populations in these agglomerations increased an average 1.3 million, 2000–2010, cities within 100 km of each agglomeration grew &gt;1.8 million collectively. Proximity to large agglomerations contributed to the growth of small-medium cities, especially in western regions.","container-title":"Environmental Research Letters","DOI":"10.1088/1748-9326/9/2/024008","ISSN":"1748-9326","issue":"2","journalAbbreviation":"Environ. Res. Lett.","language":"en","page":"024008","source":"DOI.org (Crossref)","title":"Expansion and growth in Chinese cities, 1978–2010","URL":"https://iopscience.iop.org/article/10.1088/1748-9326/9/2/024008","volume":"9","author":[{"family":"Schneider","given":"A"},{"family":"Mertes","given":"C M"}],"accessed":{"date-parts":[["2022",1,30]]},"issued":{"date-parts":[["2014",1,1]]}}}],"schema":"https://github.com/citation-style-language/schema/raw/master/csl-citation.json"}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(Güneralp et al., 2020; Schneider &amp; Mertes, 2014)</w:t>
      </w:r>
      <w:r w:rsidRPr="00103457">
        <w:rPr>
          <w:rFonts w:ascii="Times New Roman" w:hAnsi="Times New Roman"/>
          <w:bCs/>
          <w:color w:val="000000"/>
        </w:rPr>
        <w:fldChar w:fldCharType="end"/>
      </w:r>
      <w:r w:rsidRPr="00103457">
        <w:rPr>
          <w:rFonts w:ascii="Times New Roman" w:hAnsi="Times New Roman"/>
          <w:bCs/>
          <w:color w:val="000000"/>
        </w:rPr>
        <w:t xml:space="preserve">. In contrast, a study of 200 global cities, including 25 African cities, found larger cities grew faster between 1990 and 2014 than smaller cities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{"citationID":"TBwcHKsq","properties":{"formattedCitation":"(Xu et al., 2019)","plainCitation":"(Xu et al., 2019)","noteIndex":0},"citationItems":[{"id":60,"uris":["http://zotero.org/users/8906743/items/GN2WL2FH"],"itemData":{"id":60,"type":"article-journal","abstract":"Africa has been experiencing rapid urbanization, yet limited studies have systematically investigated urban growth dynamics across African cities. Using 25 cities as cases, we quantiﬁed urban growth and form changes in Africa via spatiotemporal analysis of urban land densities in concentric rings over three time points (1990, 2000, and 2014). The results show that African cities have rapidly grown both in population and built-up areas, which increased by about 4% and more than 5% per annum, respectively. Urban land density (deﬁned as the proportion of the built-up area to the buildable area) in each concentric ring decreases from the city center to the urban periphery with diverse patterns among cities. Comparatively, small cities have a lower urban land density and a more dispersed urban form than medium-sized and large cities in Africa. The international comparisons between cities with over one million population in Africa, Asia (e.g., China and India), Europe, and North America (i.e., the United States) reveal that African cities have a relatively less compact urban form. Implications of these ﬁndings for the future of African cities are further proffered.","container-title":"Journal of Cleaner Production","DOI":"10.1016/j.jclepro.2019.03.276","ISSN":"09596526","journalAbbreviation":"Journal of Cleaner Production","language":"en","page":"802-810","source":"DOI.org (Crossref)","title":"Urban expansion and form changes across African cities with a global outlook: Spatiotemporal analysis of urban land densities","title-short":"Urban expansion and form changes across African cities with a global outlook","URL":"https://linkinghub.elsevier.com/retrieve/pii/S0959652619309862","volume":"224","author":[{"family":"Xu","given":"Gang"},{"family":"Dong","given":"Ting"},{"family":"Cobbinah","given":"Patrick Brandful"},{"family":"Jiao","given":"Limin"},{"family":"Sumari","given":"Neema S."},{"family":"Chai","given":"Baohui"},{"family":"Liu","given":"Yaolin"}],"accessed":{"date-parts":[["2020",4,12]]},"issued":{"date-parts":[["2019",7]]}}}],"schema":"https://github.com/citation-style-language/schema/raw/master/csl-citation.json"}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(Xu et al., 2019)</w:t>
      </w:r>
      <w:r w:rsidRPr="00103457">
        <w:rPr>
          <w:rFonts w:ascii="Times New Roman" w:hAnsi="Times New Roman"/>
          <w:bCs/>
          <w:color w:val="000000"/>
        </w:rPr>
        <w:fldChar w:fldCharType="end"/>
      </w:r>
      <w:r w:rsidRPr="00103457">
        <w:rPr>
          <w:rFonts w:ascii="Times New Roman" w:hAnsi="Times New Roman"/>
          <w:bCs/>
          <w:color w:val="000000"/>
        </w:rPr>
        <w:t xml:space="preserve">. Our research was distinctive from these previous studies in that it focused on a specific region of West Africa with a high density of cities and included all cities down to a minimum </w:t>
      </w:r>
      <w:r w:rsidRPr="00103457">
        <w:rPr>
          <w:rFonts w:ascii="Times New Roman" w:hAnsi="Times New Roman"/>
          <w:bCs/>
          <w:color w:val="000000"/>
        </w:rPr>
        <w:lastRenderedPageBreak/>
        <w:t xml:space="preserve">population size of 10,000. This type of detailed regional assessment is needed to capture these smaller but more numerous cities that account for a substantial percentage of the developed area in West Africa and contribute substantially to the regional trends of urban expansion. </w:t>
      </w:r>
    </w:p>
    <w:p w14:paraId="4A48877E" w14:textId="1AF91AA0" w:rsidR="001725D7" w:rsidRDefault="00103457" w:rsidP="006A5420">
      <w:pPr>
        <w:ind w:firstLine="360"/>
        <w:rPr>
          <w:rFonts w:ascii="Times New Roman" w:hAnsi="Times New Roman"/>
          <w:bCs/>
          <w:color w:val="000000"/>
          <w:lang w:val="fr-FR"/>
        </w:rPr>
      </w:pPr>
      <w:r w:rsidRPr="00103457">
        <w:rPr>
          <w:rFonts w:ascii="Times New Roman" w:hAnsi="Times New Roman"/>
          <w:bCs/>
          <w:color w:val="000000"/>
        </w:rPr>
        <w:t xml:space="preserve">Diffusion-coalescence theory recognizes the differential patterns of new developments based on whether cities are in an early or late phase of urbanization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{"citationID":"yVPSk9wG","properties":{"formattedCitation":"(Dietzel et al., 2005)","plainCitation":"(Dietzel et al., 2005)","noteIndex":0},"citationItems":[{"id":623,"uris":["http://zotero.org/users/8906743/items/SWZDBS6K"],"itemData":{"id":623,"type":"article-journal","abstract":"The authors build on a recent development in urban geographic theory, providing evidence of an oscillatory behavior in spatiotemporal patterns of urban growth. With the aid of remotely sensed data, the spatial extent of urban areas in the Houston (USA) metropolitan region from 1974 to 2002 was analyzed by spatial metrics. Regularities in the spatial urban growth pattern were identified with temporal periods as short as thirty years by means of spatial metric values, including mean nearest-neighbor distance, mean patch area, total number of urban patches, and mean patch fractal dimension. Through changes in these values, a distinct oscillation between phases of diffusion and coalescence in urban growth was revealed. The results suggest that the hypothesized process of diffusion and coalescence may occur over shorter time periods than previously thought, and that the patterns are readily observable in real-world systems.","container-title":"Environment and Planning B: Planning and Design","DOI":"10.1068/b31148","ISSN":"0265-8135","issue":"2","journalAbbreviation":"Environ Plann B Plann Des","language":"en","note":"publisher: SAGE Publications Ltd STM","page":"231-246","source":"SAGE Journals","title":"Diffusion and Coalescence of the Houston Metropolitan Area: Evidence Supporting a New Urban Theory","title-short":"Diffusion and Coalescence of the Houston Metropolitan Area","URL":"https://doi.org/10.1068/b31148","volume":"32","author":[{"family":"Dietzel","given":"Charles"},{"family":"Oguz","given":"Hakan"},{"family":"Hemphill","given":"Jeffery J"},{"family":"Clarke","given":"Keith C"},{"family":"Gazulis","given":"Nicholas"}],"accessed":{"date-parts":[["2023",8,23]]},"issued":{"date-parts":[["2005",4,1]]}}}],"schema":"https://github.com/citation-style-language/schema/raw/master/csl-citation.json"}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(Dietzel et al., 2005)</w:t>
      </w:r>
      <w:r w:rsidRPr="00103457">
        <w:rPr>
          <w:rFonts w:ascii="Times New Roman" w:hAnsi="Times New Roman"/>
          <w:bCs/>
          <w:color w:val="000000"/>
        </w:rPr>
        <w:fldChar w:fldCharType="end"/>
      </w:r>
      <w:r w:rsidRPr="00103457">
        <w:rPr>
          <w:rFonts w:ascii="Times New Roman" w:hAnsi="Times New Roman"/>
          <w:bCs/>
          <w:color w:val="000000"/>
        </w:rPr>
        <w:t xml:space="preserve">. Some studies have found that regardless of the stage of urbanization, urban expansion occurs more rapidly than urban population growth, resulting in more sprawl through time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{"citationID":"B1WQ7sFe","properties":{"formattedCitation":"(Angel et al., 2021; K. Seto et al., 2011)","plainCitation":"(Angel et al., 2021; K. Seto et al., 2011)","dontUpdate":true,"noteIndex":0},"citationItems":[{"id":85,"uris":["http://zotero.org/users/8906743/items/T7YDXD9K","http://zotero.org/users/8906743/items/7739YXBP"],"itemData":{"id":85,"type":"article-journal","abstract":"Serious concerns with accelerating global warming have been translated into urgent calls for increasing urban densities: higher densities are associated with lower greenhouse gas emissions, especially those related to vehicle kilometers traveled (VKT). In order to densify meaningfully in the coming decades, cities need to make room within their existing footprints to accommodate more people. In the absence of adequate room within their existing footprints, cities create more room through outward expansion, typically resulting in lower overall densities. We introduce a quantitative dimension to this process, focusing on the population added to a global stratiﬁed sample of 200 cities between 1990 and 2014. In three-quarters of the cities we studied, the areas built before 1990 gained population and thus densiﬁed signiﬁcantly. On average, however, only one-quarter of the total population added to the 200 cities in the sample in the 1990–2014 period were accommodated within their 1990 urban footprints, while three-quarters were accommodated within their newly built expansion areas. That resulted in an overall decline in average urban densities during the 1990–2014 period despite the near-global, decades-old and rarely questioned consensus that urban expansion must be contained.","container-title":"Sustainability","DOI":"10.3390/su13073835","ISSN":"2071-1050","issue":"7","journalAbbreviation":"Sustainability","language":"en","page":"3835","source":"DOI.org (Crossref)","title":"Densify and Expand: A Global Analysis of Recent Urban Growth","title-short":"Densify and Expand","URL":"https://www.mdpi.com/2071-1050/13/7/3835","volume":"13","author":[{"family":"Angel","given":"Shlomo"},{"family":"Lamson-Hall","given":"Patrick"},{"family":"Blei","given":"Alejandro"},{"family":"Shingade","given":"Sharad"},{"family":"Kumar","given":"Suman"}],"accessed":{"date-parts":[["2022",1,30]]},"issued":{"date-parts":[["2021",3,31]]}}},{"id":480,"uris":["http://zotero.org/users/8906743/items/AEJV4F9X"],"itemData":{"id":480,"type":"article-journal","archive_location":"WOS:000294126900042","container-title":"PLOS ONE","DOI":"10.1371/journal.pone.0023777","ISSN":"1932-6203","issue":"8","title":"A Meta-Analysis of Global Urban Land Expansion","volume":"6","author":[{"family":"Seto","given":"KC"},{"family":"Fragkias","given":"M"},{"family":"Guneralp","given":"B"},{"family":"Reilly","given":"MK"}],"issued":{"date-parts":[["2011",8,18]]}}}],"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(Angel et al., 2021; Seto et al., 2011)</w:t>
      </w:r>
      <w:r w:rsidRPr="00103457">
        <w:rPr>
          <w:rFonts w:ascii="Times New Roman" w:hAnsi="Times New Roman"/>
          <w:bCs/>
          <w:color w:val="000000"/>
        </w:rPr>
        <w:fldChar w:fldCharType="end"/>
      </w:r>
      <w:r w:rsidRPr="00103457">
        <w:rPr>
          <w:rFonts w:ascii="Times New Roman" w:hAnsi="Times New Roman"/>
          <w:bCs/>
          <w:color w:val="000000"/>
        </w:rPr>
        <w:t xml:space="preserve">. We found that most increases in new developed areas were sprawl at the periphery of previous developments, with significantly higher rates of sprawl in small than medium and large cities. This result suggests that cities with relatively lower populations are in the diffusion stage of expansion with more areas to expand outward, whereas larger cities tend to be in the coalescence stage with more compact expansion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{"citationID":"dzd1clo8","properties":{"formattedCitation":"(Jia et al., 2020, 2022; Li et al., 2022; L\\uc0\\u246{}sch, 1940)","plainCitation":"(Jia et al., 2020, 2022; Li et al., 2022; Lösch, 1940)","noteIndex":0},"citationItems":[{"id":561,"uris":["http://zotero.org/users/8906743/items/CJF7ZDNH"],"itemData":{"id":561,"type":"article-journal","abstract":"Public policies play a vital role in shaping our cities. However, the impact of public policies on the spatial expansion of urban areas needs to be better understood in order to achieve better policy outcomes. During the period of China’s economic reform, the central government of China has made many changes in three sets of public policies—regional development policies, the household registration (hukou) system, and urban land and housing market policies—to promote coordinated development of small, medium and large cities. This study aims to examine the effects of these public policy changes on urban expansion across 265 Chinese cities at or above prefecture level. We first quantify the spatial patterns of urban areas and evaluate the extent of urban sprawl of the 265 cities from 1995 to 2015 using multi-temporal land cover data. These cities are classified into six categories according to a city tier system used in China. Through a set of individual fixed-effects models, we then explore how changes in the three sets of policies have influenced urban expansion differently across different-tier cities. Results show that sprawling patterns of urban expansion, which have been more prominent in small and medium sized cities since 2000, are associated with shifts in policies to support stronger economic and population growth as well as real estate development. Our findings highlight the need for policymakers to take a holistic approach by considering the size of cities together with their social, environmental, and economic characteristics in order to minimise inequality and achieve coordinated urban development goals.","container-title":"Land Use Policy","DOI":"10.1016/j.landusepol.2020.104754","ISSN":"02648377","journalAbbreviation":"Land Use Policy","language":"en","page":"104754","source":"DOI.org (Crossref)","title":"Public policy change and its impact on urban expansion: An evaluation of 265 cities in China","title-short":"Public policy change and its impact on urban expansion","URL":"https://linkinghub.elsevier.com/retrieve/pii/S026483772030079X","volume":"97","author":[{"family":"Jia","given":"Mengyuan"},{"family":"Liu","given":"Yan"},{"family":"Lieske","given":"Scott N."},{"family":"Chen","given":"Tian"}],"accessed":{"date-parts":[["2024",1,23]]},"issued":{"date-parts":[["2020",9]]}}},{"id":568,"uris":["http://zotero.org/users/8906743/items/J7TVA64R"],"itemData":{"id":568,"type":"article-journal","abstract":"Urban sprawl has become a global phenomenon resulting in many critical social and environmental problems, but its characteristics and causes vary in different contexts, especially in developing countries such as China. Despite many studies on the urban growth of Chinese cities, not much is known about the county-level small cities. To better understand the dynamics of urban growth pattern across different sized cities, this study defined whether urban growth patterns are compactness or sprawl in each of six dimensions: land use efficiency, spatial pattern of urban land, inner structure of urban space, mixed uses, accessibility, and environmental impacts. Taking the 2 municipalities, 7 prefecture-level cities, and 93 county-level cities in Beijing-Tianjin-Hebei (BTH) region as cases, we assessed their urban growth patterns during 2015–2018. The results show that the regional policy on coordinated development of BTH region has promoted the growth of small cities, but these cities also tend to suffer from greater sprawl than larger cities. The differences of urban growth pattern between small and large cities exist in terms of the spatial pattern of urban land, inner structure of urban space, and environmental impacts. As small cities expand, they become spatially fragmented and decentralised. However, urban growth in larger cities has a greater negative impact on the natural environment. These findings suggest that we need to carefully consider the local context when developing urban growth management policies.","container-title":"Ecological Indicators","DOI":"10.1016/j.ecolind.2022.108816","ISSN":"1470160X","journalAbbreviation":"Ecological Indicators","language":"en","page":"108816","source":"DOI.org (Crossref)","title":"Compactness or sprawl: Multi-dimensional approach to understanding the urban growth patterns in Beijing-Tianjin-Hebei region, China","title-short":"Compactness or sprawl","URL":"https://linkinghub.elsevier.com/retrieve/pii/S1470160X22002874","volume":"138","author":[{"family":"Jia","given":"Mengyuan"},{"family":"Zhang","given":"Haoran"},{"family":"Yang","given":"Zhen"}],"accessed":{"date-parts":[["2024",1,23]]},"issued":{"date-parts":[["2022",5]]}}},{"id":22,"uris":["http://zotero.org/users/8906743/items/N2YB3NVZ"],"itemData":{"id":22,"type":"article-journal","abstract":"Empirical studies of urban expansion have increased rapidly in recent decades worldwide. Previous studies mainly focused on cities in China, the United States or African countries, with Brazilian cities receiving less attention. Moreover, such studies are rare in purpose-built cities. Taking the urban expansion from scratch (1960) to urban agglomeration (2015) in the Federal District of Brazil (FDB) as an example, this study aims to quantify the magnitude, patterns, modes, types and efﬁciency of urban land expansion and attempts to reveal some implications within sustainable urban expansion thinking. Annual expansion, landscape metrics, local Moran’s I index, area weighted mean expansion index, and land-use efﬁciency were computed. The suitability of diffusion–coalescence theory and the impact of population growth and urban development policies on urban expansion were discussed. Urban land continuously expanded and became more fragmented during 1960–2015, which mainly occurred in SSW and WSW directions. Urban land evolved in a polycentric way. Edge expansion was identiﬁed as the stable contributor, and the importance of inﬁlling and spontaneous growth alternated. Urban expansion in this region supported the diffusion–coalescence theory. Population growth promoted urban expansion, and the creation of peripheral urban nuclei and their development were associated with the urban expansion and the changes in urban land structure. This study adds new empirical evidence of urban expansion to Brazil urbanization, and compact urbanization, population control, and efﬁcient urban land use should be considered in the future.","container-title":"International Journal of Environmental Research and Public Health","DOI":"10.3390/ijerph19031032","ISSN":"1660-4601","issue":"3","journalAbbreviation":"IJERPH","language":"en","page":"1032","source":"DOI.org (Crossref)","title":"Urban Land Expansion from Scratch to Urban Agglomeration in the Federal District of Brazil in the Past 60 Years","URL":"https://www.mdpi.com/1660-4601/19/3/1032","volume":"19","author":[{"family":"Li","given":"Zhichao"},{"family":"Gurgel","given":"Helen"},{"family":"Li","given":"Minmin"},{"family":"Dessay","given":"Nadine"},{"family":"Gong","given":"Peng"}],"accessed":{"date-parts":[["2023",3,11]]},"issued":{"date-parts":[["2022",1,18]]}}},{"id":759,"uris":["http://zotero.org/users/8906743/items/DIDLB4LM"],"itemData":{"id":759,"type":"book","event-place":"New Haven, Connecticut","publisher":"Yale University Press","publisher-place":"New Haven, Connecticut","title":"Die Raumche Ordnungder Wirtschaft. 3rd Edition, Fisher, Stutgart, 1954, English translation from German original by Woglom WH, Stolper WF, The Economics of Location","author":[{"family":"Lösch","given":"August"}],"issued":{"date-parts":[["1940"]]}}}],"schema":"https://github.com/citation-style-language/schema/raw/master/csl-citation.json"}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(Jia et al., 2020, 2022; Li et al., 2022; Lösch, 1940)</w:t>
      </w:r>
      <w:r w:rsidRPr="00103457">
        <w:rPr>
          <w:rFonts w:ascii="Times New Roman" w:hAnsi="Times New Roman"/>
          <w:bCs/>
          <w:color w:val="000000"/>
        </w:rPr>
        <w:fldChar w:fldCharType="end"/>
      </w:r>
      <w:r w:rsidRPr="00103457">
        <w:rPr>
          <w:rFonts w:ascii="Times New Roman" w:hAnsi="Times New Roman"/>
          <w:bCs/>
          <w:color w:val="000000"/>
        </w:rPr>
        <w:t xml:space="preserve">. Thus, the ratio of sprawl to infill expansion in West Africa corroborate urban expansion studies in Asia and Africa that found expansive growth into the periphery and more rural lands, however, with insignificant ratio of sprawl to infill in large and medium cities in Nigeria, and large cities in Togo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{"citationID":"deUziKwi","properties":{"formattedCitation":"(Cobbinah &amp; Aboagye, 2017; Gao et al., 2016; Jia et al., 2020; Schneider &amp; Mertes, 2014; Xu et al., 2019; Zhao et al., 2015)","plainCitation":"(Cobbinah &amp; Aboagye, 2017; Gao et al., 2016; Jia et al., 2020; Schneider &amp; Mertes, 2014; Xu et al., 2019; Zhao et al., 2015)","noteIndex":0},"citationItems":[{"id":72,"uris":["http://zotero.org/users/8906743/items/FL33N53L"],"itemData":{"id":72,"type":"article-journal","container-title":"Land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Nsomah"}],"accessed":{"date-parts":[["2022",2,9]]},"issued":{"date-parts":[["2017",2]]}}},{"id":567,"uris":["http://zotero.org/users/8906743/items/7KI43VRH"],"itemData":{"id":567,"type":"article-journal","container-title":"Landscape and Urban Planning","DOI":"10.1016/j.landurbplan.2015.12.006","ISSN":"01692046","journalAbbreviation":"Landscape and Urban Planning","language":"en","page":"89-98","source":"DOI.org (Crossref)","title":"How does sprawl differ across cities in China? A multi-scale investigation using nighttime light and census data","title-short":"How does sprawl differ across cities in China?","URL":"https://linkinghub.elsevier.com/retrieve/pii/S0169204615002480","volume":"148","author":[{"family":"Gao","given":"Bin"},{"family":"Huang","given":"Qingxu"},{"family":"He","given":"Chunyang"},{"family":"Sun","given":"Zexiang"},{"family":"Zhang","given":"Da"}],"accessed":{"date-parts":[["2024",1,23]]},"issued":{"date-parts":[["2016",4]]}}},{"id":561,"uris":["http://zotero.org/users/8906743/items/CJF7ZDNH"],"itemData":{"id":561,"type":"article-journal","abstract":"Public policies play a vital role in shaping our cities. However, the impact of public policies on the spatial expansion of urban areas needs to be better understood in order to achieve better policy outcomes. During the period of China’s economic reform, the central government of China has made many changes in three sets of public policies—regional development policies, the household registration (hukou) system, and urban land and housing market policies—to promote coordinated development of small, medium and large cities. This study aims to examine the effects of these public policy changes on urban expansion across 265 Chinese cities at or above prefecture level. We first quantify the spatial patterns of urban areas and evaluate the extent of urban sprawl of the 265 cities from 1995 to 2015 using multi-temporal land cover data. These cities are classified into six categories according to a city tier system used in China. Through a set of individual fixed-effects models, we then explore how changes in the three sets of policies have influenced urban expansion differently across different-tier cities. Results show that sprawling patterns of urban expansion, which have been more prominent in small and medium sized cities since 2000, are associated with shifts in policies to support stronger economic and population growth as well as real estate development. Our findings highlight the need for policymakers to take a holistic approach by considering the size of cities together with their social, environmental, and economic characteristics in order to minimise inequality and achieve coordinated urban development goals.","container-title":"Land Use Policy","DOI":"10.1016/j.landusepol.2020.104754","ISSN":"02648377","journalAbbreviation":"Land Use Policy","language":"en","page":"104754","source":"DOI.org (Crossref)","title":"Public policy change and its impact on urban expansion: An evaluation of 265 cities in China","title-short":"Public policy change and its impact on urban expansion","URL":"https://linkinghub.elsevier.com/retrieve/pii/S026483772030079X","volume":"97","author":[{"family":"Jia","given":"Mengyuan"},{"family":"Liu","given":"Yan"},{"family":"Lieske","given":"Scott N."},{"family":"Chen","given":"Tian"}],"accessed":{"date-parts":[["2024",1,23]]},"issued":{"date-parts":[["2020",9]]}}},{"id":367,"uris":["http://zotero.org/users/8906743/items/X2UWUX6T"],"itemData":{"id":367,"type":"article-journal","abstract":"It has long been recognized that compact versus more sprawling urban forms can have very different environmental impacts. As the Chinese population continues to rapidly urbanize, the size, shape, and conﬁguration of cities in China will undoubtedly change to accommodate expansion of housing, industry, and commerce, causing direct and indirect environmental impacts at multiple scales. It is therefore imperative to understand how urban areas are evolving as socio-economic reforms in China are implemented across different regions. This paper compares trends in 142 Chinese cities (including 17 agglomerations) to understand urban expansion and population growth following reforms, 1978–2010. The results show that cities tripled in size, while doubling in population over the same period. In coastal areas targeted by early policies, urban land increased 4–5 times since 1978, for all city sizes. Large agglomerations are the primary consumers of land in coastal and western regions, each adding an average of 450 km2 during the study period, while small-medium cities consumed an average 20 km2. Although populations in these agglomerations increased an average 1.3 million, 2000–2010, cities within 100 km of each agglomeration grew &gt;1.8 million collectively. Proximity to large agglomerations contributed to the growth of small-medium cities, especially in western regions.","container-title":"Environmental Research Letters","DOI":"10.1088/1748-9326/9/2/024008","ISSN":"1748-9326","issue":"2","journalAbbreviation":"Environ. Res. Lett.","language":"en","page":"024008","source":"DOI.org (Crossref)","title":"Expansion and growth in Chinese cities, 1978–2010","URL":"https://iopscience.iop.org/article/10.1088/1748-9326/9/2/024008","volume":"9","author":[{"family":"Schneider","given":"A"},{"family":"Mertes","given":"C M"}],"accessed":{"date-parts":[["2022",1,30]]},"issued":{"date-parts":[["2014",1,1]]}}},{"id":60,"uris":["http://zotero.org/users/8906743/items/GN2WL2FH"],"itemData":{"id":60,"type":"article-journal","abstract":"Africa has been experiencing rapid urbanization, yet limited studies have systematically investigated urban growth dynamics across African cities. Using 25 cities as cases, we quantiﬁed urban growth and form changes in Africa via spatiotemporal analysis of urban land densities in concentric rings over three time points (1990, 2000, and 2014). The results show that African cities have rapidly grown both in population and built-up areas, which increased by about 4% and more than 5% per annum, respectively. Urban land density (deﬁned as the proportion of the built-up area to the buildable area) in each concentric ring decreases from the city center to the urban periphery with diverse patterns among cities. Comparatively, small cities have a lower urban land density and a more dispersed urban form than medium-sized and large cities in Africa. The international comparisons between cities with over one million population in Africa, Asia (e.g., China and India), Europe, and North America (i.e., the United States) reveal that African cities have a relatively less compact urban form. Implications of these ﬁndings for the future of African cities are further proffered.","container-title":"Journal of Cleaner Production","DOI":"10.1016/j.jclepro.2019.03.276","ISSN":"09596526","journalAbbreviation":"Journal of Cleaner Production","language":"en","page":"802-810","source":"DOI.org (Crossref)","title":"Urban expansion and form changes across African cities with a global outlook: Spatiotemporal analysis of urban land densities","title-short":"Urban expansion and form changes across African cities with a global outlook","URL":"https://linkinghub.elsevier.com/retrieve/pii/S0959652619309862","volume":"224","author":[{"family":"Xu","given":"Gang"},{"family":"Dong","given":"Ting"},{"family":"Cobbinah","given":"Patrick Brandful"},{"family":"Jiao","given":"Limin"},{"family":"Sumari","given":"Neema S."},{"family":"Chai","given":"Baohui"},{"family":"Liu","given":"Yaolin"}],"accessed":{"date-parts":[["2020",4,12]]},"issued":{"date-parts":[["2019",7]]}}},{"id":63,"uris":["http://zotero.org/users/8906743/items/W3WHFFLD","http://zotero.org/users/8906743/items/RMWWQIGN"],"itemData":{"id":63,"type":"article-journal","abstract":"The scale of urbanization in China during the past three decades is unprecedented in human history, and the processes are poorly understood. Here we present an eﬀort to map the urban land expansion processes of 32 major cities in China from 1978 to 2010 using Landsat satellite data to understand the temporal and spatial characteristics. Results showed that the urban extent of the 32 cities expanded exponentially with very high annual rates varying from 3.2% to 12.8%. Temporal ﬂuctuation in urban expansion rates in these 32 cities was obvious, with unexpected and alarming expansion rates from 2005 to 2010 that drastically exceeded their expectation, which was calculated from the long-term trend between 1978 and 2005, by 45%. Overall, we found that the growth rates of cities </w:instrText>
      </w:r>
      <w:r w:rsidRPr="00103457">
        <w:rPr>
          <w:rFonts w:ascii="Times New Roman" w:hAnsi="Times New Roman"/>
          <w:bCs/>
          <w:color w:val="000000"/>
          <w:lang w:val="fr-FR"/>
        </w:rPr>
        <w:instrText xml:space="preserve">during the entire study period were inversely related to city size, contradicting the theory or Gibrat’s law, which states that the growth rate is independent of city size. More detailed analysis indicated that city growth in China has transitioned from contradicting to conforming to Gibrat’s law since 1995. Our study suggests that the urban expansion theory (i.e., Gibrat’s law) does not </w:instrText>
      </w:r>
      <w:r w:rsidRPr="00103457">
        <w:rPr>
          <w:rFonts w:ascii="Times New Roman" w:hAnsi="Times New Roman"/>
          <w:bCs/>
          <w:color w:val="000000"/>
        </w:rPr>
        <w:instrText>ﬁ</w:instrText>
      </w:r>
      <w:r w:rsidRPr="00103457">
        <w:rPr>
          <w:rFonts w:ascii="Times New Roman" w:hAnsi="Times New Roman"/>
          <w:bCs/>
          <w:color w:val="000000"/>
          <w:lang w:val="fr-FR"/>
        </w:rPr>
        <w:instrText xml:space="preserve">t Chinese expansion consistently over time, and the exact causes are unknown. Exploring the causes in future research will improve our understanding of the theory and, more importantly, understand the feasibility of the theoretical relationship between city size and expansion rate in guiding contemporary urban expansion planning.","container-title":"Environmental Science &amp; Technology","DOI":"10.1021/acs.est.5b00065","ISSN":"0013-936X, 1520-5851","issue":"16","journalAbbreviation":"Environ. Sci. Technol.","language":"en","page":"9600-9609","source":"DOI.org (Crossref)","title":"Spatial and Temporal Dimensions of Urban Expansion in China","URL":"https://pubs.acs.org/doi/10.1021/acs.est.5b00065","volume":"49","author":[{"family":"Zhao","given":"Shuqing"},{"family":"Zhou","given":"Decheng"},{"family":"Zhu","given":"Chao"},{"family":"Sun","given":"Yan"},{"family":"Wu","given":"Wenjia"},{"family":"Liu","given":"Shuguang"}],"accessed":{"date-parts":[["2023",3,11]]},"issued":{"date-parts":[["2015",8,18]]}}}],"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lang w:val="fr-FR"/>
        </w:rPr>
        <w:t>(Cobbinah &amp; Aboagye, 2017; Gao et al., 2016; Jia et al., 2020; Schneider &amp; Mertes, 2014; Xu et al., 2019; Zhao et al., 2015)</w:t>
      </w:r>
      <w:r w:rsidRPr="00103457">
        <w:rPr>
          <w:rFonts w:ascii="Times New Roman" w:hAnsi="Times New Roman"/>
          <w:bCs/>
          <w:color w:val="000000"/>
        </w:rPr>
        <w:fldChar w:fldCharType="end"/>
      </w:r>
      <w:r w:rsidRPr="00103457">
        <w:rPr>
          <w:rFonts w:ascii="Times New Roman" w:hAnsi="Times New Roman"/>
          <w:bCs/>
          <w:color w:val="000000"/>
          <w:lang w:val="fr-FR"/>
        </w:rPr>
        <w:t xml:space="preserve">. </w:t>
      </w:r>
    </w:p>
    <w:p w14:paraId="5AA7B26E" w14:textId="77777777" w:rsidR="0053102C" w:rsidRDefault="0053102C" w:rsidP="0053102C">
      <w:pPr>
        <w:spacing w:line="240" w:lineRule="auto"/>
        <w:ind w:firstLine="360"/>
        <w:rPr>
          <w:rFonts w:ascii="Times New Roman" w:hAnsi="Times New Roman"/>
          <w:bCs/>
          <w:color w:val="000000"/>
          <w:lang w:val="fr-FR"/>
        </w:rPr>
      </w:pPr>
    </w:p>
    <w:p w14:paraId="6D5408CE" w14:textId="77777777" w:rsidR="006F7C17" w:rsidRPr="00103457" w:rsidRDefault="006F7C17" w:rsidP="00277F12">
      <w:pPr>
        <w:pStyle w:val="Heading3"/>
        <w:rPr>
          <w:rFonts w:ascii="Times" w:hAnsi="Times"/>
        </w:rPr>
      </w:pPr>
      <w:bookmarkStart w:id="73" w:name="_Toc172288722"/>
      <w:r w:rsidRPr="00103457">
        <w:t>Urban networks effects on expansion rates of cities</w:t>
      </w:r>
      <w:bookmarkEnd w:id="73"/>
    </w:p>
    <w:p w14:paraId="4BE2B9A0" w14:textId="77777777"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 xml:space="preserve">Previous studies often found spatial disparities with city size, with more economic, health, and educational opportunities in large cities than in smaller cities due to their national, regional, and global interactions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{"citationID":"wC08gFL7","properties":{"formattedCitation":"(Glaeser &amp; Shapiro, 2003; K. Seto et al., 2011)","plainCitation":"(Glaeser &amp; Shapiro, 2003; K. Seto et al., 2011)","dontUpdate":true,"noteIndex":0},"citationItems":[{"id":757,"uris":["http://zotero.org/users/8906743/items/NSSWDTQM"],"itemData":{"id":757,"type":"article-journal","container-title":"Journal of Regional Science","issue":"1","page":"139-165","title":"Urban growth in the 1990s: Is city living back?","title-short":"Urban growth in the 1990s","volume":"43","author":[{"family":"Glaeser","given":"Edward L."},{"family":"Shapiro","given":"Jesse M."}],"issued":{"date-parts":[["2003"]]}}},{"id":480,"uris":["http://zotero.org/users/8906743/items/AEJV4F9X"],"itemData":{"id":480,"type":"article-journal","archive_location":"WOS:000294126900042","container-title":"PLOS ONE","DOI":"10.1371/journal.pone.0023777","ISSN":"1932-6203","issue":"8","title":"A Meta-Analysis of Global Urban Land Expansion","volume":"6","author":[{"family":"Seto","given":"KC"},{"family":"Fragkias","given":"M"},{"family":"Guneralp","given":"B"},{"family":"Reilly","given":"MK"}],"issued":{"date-parts":[["2011",8,18]]}}}],"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(Glaeser &amp; Shapiro, 2003; Seto et al., 2011)</w:t>
      </w:r>
      <w:r w:rsidRPr="00103457">
        <w:rPr>
          <w:rFonts w:ascii="Times New Roman" w:hAnsi="Times New Roman"/>
          <w:color w:val="000000"/>
        </w:rPr>
        <w:fldChar w:fldCharType="end"/>
      </w:r>
      <w:r w:rsidRPr="00103457">
        <w:rPr>
          <w:rFonts w:ascii="Times New Roman" w:hAnsi="Times New Roman"/>
          <w:bCs/>
          <w:color w:val="000000"/>
        </w:rPr>
        <w:t xml:space="preserve">. These opportunities have historically attracted more people to large cities, increasing demand for existing infrastructures and new developments and influencing the growth of nearby cities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{"citationID":"hd48RHYN","properties":{"formattedCitation":"(Curiel et al., 2017)","plainCitation":"(Curiel et al., 2017)","noteIndex":0},"citationItems":[{"id":402,"uris":["http://zotero.org/users/8906743/items/NK7W42RS",["http://zotero.org/users/8906743/items/NK7W42RS"]],"itemData":{"id":402,"type":"report","abstract":"Over the past 60 years, urbanisation and cities have fundamentally transformed the social, economic and political geography of West Africa. The number of people living in cities increased from 5 million in 1950 to 133 million in 2010. During the same period, the number of towns and cities with more than 10 000 inhabitants grew from 159 to close to 2 000. A large majority of these agglomerations are secondary cities and small towns that act as hubs and catalysts for local and regional production and supply chains, as well as for the transfer of goods, people and information, linking the local and regional economies to the global economy. The intensity of the spatial interactions of cities has strongly increased with population growth, urbanisation and higher urban density. This paper, part of ongoing work within the Sahel and West Africa Club Secretariat to integrate urbanisation and city growth into analyses of major trends in the region, lays the foundation for the development of a systematic method to capture and describe these spatial interactions. It does so by examining four variables: city size, market potential, urbanisation level and local dominance. These variables, in turn, help to define seven different city groups that can be used to classify West African agglomerations. The initial results of this work reveal the diversity and distinctive behaviours of cities in the region, providing a new perspective on urbanisation dynamics and the influence of spatial variables on urban growth rates, the emergence of new agglomerations and the clustering of cities.","genre":"West African Papers","language":"en","note":"collection-title: West African Papers\nvolume: 5\nDOI: 10.1787/57b30601-en","number":"5","source":"DOI.org (Crossref)","title":"Cities and Spatial Interactions in West Africa","URL":"https://www.oecd-ilibrary.org/development/cities-and-spatial-interactions-in-west-africa_57b30601-en","author":[{"family":"Curiel","given":"Rafael Prieto"},{"family":"Heinrigs","given":"Philipp"},{"family":"Heo","given":"Inhoi"}],"accessed":{"date-parts":[["2022",2,4]]},"issued":{"date-parts":[["2017",3,31]]}}}],"schema":"https://github.com/citation-style-language/schema/raw/master/csl-citation.json"}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(Curiel et al., 2017)</w:t>
      </w:r>
      <w:r w:rsidRPr="00103457">
        <w:rPr>
          <w:rFonts w:ascii="Times New Roman" w:hAnsi="Times New Roman"/>
          <w:bCs/>
          <w:color w:val="000000"/>
        </w:rPr>
        <w:fldChar w:fldCharType="end"/>
      </w:r>
      <w:r w:rsidRPr="00103457">
        <w:rPr>
          <w:rFonts w:ascii="Times New Roman" w:hAnsi="Times New Roman"/>
          <w:bCs/>
          <w:color w:val="000000"/>
        </w:rPr>
        <w:t xml:space="preserve">. In West </w:t>
      </w:r>
      <w:r w:rsidRPr="00103457">
        <w:rPr>
          <w:rFonts w:ascii="Times New Roman" w:hAnsi="Times New Roman"/>
          <w:bCs/>
          <w:color w:val="000000"/>
        </w:rPr>
        <w:lastRenderedPageBreak/>
        <w:t xml:space="preserve">Africa, we found that urban expansion rates increased as developed area size decreased in all countries except Togo. Results indicate that expansion rates decreased with gravity index in Benin and Togo but increased in Nigeria. The results from Nigeria corroborate some previous studies that found increased expansion rates in secondary cities through time due to influence from large cities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{"citationID":"6URBQl00","properties":{"formattedCitation":"(Curiel et al., 2017; Zimmer et al., 2020)","plainCitation":"(Curiel et al., 2017; Zimmer et al., 2020)","noteIndex":0},"citationItems":[{"id":402,"uris":["http://zotero.org/users/8906743/items/NK7W42RS",["http://zotero.org/users/8906743/items/NK7W42RS"]],"itemData":{"id":402,"type":"report","abstract":"Over the past 60 years, urbanisation and cities have fundamentally transformed the social, economic and political geography of West Africa. The number of people living in cities increased from 5 million in 1950 to 133 million in 2010. During the same period, the number of towns and cities with more than 10 000 inhabitants grew from 159 to close to 2 000. A large majority of these agglomerations are secondary cities and small towns that act as hubs and catalysts for local and regional production and supply chains, as well as for the transfer of goods, people and information, linking the local and regional economies to the global economy. The intensity of the spatial interactions of cities has strongly increased with population growth, urbanisation and higher urban density. This paper, part of ongoing work within the Sahel and West Africa Club Secretariat to integrate urbanisation and city growth into analyses of major trends in the region, lays the foundation for the development of a systematic method to capture and describe these spatial interactions. It does so by examining four variables: city size, market potential, urbanisation level and local dominance. These variables, in turn, help to define seven different city groups that can be used to classify West African agglomerations. The initial results of this work reveal the diversity and distinctive behaviours of cities in the region, providing a new perspective on urbanisation dynamics and the influence of spatial variables on urban growth rates, the emergence of new agglomerations and the clustering of cities.","genre":"West African Papers","language":"en","note":"collection-title: West African Papers\nvolume: 5\nDOI: 10.1787/57b30601-en","number":"5","source":"DOI.org (Crossref)","title":"Cities and Spatial Interactions in West Africa","URL":"https://www.oecd-ilibrary.org/development/cities-and-spatial-interactions-in-west-africa_57b30601-en","author":[{"family":"Curiel","given":"Rafael Prieto"},{"family":"Heinrigs","given":"Philipp"},{"family":"Heo","given":"Inhoi"}],"accessed":{"date-parts":[["2022",2,4]]},"issued":{"date-parts":[["2017",3,31]]}}},{"id":55,"uris":["http://zotero.org/users/8906743/items/B73BWZCU"],"itemData":{"id":55,"type":"article-journal","abstract":"Objectives We document the spatial distribution and temporal patterns of SUA’s in eight countries across Southern Africa between 1975 and 2015. We further explore the relationships between SUA’s growth rates and climate, land use and geographic proximity to other urban areas.\nMethods Our analysis integrates spatially explicit gridded population, land use, infrastructure and climate datasets. We use descriptive statistics and spatial lag and ordinary least squares regression models to quantify SUA growth rates across three periods and explore factors that are associated with the SUA growth patterns.\nResults Average SUA growth rates are 2.44% between 1975 and 1990. We show that the climate, distance and land use signiﬁcantly relate to urbanization trajectories. In addition, we ﬁnd that the proximity of SUA to the largest cities also signiﬁcantly relates to urban growth.\nConclusions Our results highlight the importance of SUA’s within broader African urbanization trends. SUA are undergoing rapid population changes and are important components of economic development processes and livelihoods. Quantifying patterns of SUA urbanization is important for elevating these small but critically important urban areas into the broader context of sustainable urbanization in Africa.","container-title":"Landscape Ecology","DOI":"10.1007/s10980-020-01086-6","ISSN":"0921-2973, 1572-9761","issue":"11","journalAbbreviation":"Landscape Ecol","language":"en","page":"2501-2516","source":"DOI.org (Crossref)","title":"Dynamics of population growth in secondary cities across southern Africa","URL":"http://link.springer.com/10.1007/s10980-020-01086-6","volume":"35","author":[{"family":"Zimmer","given":"Andrew"},{"family":"Guido","given":"Zack"},{"family":"Tuholske","given":"Cascade"},{"family":"Pakalniskis","given":"Alex"},{"family":"Lopus","given":"Sara"},{"family":"Caylor","given":"Kelly"},{"family":"Evans","given":"Tom"}],"accessed":{"date-parts":[["2021",1,31]]},"issued":{"date-parts":[["2020",11]]}},"label":"page"}],"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(Curiel et al., 2017; Zimmer et al., 2020)</w:t>
      </w:r>
      <w:r w:rsidRPr="00103457">
        <w:rPr>
          <w:rFonts w:ascii="Times New Roman" w:hAnsi="Times New Roman"/>
          <w:bCs/>
          <w:color w:val="000000"/>
        </w:rPr>
        <w:fldChar w:fldCharType="end"/>
      </w:r>
      <w:r w:rsidRPr="00103457">
        <w:rPr>
          <w:rFonts w:ascii="Times New Roman" w:hAnsi="Times New Roman"/>
          <w:bCs/>
          <w:color w:val="000000"/>
        </w:rPr>
        <w:t>. Also, analysis of how a city's location influences expansion rates is often lacking in previous studies. Our findings show that smaller cities' expansion rates vary depending on their location within the urban system, although this relationship was insignificant in Ghana. These variations in expansion rates and gravity index relations across countries highlight the diverse urban expansion patterns in West Africa, and diverse factors and policies may influence expansion rates.</w:t>
      </w:r>
    </w:p>
    <w:p w14:paraId="53F81374" w14:textId="77777777"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 xml:space="preserve">Urban expansion dynamics are complex, and knowledge about their causes is critical for effective resource allocation and planning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{"citationID":"H9yrppMF","properties":{"formattedCitation":"(Wu, 2014)","plainCitation":"(Wu, 2014)","noteIndex":0},"citationItems":[{"id":783,"uris":["http://zotero.org/users/8906743/items/TYY3D9S8"],"itemData":{"id":783,"type":"article-journal","container-title":"Landscape and Urban Planning","DOI":"10.1016/j.landurbplan.2014.01.018","ISSN":"01692046","journalAbbreviation":"Landscape and Urban Planning","language":"en","page":"209-221","source":"DOI.org (Crossref)","title":"Urban ecology and sustainability: The state-of-the-science and future directions","title-short":"Urban ecology and sustainability","URL":"https://linkinghub.elsevier.com/retrieve/pii/S0169204614000322","volume":"125","author":[{"family":"Wu","given":"Jianguo"}],"accessed":{"date-parts":[["2023",8,23]]},"issued":{"date-parts":[["2014",5]]}}}],"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(Wu, 2014)</w:t>
      </w:r>
      <w:r w:rsidRPr="00103457">
        <w:rPr>
          <w:rFonts w:ascii="Times New Roman" w:hAnsi="Times New Roman"/>
          <w:bCs/>
          <w:color w:val="000000"/>
        </w:rPr>
        <w:fldChar w:fldCharType="end"/>
      </w:r>
      <w:r w:rsidRPr="00103457">
        <w:rPr>
          <w:rFonts w:ascii="Times New Roman" w:hAnsi="Times New Roman"/>
          <w:bCs/>
          <w:color w:val="000000"/>
        </w:rPr>
        <w:t xml:space="preserve">. Across the four countries, cost of living, urban population growth, and land tenure systems all influence the demand for and access to lands for new developments within and across cities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{"citationID":"KzFB9wgQ","properties":{"formattedCitation":"(Cobbinah &amp; Aboagye, 2017; Yiran et al., 2020)","plainCitation":"(Cobbinah &amp; Aboagye, 2017; Yiran et al., 2020)","noteIndex":0},"citationItems":[{"id":72,"uris":["http://zotero.org/users/8906743/items/FL33N53L"],"itemData":{"id":72,"type":"article-journal","container-title":"Land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Nsomah"}],"accessed":{"date-parts":[["2022",2,9]]},"issued":{"date-parts":[["2017",2]]}}},{"id":59,"uris":["http://zotero.org/users/8906743/items/862CHWJC"],"itemData":{"id":59,"type":"article-journal","abstract":"Urban sprawl has gained popularity in academic discourse in recent times, but the majority of the research was conducted in developed countries. There is a marginal body of works on the character and nature of urban sprawl in Sub-Saharan Africa (SSA), although the region is experiencing one of the fastest rates of sprawl. Urbanisation in SSA is very rapid, and in addition to the emerging challenges of globalisation, climate change and poverty, SSA cities have an enormous task to manage urban sprawl. This paper reviews the literature on urban sprawl in SSA to identify research gaps and propose a research agenda. Published articles from five Anglophone countries in three of the four regional blocks in SSA were selected. The literature was organised into the causes and effects of urban sprawl and showed that the previous research on the subject focused mainly on its environmental impacts. Few studies have looked at the effects of sprawl on rural livelihoods, agriculture and food security considering the challenges of global climate change and poverty. Other studies have used Remote Sensing and Geographic Information Systems, but these were conducted largely for change detection. The paper recommends the deployment of a more comprehensive methodology incorporating remote sensing/GIS with ethnographic methods to capture better the complexity and impacts of urban sprawl in SSA. Additionally, further research attention must be paid to the effects of urban sprawl on rural livelihoods and overall sprawl-induced agrarian change.","container-title":"Ghana Journal of Geography","DOI":"10.4314/gjg.v12i1.1","ISSN":"0855-9414","issue":"1","journalAbbreviation":"Ghana J. Geography","language":"en","page":"1-28","source":"DOI.org (Crossref)","title":"Urban Sprawl in sub-Saharan Africa: A review of the literature in selected countries","title-short":"Urban Sprawl in sub-Saharan Africa","URL":"https://www.ajol.info/index.php/gjg/article/view/198012","volume":"12","author":[{"family":"Yiran","given":"Gerald Albert Baeribameng"},{"family":"Ablo","given":"Austin Dziwornu"},{"family":"Asem","given":"Freda Elikplim"},{"family":"Owusu","given":"George"}],"accessed":{"date-parts":[["2022",2,4]]},"issued":{"date-parts":[["2020",7,25]]}}}],"schema":"https://github.com/citation-style-language/schema/raw/master/csl-citation.json"}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(Cobbinah &amp; Aboagye, 2017; Yiran et al., 2020)</w:t>
      </w:r>
      <w:r w:rsidRPr="00103457">
        <w:rPr>
          <w:rFonts w:ascii="Times New Roman" w:hAnsi="Times New Roman"/>
          <w:bCs/>
          <w:color w:val="000000"/>
        </w:rPr>
        <w:fldChar w:fldCharType="end"/>
      </w:r>
      <w:r w:rsidRPr="00103457">
        <w:rPr>
          <w:rFonts w:ascii="Times New Roman" w:hAnsi="Times New Roman"/>
          <w:bCs/>
          <w:color w:val="000000"/>
        </w:rPr>
        <w:t xml:space="preserve">. At a national level, differences in government policies may explain the different effects of city size and proximity to large cities on urban expansion. In Ghana, small cities expanded more rapidly than large cities, but the expansion rate was not sensitive to gravity index of large cities. The National Urban Policy and the National Spatial Planning Frameworks aim to redistribute urban populations, plan and manage expansion effectively, improve spatial interconnections among different hierarchy of cities, and improve quality of life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{"citationID":"zkUXICTB","properties":{"formattedCitation":"(Ghana Urbanisation Think Tank (GUTT), 2019)","plainCitation":"(Ghana Urbanisation Think Tank (GUTT), 2019)","dontUpdate":true,"noteIndex":0},"citationItems":[{"id":688,"uris":["http://zotero.org/users/8906743/items/YDUKYHAM"],"itemData":{"id":688,"type":"report","event-place":"London and Washington DC","publisher":"Paper for the Coalition for Urban Transitions. London and Washington DC.","publisher-place":"London and Washington DC","title":"Cities as a Strategic Resource: Guideline for Ghana’s National  Urban Policy Revision.","URL":"https://urbantransitions.global/publications/","author":[{"family":"Ghana Urbanisation Think Tank (GUTT)","given":""}],"issued":{"date-parts":[["2019"]]}}}],"schema":"https://github.com/citation-style-language/schema/raw/master/csl-citation.json"}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(GUTT, 2019)</w:t>
      </w:r>
      <w:r w:rsidRPr="00103457">
        <w:rPr>
          <w:rFonts w:ascii="Times New Roman" w:hAnsi="Times New Roman"/>
          <w:bCs/>
          <w:color w:val="000000"/>
        </w:rPr>
        <w:fldChar w:fldCharType="end"/>
      </w:r>
      <w:r w:rsidRPr="00103457">
        <w:rPr>
          <w:rFonts w:ascii="Times New Roman" w:hAnsi="Times New Roman"/>
          <w:bCs/>
          <w:color w:val="000000"/>
        </w:rPr>
        <w:t xml:space="preserve">. These plans have likely influenced historical patterns of urban expansion by encouraging more new developments in smaller cities regardless of their location within the urban system. </w:t>
      </w:r>
    </w:p>
    <w:p w14:paraId="6F0F2B4B" w14:textId="77777777"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lastRenderedPageBreak/>
        <w:t xml:space="preserve">In Nigeria, urban expansion rates were highest in small cities that were close to one or more large cities. The 2006 Urban Development Policy, the National Urban Development Policy, and many other ambitious Strategic Regional Development Plans aim at reducing regional disparities through redistribution of investment projects to ensure balanced growth; however, they focus on the largest cities and emerging new major economic centers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{"citationID":"Ko74cBmf","properties":{"formattedCitation":"(Akeem et al., 2018)","plainCitation":"(Akeem et al., 2018)","noteIndex":0},"citationItems":[{"id":763,"uris":["http://zotero.org/users/8906743/items/Q84IC3UK"],"itemData":{"id":763,"type":"article-journal","abstract":"This paper examines the influence of governance in post- colonial Nigeria in the shaping of urban development. It investigates how rapid population and urban growth had severely affected planning development and management in Lagos state. The paper reinforces the argument that weak implementation of planning regulations and the lack of political determination have resulted in the poor implementation of planning standards and laws regulating urban improvement. Planning regulations were partially or not enforced to standard. Examples of areas where there is much neglect are controlled in the building of residential estate, industrial layout, waste management, public health and unchecked building of petrol station within and around the city. Conflicts between town planners and political realities of postcolonial governance are considered, particularly the opposition of the political elites and the urban poor within the city. Above all, the paper traces the historical origins of planning regulations, the primary forces contributing to their intensification in recent years, and the various mechanisms for the implementation of the laws and the attendant challenges experienced over the years since independence.","container-title":"Journal of Globalization Studies","DOI":"10.30884/jogs/2018.01.07","ISSN":"20758103","issue":"1","journalAbbreviation":"jogs","language":"en","page":"91-106","source":"DOI.org (Crossref)","title":"Planning Regulations and Implementation Mechanisms in Postcolonial Lagos","URL":"https://www.sociostudies.org/journal/articles/1643742/","volume":"9","author":[{"family":"Akeem","given":"Oladiti Abiodun"},{"family":"Olutayo","given":"Odunola Olaitan"},{"family":"Theophilus","given":"Alabi Abimbola"}],"accessed":{"date-parts":[["2023",8,23]]},"issued":{"date-parts":[["2018",5]]}}}],"schema":"https://github.com/citation-style-language/schema/raw/master/csl-citation.json"}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(Akeem et al., 2018)</w:t>
      </w:r>
      <w:r w:rsidRPr="00103457">
        <w:rPr>
          <w:rFonts w:ascii="Times New Roman" w:hAnsi="Times New Roman"/>
          <w:bCs/>
          <w:color w:val="000000"/>
        </w:rPr>
        <w:fldChar w:fldCharType="end"/>
      </w:r>
      <w:r w:rsidRPr="00103457">
        <w:rPr>
          <w:rFonts w:ascii="Times New Roman" w:hAnsi="Times New Roman"/>
          <w:bCs/>
          <w:color w:val="000000"/>
        </w:rPr>
        <w:t>. The resulting expansion in large cities likely has spillover effects that influence nearby secondary cities' higher expansion rates</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{"citationID":"7TmnltWO","properties":{"formattedCitation":"(Akeem et al., 2018; Idowu et al., 2020)","plainCitation":"(Akeem et al., 2018; Idowu et al., 2020)","dontUpdate":true,"noteIndex":0},"citationItems":[{"id":763,"uris":["http://zotero.org/users/8906743/items/Q84IC3UK"],"itemData":{"id":763,"type":"article-journal","abstract":"This paper examines the influence of governance in post- colonial Nigeria in the shaping of urban development. It investigates how rapid population and urban growth had severely affected planning development and management in Lagos state. The paper reinforces the argument that weak implementation of planning regulations and the lack of political determination have resulted in the poor implementation of planning standards and laws regulating urban improvement. Planning regulations were partially or not enforced to standard. Examples of areas where there is much neglect are controlled in the building of residential estate, industrial layout, waste management, public health and unchecked building of petrol station within and around the city. Conflicts between town planners and political realities of postcolonial governance are considered, particularly the opposition of the political elites and the urban poor within the city. Above all, the paper traces the historical origins of planning regulations, the primary forces contributing to their intensification in recent years, and the various mechanisms for the implementation of the laws and the attendant challenges experienced over the years since independence.","container-title":"Journal of Globalization Studies","DOI":"10.30884/jogs/2018.01.07","ISSN":"20758103","issue":"1","journalAbbreviation":"jogs","language":"en","page":"91-106","source":"DOI.org (Crossref)","title":"Planning Regulations and Implementation Mechanisms in Postcolonial Lagos","URL":"https://www.sociostudies.org/journal/articles/1643742/","volume":"9","author":[{"family":"Akeem","given":"Oladiti Abiodun"},{"family":"Olutayo","given":"Odunola Olaitan"},{"family":"Theophilus","given":"Alabi Abimbola"}],"accessed":{"date-parts":[["2023",8,23]]},"issued":{"date-parts":[["2018",5]]}}},{"id":582,"uris":["http://zotero.org/users/8906743/items/J3EXX7NB"],"itemData":{"id":582,"type":"article-journal","archive_location":"WOS:000570789800004","container-title":"South African Journal of Geomatics","DOI":"10.4314/sajg.v9i2.11","ISSN":"2225-8531","issue":"2","page":"149-162","title":"Towards achieving Sustainability of coastal environments: Urban Growth analysis and prediction of Lagos, State Nigeria","volume":"9","author":[{"family":"Idowu","given":"Temitope Ezekiel"},{"family":"Waswa","given":"Rose Malot"},{"family":"Lasisi","given":"Kayode"},{"family":"Mubea","given":"Kenneth"},{"family":"Nyadawa","given":"Maurice"},{"family":"Kiema","given":"John Bosco Kyalo"}],"issued":{"date-parts":[["2020",9]]}}}],"schema":"https://github.com/citation-style-language/schema/raw/master/csl-citation.json"} </w:instrText>
      </w:r>
      <w:r w:rsidRPr="00103457">
        <w:rPr>
          <w:rFonts w:ascii="Times New Roman" w:hAnsi="Times New Roman"/>
          <w:bCs/>
          <w:color w:val="000000"/>
        </w:rPr>
        <w:fldChar w:fldCharType="end"/>
      </w:r>
      <w:r w:rsidRPr="00103457">
        <w:rPr>
          <w:rFonts w:ascii="Times New Roman" w:hAnsi="Times New Roman"/>
          <w:bCs/>
          <w:color w:val="000000"/>
        </w:rPr>
        <w:t xml:space="preserve">. Terrorist activities in some parts of Nigeria also potentially caused out-migration of people from insecure locations to more connected and safer areas in and around large cities. </w:t>
      </w:r>
    </w:p>
    <w:p w14:paraId="06573CE4" w14:textId="402DA32D" w:rsidR="00103457" w:rsidRDefault="00103457" w:rsidP="0053102C">
      <w:pPr>
        <w:ind w:firstLine="360"/>
        <w:rPr>
          <w:rFonts w:ascii="Times New Roman" w:hAnsi="Times New Roman"/>
          <w:bCs/>
          <w:color w:val="000000"/>
        </w:rPr>
      </w:pPr>
      <w:r w:rsidRPr="00103457">
        <w:rPr>
          <w:rFonts w:ascii="Times New Roman" w:hAnsi="Times New Roman"/>
          <w:bCs/>
          <w:color w:val="000000"/>
        </w:rPr>
        <w:t xml:space="preserve">Through the Decentralized City Management Project in Benin and National Housing Strategy in Togo, infrastructural development and services are upgraded for low-income neighborhoods across cities in both countries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{"citationID":"2KhPvvlr","properties":{"formattedCitation":"(UN-HABITAT, 2017)","plainCitation":"(UN-HABITAT, 2017)","noteIndex":0},"citationItems":[{"id":1932,"uris":["http://zotero.org/users/8906743/items/47L4H8AQ"],"itemData":{"id":1932,"type":"report","number":"HS/027/17E","publisher":"United Nations Human Settlements Programme","title":"National Urban Policy: Sub Saharan Africa Report","author":[{"family":"UN-HABITAT","given":""}],"issued":{"date-parts":[["2017"]]}}}],"schema":"https://github.com/citation-style-language/schema/raw/master/csl-citation.json"}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(UN-HABITAT, 2017)</w:t>
      </w:r>
      <w:r w:rsidRPr="00103457">
        <w:rPr>
          <w:rFonts w:ascii="Times New Roman" w:hAnsi="Times New Roman"/>
          <w:bCs/>
          <w:color w:val="000000"/>
        </w:rPr>
        <w:fldChar w:fldCharType="end"/>
      </w:r>
      <w:r w:rsidRPr="00103457">
        <w:rPr>
          <w:rFonts w:ascii="Times New Roman" w:hAnsi="Times New Roman"/>
          <w:bCs/>
          <w:color w:val="000000"/>
        </w:rPr>
        <w:t xml:space="preserve">. Also, the high expansion rates in northern part of Togo is potentially due to diversity of agricultural opportunities that results in development of market towns and encourage trade </w:t>
      </w:r>
      <w:r w:rsidRPr="00103457">
        <w:rPr>
          <w:rFonts w:ascii="Times New Roman" w:hAnsi="Times New Roman"/>
          <w:color w:val="000000"/>
        </w:rPr>
        <w:fldChar w:fldCharType="begin"/>
      </w:r>
      <w:r w:rsidRPr="00103457">
        <w:rPr>
          <w:rFonts w:ascii="Times New Roman" w:hAnsi="Times New Roman"/>
          <w:color w:val="000000"/>
        </w:rPr>
        <w:instrText xml:space="preserve"> ADDIN ZOTERO_ITEM CSL_CITATION {"citationID":"Da0u9Vqt","properties":{"formattedCitation":"(OECD/SWAC,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hAnsi="Times New Roman"/>
          <w:color w:val="000000"/>
        </w:rPr>
        <w:fldChar w:fldCharType="separate"/>
      </w:r>
      <w:r w:rsidRPr="00103457">
        <w:rPr>
          <w:rFonts w:ascii="Times New Roman" w:hAnsi="Times New Roman"/>
          <w:color w:val="000000"/>
        </w:rPr>
        <w:t>(OECD/SWAC, 2020)</w:t>
      </w:r>
      <w:r w:rsidRPr="00103457">
        <w:rPr>
          <w:rFonts w:ascii="Times New Roman" w:hAnsi="Times New Roman"/>
          <w:color w:val="000000"/>
        </w:rPr>
        <w:fldChar w:fldCharType="end"/>
      </w:r>
      <w:r w:rsidRPr="00103457">
        <w:rPr>
          <w:rFonts w:ascii="Times New Roman" w:hAnsi="Times New Roman"/>
          <w:color w:val="000000"/>
        </w:rPr>
        <w:t>.</w:t>
      </w:r>
      <w:r w:rsidRPr="00103457">
        <w:rPr>
          <w:rFonts w:ascii="Times New Roman" w:hAnsi="Times New Roman"/>
          <w:bCs/>
          <w:color w:val="000000"/>
        </w:rPr>
        <w:t xml:space="preserve"> Thus, the availability of opportunities and infrastructural and service improvement across cities are likely reasons for the negative relationships between proximity to larger cities and expansion rates in smaller cities in Benin and Togo. </w:t>
      </w:r>
    </w:p>
    <w:p w14:paraId="09369569" w14:textId="77777777" w:rsidR="0053102C" w:rsidRPr="00103457" w:rsidRDefault="0053102C" w:rsidP="0053102C">
      <w:pPr>
        <w:spacing w:line="240" w:lineRule="auto"/>
        <w:ind w:firstLine="360"/>
        <w:rPr>
          <w:rFonts w:ascii="Times New Roman" w:hAnsi="Times New Roman"/>
          <w:bCs/>
          <w:color w:val="000000"/>
        </w:rPr>
      </w:pPr>
    </w:p>
    <w:p w14:paraId="5BC7A8E1" w14:textId="77777777" w:rsidR="006F7C17" w:rsidRPr="00E83DAD" w:rsidRDefault="006F7C17" w:rsidP="00277F12">
      <w:pPr>
        <w:pStyle w:val="Heading3"/>
      </w:pPr>
      <w:bookmarkStart w:id="74" w:name="_Toc172288723"/>
      <w:r w:rsidRPr="00E83DAD">
        <w:t>Implications of results</w:t>
      </w:r>
      <w:bookmarkEnd w:id="74"/>
    </w:p>
    <w:p w14:paraId="15A6A678" w14:textId="77777777"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 xml:space="preserve">Across the study area, the increase in urban expansion potentially has economic, social, and environmental implications. Due to land insecurity in most African countries, rapid urban expansion in smaller cities may encroach on prime agricultural lands and potentially dispossess vulnerable groups from their lands and livelihood sources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{"citationID":"sXQwowxW","properties":{"formattedCitation":"(Boone et al., 2014)","plainCitation":"(Boone et al., 2014)","noteIndex":0},"citationItems":[{"id":75,"uris":["http://zotero.org/users/8906743/items/AYP7I4RN",["http://zotero.org/users/8906743/items/AYP7I4RN"]],"itemData":{"id":75,"type":"chapter","abstract":"Current systems to classify land are insufﬁcient, as is the delineation of Earth’s surface into discrete categories of land covers and uses, because they ignore the multiple functions that land provides and the movement of people, materials, information, and energy they facilitate. To address sustainability challenges related to urban lifestyles, livelihoods, connectivity, and places, new conceptualizations are needed which have the potential to acknowledge and redeﬁne the extent, intensity, and quality of urbanness on Earth. This chapter proposes a framework which focuses on people and institutions as agents of change and examines changes in urban lifestyles and livelihoods over larger regions, regardless of whether an area is delineated as “urban” or “rural.” It views urbanization and the urban era to be an integrated system and provides a multivariable approach to urbanity. It discusses a new land ethic and highlights challenges that exist to facilitate a sustainability transition.","container-title":"Rethinking Global Land Use in an Urban Era","ISBN":"978-0-262-02690-1","language":"en","note":"DOI: 10.7551/mitpress/9780262026901.003.0016","page":"313-330","publisher":"The MIT Press","source":"DOI.org (Crossref)","title":"Reconceptualizing Land for Sustainable Urbanity","URL":"http://mitpress.universitypressscholarship.com/view/10.7551/mitpress/9780262026901.001.0001/upso-9780262026901-chapter-16","editor":[{"family":"Seto","given":"Karen C."},{"family":"Reenberg","given":"Anette"}],"author":[{"family":"Boone","given":"Christopher G."},{"family":"Redman","given":"Charles L."},{"family":"Blanco","given":"Hilda"},{"family":"Haase","given":"Dagmar"},{"family":"Koch","given":"Jennifer"},{"family":"Lwasa","given":"Shuaib"},{"family":"Nagendra","given":"Harini"},{"family":"Pauleit","given":"Stephan"},{"family":"Pickett","given":"Steward T. A."},{"family":"Seto","given":"Karen C."},{"family":"Yokohari","given":"Makoto"}],"accessed":{"date-parts":[["2022",2,27]]},"issued":{"date-parts":[["2014",3,31]]}}}],"schema":"https://github.com/citation-style-language/schema/raw/master/csl-citation.json"}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(Boone et al., 2014)</w:t>
      </w:r>
      <w:r w:rsidRPr="00103457">
        <w:rPr>
          <w:rFonts w:ascii="Times New Roman" w:hAnsi="Times New Roman"/>
          <w:bCs/>
          <w:color w:val="000000"/>
        </w:rPr>
        <w:fldChar w:fldCharType="end"/>
      </w:r>
      <w:r w:rsidRPr="00103457">
        <w:rPr>
          <w:rFonts w:ascii="Times New Roman" w:hAnsi="Times New Roman"/>
          <w:bCs/>
          <w:color w:val="000000"/>
        </w:rPr>
        <w:t xml:space="preserve">. Dispossessing of lands for urban expansion may further deepen poverty as most vulnerable groups lack the skills </w:t>
      </w:r>
      <w:r w:rsidRPr="00103457">
        <w:rPr>
          <w:rFonts w:ascii="Times New Roman" w:hAnsi="Times New Roman"/>
          <w:bCs/>
          <w:color w:val="000000"/>
        </w:rPr>
        <w:lastRenderedPageBreak/>
        <w:t xml:space="preserve">and training to transition easily into other employment activities in African cities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{"citationID":"Keixjjs6","properties":{"formattedCitation":"(Boone et al., 2014)","plainCitation":"(Boone et al., 2014)","noteIndex":0},"citationItems":[{"id":75,"uris":["http://zotero.org/users/8906743/items/AYP7I4RN",["http://zotero.org/users/8906743/items/AYP7I4RN"]],"itemData":{"id":75,"type":"chapter","abstract":"Current systems to classify land are insufﬁcient, as is the delineation of Earth’s surface into discrete categories of land covers and uses, because they ignore the multiple functions that land provides and the movement of people, materials, information, and energy they facilitate. To address sustainability challenges related to urban lifestyles, livelihoods, connectivity, and places, new conceptualizations are needed which have the potential to acknowledge and redeﬁne the extent, intensity, and quality of urbanness on Earth. This chapter proposes a framework which focuses on people and institutions as agents of change and examines changes in urban lifestyles and livelihoods over larger regions, regardless of whether an area is delineated as “urban” or “rural.” It views urbanization and the urban era to be an integrated system and provides a multivariable approach to urbanity. It discusses a new land ethic and highlights challenges that exist to facilitate a sustainability transition.","container-title":"Rethinking Global Land Use in an Urban Era","ISBN":"978-0-262-02690-1","language":"en","note":"DOI: 10.7551/mitpress/9780262026901.003.0016","page":"313-330","publisher":"The MIT Press","source":"DOI.org (Crossref)","title":"Reconceptualizing Land for Sustainable Urbanity","URL":"http://mitpress.universitypressscholarship.com/view/10.7551/mitpress/9780262026901.001.0001/upso-9780262026901-chapter-16","editor":[{"family":"Seto","given":"Karen C."},{"family":"Reenberg","given":"Anette"}],"author":[{"family":"Boone","given":"Christopher G."},{"family":"Redman","given":"Charles L."},{"family":"Blanco","given":"Hilda"},{"family":"Haase","given":"Dagmar"},{"family":"Koch","given":"Jennifer"},{"family":"Lwasa","given":"Shuaib"},{"family":"Nagendra","given":"Harini"},{"family":"Pauleit","given":"Stephan"},{"family":"Pickett","given":"Steward T. A."},{"family":"Seto","given":"Karen C."},{"family":"Yokohari","given":"Makoto"}],"accessed":{"date-parts":[["2022",2,27]]},"issued":{"date-parts":[["2014",3,31]]}}}],"schema":"https://github.com/citation-style-language/schema/raw/master/csl-citation.json"}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(Boone et al., 2014)</w:t>
      </w:r>
      <w:r w:rsidRPr="00103457">
        <w:rPr>
          <w:rFonts w:ascii="Times New Roman" w:hAnsi="Times New Roman"/>
          <w:bCs/>
          <w:color w:val="000000"/>
        </w:rPr>
        <w:fldChar w:fldCharType="end"/>
      </w:r>
      <w:r w:rsidRPr="00103457">
        <w:rPr>
          <w:rFonts w:ascii="Times New Roman" w:hAnsi="Times New Roman"/>
          <w:bCs/>
          <w:color w:val="000000"/>
        </w:rPr>
        <w:t xml:space="preserve">. Also, urban expansion may create unequal access to housing due to the recent emergence of real estate developers that target the rising middle- and high-income earners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{"citationID":"lt8kDKMi","properties":{"formattedCitation":"(P. I. Korah et al., 2019; Yeboah et al., 2021)","plainCitation":"(P. I. Korah et al., 2019; Yeboah et al., 2021)","dontUpdate":true,"noteIndex":0},"citationItems":[{"id":389,"uris":["http://zotero.org/users/8906743/items/9P3RP7Q7"],"itemData":{"id":389,"type":"article-journal","abstract":"Rapid urbanisation and globalisation are creating relentless spatial transformation across the globe. There is a growing interest in understanding and conceptualising the emergent and often contested spatial morphologies and typologies in cities as they mediate the competing demands of global and local forces. This paper examines spatial and temporal development patterns in a Sub-Saharan Africa context using Accra, the capital and rapidly growing city of Ghana, as case study and explores the emerging urban form. By classifying Landsat satellite images (1986–2017) and using landscape/spatial metrics to characterise Accra’s spatial development along four concentric rings, we find growing complexity and fragmented spatial growth patterns in Accra. Despite the spatial fragmentation, a Contiguity Index of 0.64, 0.49 and 0.56 for 1986, 2000, and 2017 respectively show that Accra’s urban form is not amorphous nor polycentric but monocentric. The study demonstrates that using landscape metrics to characterise spatial development patterns under buffer zones leads to better understanding of the temporal and changing form of the city under various conditions. We reflect on the implications of these findings for urban policy and planning in Accra and other similar Sub-Saharan African cities.","container-title":"Land Use Policy","DOI":"10.1016/j.landusepol.2019.104049","ISSN":"02648377","journalAbbreviation":"Land Use Policy","language":"en","page":"104049","source":"DOI.org (Crossref)","title":"Characterising spatial and temporal patterns of urban evolution in Sub-Saharan Africa: The case of Accra, Ghana","title-short":"Characterising spatial and temporal patterns of urban evolution in Sub-Saharan Africa","URL":"https://linkinghub.elsevier.com/retrieve/pii/S0264837719300389","volume":"87","author":[{"family":"Korah","given":"Prosper Issahaku"},{"family":"Matthews","given":"Tony"},{"family":"Tomerini","given":"Deanna"}],"accessed":{"date-parts":[["2022",2,9]]},"issued":{"date-parts":[["2019",9]]}}},{"id":472,"uris":["http://zotero.org/users/8906743/items/EK77KK5Q"],"itemData":{"id":472,"type":"article-journal","container-title":"GeoJournal","DOI":"10.1007/s10708-021-10469-4","ISSN":"0343-2521, 1572-9893","journalAbbreviation":"GeoJournal","language":"en","source":"DOI.org (Crossref)","title":"Regimes of accumulation and the production of the built environment of Cantonments, Accra-Tema City-Region","URL":"https://link.springer.com/10.1007/s10708-021-10469-4","author":[{"family":"Yeboah","given":"Ian E. A."},{"family":"Arku","given":"Godwin"},{"family":"Maingi","given":"John K."}],"accessed":{"date-parts":[["2022",8,23]]},"issued":{"date-parts":[["2021",7,31]]}}}],"schema":"https://github.com/citation-style-language/schema/raw/master/csl-citation.json"}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(Korah et al., 2019; Yeboah et al., 2021)</w:t>
      </w:r>
      <w:r w:rsidRPr="00103457">
        <w:rPr>
          <w:rFonts w:ascii="Times New Roman" w:hAnsi="Times New Roman"/>
          <w:bCs/>
          <w:color w:val="000000"/>
        </w:rPr>
        <w:fldChar w:fldCharType="end"/>
      </w:r>
      <w:r w:rsidRPr="00103457">
        <w:rPr>
          <w:rFonts w:ascii="Times New Roman" w:hAnsi="Times New Roman"/>
          <w:bCs/>
          <w:color w:val="000000"/>
        </w:rPr>
        <w:t xml:space="preserve">. New developments may deplete urban vegetation, potentially increasing urban heat islands and energy costs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{"citationID":"zNHoG844","properties":{"formattedCitation":"(Marcotullio et al., 2022; Song et al., 2020)","plainCitation":"(Marcotullio et al., 2022; Song et al., 2020)","noteIndex":0},"citationItems":[{"id":730,"uris":["http://zotero.org/users/8906743/items/UJGH6QR9"],"itemData":{"id":730,"type":"article-journal","abstract":"Over the past decades, the world has experienced increasing heatwave intensity, frequency, and duration. This trend is projected to increase into the future with climate change. At the same time, the global population is also projected to increase, largely in the world’s cities. This urban growth is associated with increased heat in the urban core, compared to surrounding areas, exposing residents to both higher temperatures and more intense heatwaves than their rural counterparts. Regional studies suggest that Asia and Africa will be significantly affected. How many people may be exposed to levels of extreme heat events in the future remains unclear. Identifying the range in number of potentially exposed populations and where the vulnerable are located can help planners prioritize adaption efforts. We project the ranges of population exposed to heatwaves at varying levels to 2,100 for three future periods of time (2010–2039, 2040–2069, 2070–2099) using the Shared Socio-Economic Pathways (SSPs) and the Representative Concentration Pathways (RCPs). We hypothesize that the largest populations that will be exposed to very warm heatwaves are located in Asia and Africa. Our projections represent the warmest heatwaves for 15 days during these three periods. By the 2070–2099 period, the exposure levels to extreme heatwaves (&gt;42°) exceed 3.5 billion, under the sustainability scenario (RCP2.6-SSP1). The number of those exposed in cities climbs with greater projected climate change. The largest shares of the exposed populations are located in Southern Asia and tropical countries Western and Central Africa. While this research demonstrates the importance of this type of climate change event, urban decision-makers are only recently developing policies to address heat. There is an urgent need for further research in this area.","container-title":"Frontiers in Built Environment","ISSN":"2297-3362","source":"Frontiers","title":"Global urban exposure projections to extreme heatwaves","URL":"https://www.frontiersin.org/articles/10.3389/fbuil.2022.947496","volume":"8","author":[{"family":"Marcotullio","given":"Peter J."},{"family":"Keßler","given":"Carsten"},{"family":"Fekete","given":"Balázs M."}],"accessed":{"date-parts":[["2023",8,24]]},"issued":{"date-parts":[["2022"]]}}},{"id":769,"uris":["http://zotero.org/users/8906743/items/QGTI273E"],"itemData":{"id":769,"type":"article-journal","abstract":"Understanding the difference of greenspace in different urban areas is a critical requirement for maintaining urban natural environment and lessening environmental inequality. However, how urban expansion impacts on people’s exposure to ambient green environments has been limitedly addressed. Here we integrated multi-source geospatial big data including mobile-phone location-based service (LBS) data, Sentinel-2, and nighttime light satellite imageries to quantitatively estimate changes in people’s exposure to green environments for 290 cities in China from 1992 to 2015. Results showed that the urban expansion process directly led to differences in green environments between old and new urban areas. These differences were not only observed by the green coverage rate but also captured using a dynamic assessment of people’s exposure to greenspace. For most of China’s large cities, people could enjoy more greenspace in new urban areas than the old ones. A signiﬁcant day-to-night variation of people’s exposure to greenspace was identiﬁed between old and new urban areas. Our results also revealed that urbanization did bring some positive effects to improve green environments for cities located in harsh natural conditions (e.g., semiarid/arid and desert regions).","container-title":"Journal of Cleaner Production","DOI":"10.1016/j.jclepro.2019.119018","ISSN":"09596526","journalAbbreviation":"Journal of Cleaner Production","language":"en","page":"119018","source":"DOI.org (Crossref)","title":"How does urban expansion impact people’s exposure to green environments? A comparative study of 290 Chinese cities","title-short":"How does urban expansion impact people’s exposure to green environments?","URL":"https://linkinghub.elsevier.com/retrieve/pii/S0959652619338880","volume":"246","author":[{"family":"Song","given":"Yimeng"},{"family":"Chen","given":"Bin"},{"family":"Kwan","given":"Mei-Po"}],"accessed":{"date-parts":[["2023",8,23]]},"issued":{"date-parts":[["2020",2]]}}}],"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(Marcotullio et al., 2022; Song et al., 2020)</w:t>
      </w:r>
      <w:r w:rsidRPr="00103457">
        <w:rPr>
          <w:rFonts w:ascii="Times New Roman" w:hAnsi="Times New Roman"/>
          <w:bCs/>
          <w:color w:val="000000"/>
        </w:rPr>
        <w:fldChar w:fldCharType="end"/>
      </w:r>
      <w:r w:rsidRPr="00103457">
        <w:rPr>
          <w:rFonts w:ascii="Times New Roman" w:hAnsi="Times New Roman"/>
          <w:bCs/>
          <w:color w:val="000000"/>
        </w:rPr>
        <w:t xml:space="preserve">. Additionally, most urban expansion in African cities is unguided with ineffective planning frameworks, and most expansion occurs before the provision of services and infrastructure, meaning negative effects of urban expansion may increase, calling for policymakers and city authorities to prioritize limited resources in managing growth in areas that may pose more threat to people and the environment.  </w:t>
      </w:r>
    </w:p>
    <w:p w14:paraId="354CFE32" w14:textId="4457045E"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 xml:space="preserve">Previous studies worldwide have found that urban expansion threatens food security, biodiversity, habitat conservation, and carbon sequestration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{"citationID":"iiRKhUyB","properties":{"formattedCitation":"(Liu et al., 2019; Tu et al., 2021)","plainCitation":"(Liu et al., 2019; Tu et al., 2021)","noteIndex":0},"citationItems":[{"id":777,"uris":["http://zotero.org/users/8906743/items/RZ7I9LYV"],"itemData":{"id":777,"type":"article-journal","abstract":"Urban expansion is one of the main factors driving terrestrial carbon storage (TCS) changes. Accurate accounting of TCS and rigorous quantiﬁcation of its changes caused by historical urban expansion may help us to better predict its changes in the future. This study focuses on the carbon impacts of urbanization in China where the share of the urban population has increased from 18% in 1978 to 59% in 2017 and the growing will continue in the coming decades. Our results show that China’s TCS decreased at an accelerating pace over the past three decades with an average reduction of 0.72TgC/y in 1980−1990 and 8.72TgC/y in 2000−2010, mostly due to conversion from cropland and woodland to urban land. Through simulating urban expansion under four scenarios from 2010 to 2050, we found a potential increasing trend in land conversion from woodland to urban land. This conversion trend would result in carbon storage loss at an average rate of 9.31TgC/y </w:instrText>
      </w:r>
      <w:r w:rsidRPr="00103457">
        <w:rPr>
          <w:rFonts w:ascii="Cambria Math" w:hAnsi="Cambria Math" w:cs="Cambria Math"/>
          <w:bCs/>
          <w:color w:val="000000"/>
        </w:rPr>
        <w:instrText>∼</w:instrText>
      </w:r>
      <w:r w:rsidRPr="00103457">
        <w:rPr>
          <w:rFonts w:ascii="Times New Roman" w:hAnsi="Times New Roman"/>
          <w:bCs/>
          <w:color w:val="000000"/>
        </w:rPr>
        <w:instrText xml:space="preserve"> 12.94TgC/y in 2010−2050. The increasing trend in both land conversion and carbon storage loss is especially visible in the population centers of the Yangtze River Delta and the Pearl River Delta. Considering that the indirect emission eﬀects of urbanization, such as farmland displacement, population migration, and land degradation, may be much larger, the overall emission impact of forthcoming urban expansion in China would increase the uncertainty of the nation’s carbon emissions and potentially undermine China’s targets as committed in the Paris Climate Agreement.","container-title":"Environmental Science &amp; Technology","DOI":"10.1021/acs.est.9b00103","ISSN":"0013-936X, 1520-5851","issue":"12","journalAbbreviation":"Environ. Sci. Technol.","language":"en","page":"6834-6844","source":"DOI.org (Crossref)","title":"Impacts of Urban Expansion on Terrestrial Carbon Storage in China","URL":"https://pubs.acs.org/doi/10.1021/acs.est.9b00103","volume":"53","author":[{"family":"Liu","given":"Xiaoping"},{"family":"Wang","given":"Shaojian"},{"family":"Wu","given":"Peijun"},{"family":"Feng","given":"Kuishuang"},{"family":"Hubacek","given":"Klaus"},{"family":"Li","given":"Xia"},{"family":"Sun","given":"Laixiang"}],"accessed":{"date-parts":[["2023",8,23]]},"issued":{"date-parts":[["2019",6,18]]}}},{"id":815,"uris":["http://zotero.org/users/8906743/items/F2WMUCZB"],"itemData":{"id":815,"type":"article-journal","abstract":"Characterized by intensive urban sprawl and continuous cropland shrinkage, the unprecedented urbanization process has profoundly reshaped China’s landscape over the past four decades. However, the interaction between urban expansion and cropland loss in China at a finer spatiotemporal resolution remains unclear.","container-title":"Landscape Ecology","DOI":"10.1007/s10980-020-01137-y","ISSN":"1572-9761","issue":"1","journalAbbreviation":"Landscape Ecol","language":"en","page":"243-263","source":"Springer Link","title":"How does urban expansion interact with cropland loss? A comparison of 14 Chinese cities from 1980 to 2015","title-short":"How does urban expansion interact with cropland loss?","URL":"https://doi.org/10.1007/s10980-020-01137-y","volume":"36","author":[{"family":"Tu","given":"Ying"},{"family":"Chen","given":"Bin"},{"family":"Yu","given":"Le"},{"family":"Xin","given":"Qinchuan"},{"family":"Gong","given":"Peng"},{"family":"Xu","given":"Bing"}],"accessed":{"date-parts":[["2023",4,30]]},"issued":{"date-parts":[["2021",1,1]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(Liu et al., 2019; Tu et al., 2021)</w:t>
      </w:r>
      <w:r w:rsidRPr="00103457">
        <w:rPr>
          <w:rFonts w:ascii="Times New Roman" w:hAnsi="Times New Roman"/>
          <w:bCs/>
          <w:color w:val="000000"/>
        </w:rPr>
        <w:fldChar w:fldCharType="end"/>
      </w:r>
      <w:r w:rsidRPr="00103457">
        <w:rPr>
          <w:rFonts w:ascii="Times New Roman" w:hAnsi="Times New Roman"/>
          <w:bCs/>
          <w:color w:val="000000"/>
        </w:rPr>
        <w:t xml:space="preserve">. Although some studies found increased risk of floods and heat stress with infill expansion, most impacts of urban expansion are associated with dispersed and fragmented sprawl development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{"citationID":"ngE2oupN","properties":{"formattedCitation":"(Amponsah et al., 2022; Marcotullio et al., 2022; Yiran et al., 2020)","plainCitation":"(Amponsah et al., 2022; Marcotullio et al., 2022; Yiran et al., 2020)","noteIndex":0},"citationItems":[{"id":548,"uris":["http://zotero.org/users/8906743/items/6RIPBQBN"],"itemData":{"id":548,"type":"article-journal","abstract":"Cities in Sub-Saharan Africa (SSA) have so far failed to sustainably address urban sprawl and its ramifications. Meanwhile, the projected increase in the urban population in the cities in SSA is expected to exacerbate the situation, making the search for sustainable solutions an urgent one. In this review, we contribute to the search for sustainable urban sprawl containment strategies through the lens of policy transfer theory. Using Ghanaian cities as examples, we argue that ‘successful sprawl containment strategies’ implemented in developed countries in the Global North can be adapted to help address sprawl in cities in SSA. In particular, the review found that strategies that promote city densification and direct the physical growth of cities are suitable for urban sprawl containment in highly urbanised cities in Ghana. Strategies that preserve farmlands and green spaces are rec­ ommended for municipalities and districts that are predominantly rural but urbanising rapidly. While we have limited the discussion to cities in Ghana, the similarities regarding land tenure practices and urbanisation dy­ namics (including the drivers for urban sprawl) across cities in SSA make the findings applicable to many other cities within the sub-region. However, the success of the sprawl containment strategies is tied to the ability of city authorities to address the land tenure conflicts, strengthen planning institutions, and collaborate in the efforts to contain urban sprawl. Recommendations for addressing these intractable urban planning challenges are provided in the discussion.","container-title":"Land Use Policy","DOI":"10.1016/j.landusepol.2022.105979","ISSN":"02648377","journalAbbreviation":"Land Use Policy","language":"en","page":"105979","source":"DOI.org (Crossref)","title":"Global urban sprawl containment strategies and their implications for rapidly urbanising cities in Ghana","URL":"https://linkinghub.elsevier.com/retrieve/pii/S0264837722000060","volume":"114","author":[{"family":"Amponsah","given":"Owusu"},{"family":"Blija","given":"Daniel Kwame"},{"family":"Ayambire","given":"Raphael Anammasiya"},{"family":"Takyi","given":"Stephen Appiah"},{"family":"Mensah","given":"Henry"},{"family":"Braimah","given":"Imoro"}],"accessed":{"date-parts":[["2022",2,15]]},"issued":{"date-parts":[["2022",3]]}}},{"id":730,"uris":["http://zotero.org/users/8906743/items/UJGH6QR9"],"itemData":{"id":730,"type":"article-journal","abstract":"Over the past decades, the world has experienced increasing heatwave intensity, frequency, and duration. This trend is projected to increase into the future with climate change. At the same time, the global population is also projected to increase, largely in the world’s cities. This urban growth is associated with increased heat in the urban core, compared to surrounding areas, exposing residents to both higher temperatures and more intense heatwaves than their rural counterparts. Regional studies suggest that Asia and Africa will be significantly affected. How many people may be exposed to levels of extreme heat events in the future remains unclear. Identifying the range in number of potentially exposed populations and where the vulnerable are located can help planners prioritize adaption efforts. We project the ranges of population exposed to heatwaves at varying levels to 2,100 for three future periods of time (2010–2039, 2040–2069, 2070–2099) using the Shared Socio-Economic Pathways (SSPs) and the Representative Concentration Pathways (RCPs). We hypothesize that the largest populations that will be exposed to very warm heatwaves are located in Asia and Africa. Our projections represent the warmest heatwaves for 15 days during these three periods. By the 2070–2099 period, the exposure levels to extreme heatwaves (&gt;42°) exceed 3.5 billion, under the sustainability scenario (RCP2.6-SSP1). The number of those exposed in cities climbs with greater projected climate change. The largest shares of the exposed populations are located in Southern Asia and tropical countries Western and Central Africa. While this research demonstrates the importance of this type of climate change event, urban decision-makers are only recently developing policies to address heat. There is an urgent need for further research in this area.","container-title":"Frontiers in Built Environment","ISSN":"2297-3362","source":"Frontiers","title":"Global urban exposure projections to extreme heatwaves","URL":"https://www.frontiersin.org/articles/10.3389/fbuil.2022.947496","volume":"8","author":[{"family":"Marcotullio","given":"Peter J."},{"family":"Keßler","given":"Carsten"},{"family":"Fekete","given":"Balázs M."}],"accessed":{"date-parts":[["2023",8,24]]},"issued":{"date-parts":[["2022"]]}}},{"id":59,"uris":["http://zotero.org/users/8906743/items/862CHWJC"],"itemData":{"id":59,"type":"article-journal","abstract":"Urban sprawl has gained popularity in academic discourse in recent times, but the majority of the research was conducted in developed countries. There is a marginal body of works on the character and nature of urban sprawl in Sub-Saharan Africa (SSA), although the region is experiencing one of the fastest rates of sprawl. Urbanisation in SSA is very rapid, and in addition to the emerging challenges of globalisation, climate change and poverty, SSA cities have an enormous task to manage urban sprawl. This paper reviews the literature on urban sprawl in SSA to identify research gaps and propose a research agenda. Published articles from five Anglophone countries in three of the four regional blocks in SSA were selected. The literature was organised into the causes and effects of urban sprawl and showed that the previous research on the subject focused mainly on its environmental impacts. Few studies have looked at the effects of sprawl on rural livelihoods, agriculture and food security considering the challenges of global climate change and poverty. Other studies have used Remote Sensing and Geographic Information Systems, but these were conducted largely for change detection. The paper recommends the deployment of a more comprehensive methodology incorporating remote sensing/GIS with ethnographic methods to capture better the complexity and impacts of urban sprawl in SSA. Additionally, further research attention must be paid to the effects of urban sprawl on rural livelihoods and overall sprawl-induced agrarian change.","container-title":"Ghana Journal of Geography","DOI":"10.4314/gjg.v12i1.1","ISSN":"0855-9414","issue":"1","journalAbbreviation":"Ghana J. Geography","language":"en","page":"1-28","source":"DOI.org (Crossref)","title":"Urban Sprawl in sub-Saharan Africa: A review of the literature in selected countries","title-short":"Urban Sprawl in sub-Saharan Africa","URL":"https://www.ajol.info/index.php/gjg/article/view/198012","volume":"12","author":[{"family":"Yiran","given":"Gerald Albert Baeribameng"},{"family":"Ablo","given":"Austin Dziwornu"},{"family":"Asem","given":"Freda Elikplim"},{"family":"Owusu","given":"George"}],"accessed":{"date-parts":[["2022",2,4]]},"issued":{"date-parts":[["2020",7,25]]}}}],"schema":"https://github.com/citation-style-language/schema/raw/master/csl-citation.json"}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(Amponsah et al., 2022; Marcotullio et al., 2022; Yiran et al., 2020)</w:t>
      </w:r>
      <w:r w:rsidRPr="00103457">
        <w:rPr>
          <w:rFonts w:ascii="Times New Roman" w:hAnsi="Times New Roman"/>
          <w:bCs/>
          <w:color w:val="000000"/>
        </w:rPr>
        <w:fldChar w:fldCharType="end"/>
      </w:r>
      <w:r w:rsidRPr="00103457">
        <w:rPr>
          <w:rFonts w:ascii="Times New Roman" w:hAnsi="Times New Roman"/>
          <w:bCs/>
          <w:color w:val="000000"/>
        </w:rPr>
        <w:t xml:space="preserve">. Also, sprawl makes it costly for city authorities to extend water, sewage, and power lines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{"citationID":"AADOM8A8","properties":{"formattedCitation":"(Cobbinah &amp; Aboagye, 2017; Kleemann, Inkoom, et al., 2017)","plainCitation":"(Cobbinah &amp; Aboagye, 2017; Kleemann, Inkoom, et al., 2017)","noteIndex":0},"citationItems":[{"id":72,"uris":["http://zotero.org/users/8906743/items/FL33N53L"],"itemData":{"id":72,"type":"article-journal","container-title":"Land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Nsomah"}],"accessed":{"date-parts":[["2022",2,9]]},"issued":{"date-parts":[["2017",2]]}}},{"id":544,"uris":["http://zotero.org/users/8906743/items/F8GQXCKI"],"itemData":{"id":544,"type":"article-journal","container-title":"Landscape and Urban Planning","DOI":"10.1016/j.landurbplan.2017.02.004","ISSN":"01692046","journalAbbreviation":"Landscape and Urban Planning","language":"en","page":"280-294","source":"DOI.org (Crossref)","title":"Peri-urban land use pattern and its relation to land use planning in Ghana, West Africa","URL":"https://linkinghub.elsevier.com/retrieve/pii/S0169204617300270","volume":"165","author":[{"family":"Kleemann","given":"Janina"},{"family":"Inkoom","given":"Justice Nana"},{"family":"Thiel","given":"Michael"},{"family":"Shankar","given":"Sangeetha"},{"family":"Lautenbach","given":"Sven"},{"family":"Fürst","given":"Christine"}],"accessed":{"date-parts":[["2022",2,15]]},"issued":{"date-parts":[["2017",9]]}}}],"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rPr>
        <w:t>(Cobbinah &amp; Aboagye, 2017; Kleemann, Inkoom, et al., 2017)</w:t>
      </w:r>
      <w:r w:rsidRPr="00103457">
        <w:rPr>
          <w:rFonts w:ascii="Times New Roman" w:hAnsi="Times New Roman"/>
          <w:bCs/>
          <w:color w:val="000000"/>
        </w:rPr>
        <w:fldChar w:fldCharType="end"/>
      </w:r>
      <w:r w:rsidRPr="00103457">
        <w:rPr>
          <w:rFonts w:ascii="Times New Roman" w:hAnsi="Times New Roman"/>
          <w:bCs/>
          <w:color w:val="000000"/>
        </w:rPr>
        <w:t>. However, sprawl expansion dominated in each country, increasing faster in the numerous but relatively smaller cities (</w:t>
      </w:r>
      <w:r w:rsidRPr="00103457">
        <w:rPr>
          <w:rFonts w:ascii="Times New Roman" w:hAnsi="Times New Roman"/>
          <w:bCs/>
          <w:color w:val="000000"/>
        </w:rPr>
        <w:fldChar w:fldCharType="begin"/>
      </w:r>
      <w:r w:rsidRPr="00103457">
        <w:rPr>
          <w:rFonts w:ascii="Times New Roman" w:hAnsi="Times New Roman"/>
          <w:bCs/>
          <w:color w:val="000000"/>
        </w:rPr>
        <w:instrText xml:space="preserve"> REF _Ref142649141 \h  \* MERGEFORMAT </w:instrText>
      </w:r>
      <w:r w:rsidRPr="00103457">
        <w:rPr>
          <w:rFonts w:ascii="Times New Roman" w:hAnsi="Times New Roman"/>
          <w:bCs/>
          <w:color w:val="000000"/>
        </w:rPr>
      </w:r>
      <w:r w:rsidRPr="00103457">
        <w:rPr>
          <w:rFonts w:ascii="Times New Roman" w:hAnsi="Times New Roman"/>
          <w:bCs/>
          <w:color w:val="000000"/>
        </w:rPr>
        <w:fldChar w:fldCharType="separate"/>
      </w:r>
      <w:r w:rsidR="00B129D9" w:rsidRPr="00B129D9">
        <w:rPr>
          <w:rFonts w:ascii="Times New Roman" w:hAnsi="Times New Roman"/>
          <w:bCs/>
          <w:color w:val="000000"/>
        </w:rPr>
        <w:t>Figure 5</w:t>
      </w:r>
      <w:r w:rsidRPr="00103457">
        <w:rPr>
          <w:rFonts w:ascii="Times New Roman" w:hAnsi="Times New Roman"/>
          <w:bCs/>
          <w:color w:val="000000"/>
        </w:rPr>
        <w:fldChar w:fldCharType="end"/>
      </w:r>
      <w:r w:rsidRPr="00103457">
        <w:rPr>
          <w:rFonts w:ascii="Times New Roman" w:hAnsi="Times New Roman"/>
          <w:bCs/>
          <w:color w:val="000000"/>
        </w:rPr>
        <w:t xml:space="preserve"> and </w:t>
      </w:r>
      <w:r w:rsidRPr="001A3CF6">
        <w:rPr>
          <w:rFonts w:ascii="Times New Roman" w:hAnsi="Times New Roman"/>
          <w:bCs/>
          <w:color w:val="000000"/>
        </w:rPr>
        <w:fldChar w:fldCharType="begin"/>
      </w:r>
      <w:r w:rsidRPr="001A3CF6">
        <w:rPr>
          <w:rFonts w:ascii="Times New Roman" w:hAnsi="Times New Roman"/>
          <w:bCs/>
          <w:color w:val="000000"/>
        </w:rPr>
        <w:instrText xml:space="preserve"> REF _Ref142652725 \h  \* MERGEFORMAT </w:instrText>
      </w:r>
      <w:r w:rsidRPr="001A3CF6">
        <w:rPr>
          <w:rFonts w:ascii="Times New Roman" w:hAnsi="Times New Roman"/>
          <w:bCs/>
          <w:color w:val="000000"/>
        </w:rPr>
      </w:r>
      <w:r w:rsidRPr="001A3CF6">
        <w:rPr>
          <w:rFonts w:ascii="Times New Roman" w:hAnsi="Times New Roman"/>
          <w:bCs/>
          <w:color w:val="000000"/>
        </w:rPr>
        <w:fldChar w:fldCharType="separate"/>
      </w:r>
      <w:r w:rsidR="00B129D9" w:rsidRPr="00B129D9">
        <w:rPr>
          <w:rFonts w:ascii="Times New Roman" w:hAnsi="Times New Roman"/>
          <w:bCs/>
          <w:color w:val="000000"/>
        </w:rPr>
        <w:t>Figure</w:t>
      </w:r>
      <w:r w:rsidR="00B129D9" w:rsidRPr="00B129D9">
        <w:rPr>
          <w:rFonts w:ascii="Times New Roman" w:hAnsi="Times New Roman"/>
          <w:bCs/>
          <w:iCs/>
          <w:color w:val="000000"/>
        </w:rPr>
        <w:t xml:space="preserve"> </w:t>
      </w:r>
      <w:r w:rsidR="00B129D9" w:rsidRPr="00B129D9">
        <w:rPr>
          <w:rFonts w:ascii="Times New Roman" w:hAnsi="Times New Roman"/>
          <w:bCs/>
          <w:iCs/>
          <w:noProof/>
          <w:color w:val="000000"/>
        </w:rPr>
        <w:t>6</w:t>
      </w:r>
      <w:r w:rsidRPr="001A3CF6">
        <w:rPr>
          <w:rFonts w:ascii="Times New Roman" w:hAnsi="Times New Roman"/>
          <w:bCs/>
          <w:color w:val="000000"/>
        </w:rPr>
        <w:fldChar w:fldCharType="end"/>
      </w:r>
      <w:r w:rsidRPr="001A3CF6">
        <w:rPr>
          <w:rFonts w:ascii="Times New Roman" w:hAnsi="Times New Roman"/>
          <w:bCs/>
          <w:color w:val="000000"/>
        </w:rPr>
        <w:t>)</w:t>
      </w:r>
      <w:r w:rsidRPr="00103457">
        <w:rPr>
          <w:rFonts w:ascii="Times New Roman" w:hAnsi="Times New Roman"/>
          <w:bCs/>
          <w:color w:val="000000"/>
        </w:rPr>
        <w:t xml:space="preserve">. Sprawl in the more numerous and geographically dispersed small cities is likely more challenging to manage and regulate than in the fewer large cities and has a much broader geographic footprint that can affect a diversity of sensitive ecosystems and croplands. </w:t>
      </w:r>
    </w:p>
    <w:p w14:paraId="65C08B45" w14:textId="77777777"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 xml:space="preserve">The higher sprawl than infill expansion patterns suggest that planners, policymakers, and city government regulations must recognize the expansion patterns of cities and appropriately plan </w:t>
      </w:r>
      <w:r w:rsidRPr="00103457">
        <w:rPr>
          <w:rFonts w:ascii="Times New Roman" w:hAnsi="Times New Roman"/>
          <w:bCs/>
          <w:color w:val="000000"/>
        </w:rPr>
        <w:lastRenderedPageBreak/>
        <w:t xml:space="preserve">for expansion. In most fast-growing smaller cities, city authorities can take appropriate actions to better plan for increasing populations through vertical developments that efficiently use land and develop infrastructure and services in anticipation of peripheral expansion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{"citationID":"fGsjy0H7","properties":{"formattedCitation":"(Y. Chen, 2022; Shin, 2016)","plainCitation":"(Y. Chen, 2022; Shin, 2016)","dontUpdate":true,"noteIndex":0},"citationItems":[{"id":1918,"uris":["http://zotero.org/users/8906743/items/QA8E3ZY3"],"itemData":{"id":1918,"type":"article-journal","abstract":"Most contemporary urban cellular automata (CA) models primarily focus on the simulation of urban land expansion, and cannot effectively simulate vertical urban growth. This study addresses this drawback by extending a patch-based urban CA model with a component that can predict the building volumes of an urban land expansion scenario. The proposed model is evaluated through a case study in the Guangzhou-Foshan metropolitan area, China. The horizontal urban growth simulations achieve a mean ‘Figure-of-merit’ value of 0.1406 at the cell level and an agreement of 97% at the pattern level. The building volume prediction made by the methods of random forest and k-nearest-neighbor has a testing R2 of 0.90 and a mean percentage absolute error of 22%. The proposed model is applied to the urban growth projections under the shared socioeconomic pathways (SSPs). The results successfully reflect the influences that different SSPs have on vertical urban developments. These results also complement related research of urbanization projections under the SSPs, because most existing studies consider the impacts of horizontal urban growth only. As building volumes and heights are fundamental parameters to urban climate modeling, the ability of the proposed model to project future change in vertical urban developments can support the mitigation of climate change effects on human settlements.","container-title":"Computers, Environment and Urban Systems","DOI":"10.1016/j.compenvurbsys.2021.101727","ISSN":"0198-9715","journalAbbreviation":"Computers, Environment and Urban Systems","page":"101727","source":"ScienceDirect","title":"An extended patch-based cellular automaton to simulate horizontal and vertical urban growth under the shared socioeconomic pathways","URL":"https://www.sciencedirect.com/science/article/pii/S0198971521001344","volume":"91","author":[{"family":"Chen","given":"Yimin"}],"accessed":{"date-parts":[["2024",2,4]]},"issued":{"date-parts":[["2022",1,1]]}}},{"id":349,"uris":["http://zotero.org/users/8906743/items/KX93DKUV"],"itemData":{"id":349,"type":"article-journal","abstract":"Gentrification requires properties to be available for investment through market transactions. In mainland China which has gone through transition from a planned to a market economy, it is necessary to unleash decommodified real estate properties and make them amenable to investment. This entails inhabitants? dispossession to dissociate them from claiming their rights to the properties and to their neighbourhoods. This paper argues that while China?s urban accumulation may have produced new-build gentrification, redevelopment projects have been targeting dilapidated urban spaces that are yet to be fully converted into commodities. This means that dispossession is a precursor to gentrification. Dispossession occurs through both coercion and co-optation, and reflects the path-dependency of China?s socialist legacy. The findings contribute to the debates on contextualising the workings of gentrification in the global South, and highlight the importance of identifying multiple urban processes at work to produce gentrification and speculative urban accumulation.","container-title":"Urban Studies","DOI":"10.1177/0042098015597111","ISSN":"0042-0980","issue":"3","journalAbbreviation":"Urban Studies","note":"publisher: SAGE Publications Ltd","page":"471-489","source":"SAGE Journals","title":"Economic transition and speculative urbanisation in China: Gentrification versus dispossession","title-short":"Economic transition and speculative urbanisation in China","URL":"https://doi.org/10.1177/0042098015597111","volume":"53","author":[{"family":"Shin","given":"Hyun Bang"}],"accessed":{"date-parts":[["2022",8,23]]},"issued":{"date-parts":[["2016",2,1]]}}}],"schema":"https://github.com/citation-style-language/schema/raw/master/csl-citation.json"}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(Chen, 2022; Shin, 2016)</w:t>
      </w:r>
      <w:r w:rsidRPr="00103457">
        <w:rPr>
          <w:rFonts w:ascii="Times New Roman" w:hAnsi="Times New Roman"/>
          <w:bCs/>
          <w:color w:val="000000"/>
        </w:rPr>
        <w:fldChar w:fldCharType="end"/>
      </w:r>
      <w:r w:rsidRPr="00103457">
        <w:rPr>
          <w:rFonts w:ascii="Times New Roman" w:hAnsi="Times New Roman"/>
          <w:bCs/>
          <w:color w:val="000000"/>
        </w:rPr>
        <w:t xml:space="preserve">. Also, the secondary cities are in the early stage of expansion, with mostly sprawl expansion; therefore, proactive initiatives that strictly preserve prime lands, encourage mixed land uses, and enforce planning regulations in fast-expanding cities, together with a well-functioning land market and tenure security can minimize the likely negatives of urban expansion, especially among vulnerable populations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{"citationID":"klm1jTx3","properties":{"formattedCitation":"(Amponsah et al., 2022; Boone et al., 2014; Woo &amp; Guldmann, 2011)","plainCitation":"(Amponsah et al., 2022; Boone et al., 2014; Woo &amp; Guldmann, 2011)","noteIndex":0},"citationItems":[{"id":548,"uris":["http://zotero.org/users/8906743/items/6RIPBQBN"],"itemData":{"id":548,"type":"article-journal","abstract":"Cities in Sub-Saharan Africa (SSA) have so far failed to sustainably address urban sprawl and its ramifications. Meanwhile, the projected increase in the urban population in the cities in SSA is expected to exacerbate the situation, making the search for sustainable solutions an urgent one. In this review, we contribute to the search for sustainable urban sprawl containment strategies through the lens of policy transfer theory. Using Ghanaian cities as examples, we argue that ‘successful sprawl containment strategies’ implemented in developed countries in the Global North can be adapted to help address sprawl in cities in SSA. In particular, the review found that strategies that promote city densification and direct the physical growth of cities are suitable for urban sprawl containment in highly urbanised cities in Ghana. Strategies that preserve farmlands and green spaces are rec­ ommended for municipalities and districts that are predominantly rural but urbanising rapidly. While we have limited the discussion to cities in Ghana, the similarities regarding land tenure practices and urbanisation dy­ namics (including the drivers for urban sprawl) across cities in SSA make the findings applicable to many other cities within the sub-region. However, the success of the sprawl containment strategies is tied to the ability of city authorities to address the land tenure conflicts, strengthen planning institutions, and collaborate in the efforts to contain urban sprawl. Recommendations for addressing these intractable urban planning challenges are provided in the discussion.","container-title":"Land Use Policy","DOI":"10.1016/j.landusepol.2022.105979","ISSN":"02648377","journalAbbreviation":"Land Use Policy","language":"en","page":"105979","source":"DOI.org (Crossref)","title":"Global urban sprawl containment strategies and their implications for rapidly urbanising cities in Ghana","URL":"https://linkinghub.elsevier.com/retrieve/pii/S0264837722000060","volume":"114","author":[{"family":"Amponsah","given":"Owusu"},{"family":"Blija","given":"Daniel Kwame"},{"family":"Ayambire","given":"Raphael Anammasiya"},{"family":"Takyi","given":"Stephen Appiah"},{"family":"Mensah","given":"Henry"},{"family":"Braimah","given":"Imoro"}],"accessed":{"date-parts":[["2022",2,15]]},"issued":{"date-parts":[["2022",3]]}}},{"id":75,"uris":["http://zotero.org/users/8906743/items/AYP7I4RN",["http://zotero.org/users/8906743/items/AYP7I4RN"]],"itemData":{"id":75,"type":"chapter","abstract":"Current systems to classify land are insufﬁcient, as is the delineation of Earth’s surface into discrete categories of land covers and uses, because they ignore the multiple functions that land provides and the movement of people, materials, information, and energy they facilitate. To address sustainability challenges related to urban lifestyles, livelihoods, connectivity, and places, new conceptualizations are needed which have the potential to acknowledge and redeﬁne the extent, intensity, and quality of urbanness on Earth. This chapter proposes a framework which focuses on people and institutions as agents of change and examines changes in urban lifestyles and livelihoods over larger regions, regardless of whether an area is delineated as “urban” or “rural.” It views urbanization and the urban era to be an integrated system and provides a multivariable approach to urbanity. It discusses a new land ethic and highlights challenges that exist to facilitate a sustainability transition.","container-title":"Rethinking Global Land Use in an Urban Era","ISBN":"978-0-262-02690-1","language":"en","note":"DOI: 10.7551/mitpress/9780262026901.003.0016","page":"313-330","publisher":"The MIT Press","source":"DOI.org (Crossref)","title":"Reconceptualizing Land for Sustainable Urbanity","URL":"http://mitpress.universitypressscholarship.com/view/10.7551/mitpress/9780262026901.001.0001/upso-9780262026901-chapter-16","editor":[{"family":"Seto","given":"Karen C."},{"family":"Reenberg","given":"Anette"}],"author":[{"family":"Boone","given":"Christopher G."},{"family":"Redman","given":"Charles L."},{"family":"Blanco","given":"Hilda"},{"family":"Haase","given":"Dagmar"},{"family":"Koch","given":"Jennifer"},{"family":"Lwasa","given":"Shuaib"},{"family":"Nagendra","given":"Harini"},{"family":"Pauleit","given":"Stephan"},{"family":"Pickett","given":"Steward T. A."},{"family":"Seto","given":"Karen C."},{"family":"Yokohari","given":"Makoto"}],"accessed":{"date-parts":[["2022",2,27]]},"issued":{"date-parts":[["2014",3,31]]}}},{"id":695,"uris":["http://zotero.org/users/8906743/items/E99VMRL6"],"itemData":{"id":695,"type":"article-journal","abstract":"This paper examines the impacts of different types of urban containment policies (UCPs) on the spatial structure of US metropolitan areas, with a particular focus on UCP tightness. These UCPs include state-mandated urban growth boundaries (UGBs), locally adopted urban growth boundaries and urban service areas (USAs). Population and employment density gradients, taken as concentration measures, are estimated for 135 metropolitan areas and are then used in a simultaneous equation model to assess the impacts of different UCPs on metropolitan spatial structure. The results suggest that state-mandated 'strong' UGBs more effectively promote growth within the boundaries than locally adopted UGBs or USAs.","container-title":"Urban Studies","ISSN":"0042-0980","issue":"16","note":"publisher: Temporary Publisher","page":"3511-3536","source":"JSTOR","title":"Impacts of Urban Containment Policies on the Spatial Structure of US Metropolitan Areas","URL":"https://www.jstor.org/stable/43082055","volume":"48","author":[{"family":"Woo","given":"Myungje"},{"family":"Guldmann","given":"Jean-Michel"}],"accessed":{"date-parts":[["2023",9,15]]},"issued":{"date-parts":[["2011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(Amponsah et al., 2022; Boone et al., 2014; Woo &amp; Guldmann, 2011)</w:t>
      </w:r>
      <w:r w:rsidRPr="00103457">
        <w:rPr>
          <w:rFonts w:ascii="Times New Roman" w:hAnsi="Times New Roman"/>
          <w:bCs/>
          <w:color w:val="000000"/>
        </w:rPr>
        <w:fldChar w:fldCharType="end"/>
      </w:r>
      <w:r w:rsidRPr="00103457">
        <w:rPr>
          <w:rFonts w:ascii="Times New Roman" w:hAnsi="Times New Roman"/>
          <w:bCs/>
          <w:color w:val="000000"/>
        </w:rPr>
        <w:t xml:space="preserve">. </w:t>
      </w:r>
    </w:p>
    <w:p w14:paraId="26ABBE5E" w14:textId="75F6DE6F" w:rsidR="00103457" w:rsidRDefault="00103457" w:rsidP="00103457">
      <w:pPr>
        <w:ind w:firstLine="360"/>
        <w:rPr>
          <w:rFonts w:ascii="Times New Roman" w:hAnsi="Times New Roman"/>
          <w:bCs/>
          <w:color w:val="000000"/>
        </w:rPr>
      </w:pPr>
      <w:r w:rsidRPr="00103457">
        <w:rPr>
          <w:rFonts w:ascii="Times New Roman" w:hAnsi="Times New Roman"/>
          <w:bCs/>
          <w:color w:val="000000"/>
        </w:rPr>
        <w:t>Also, our findings imply that urban expansion in large cities may spill over to neighboring smaller cities, especially in Nigeria, where the gravity index had a statistically significant positive association with growth rates in secondary cities (</w:t>
      </w:r>
      <w:r w:rsidRPr="00103457">
        <w:rPr>
          <w:rFonts w:ascii="Times New Roman" w:hAnsi="Times New Roman"/>
          <w:bCs/>
          <w:color w:val="000000"/>
        </w:rPr>
        <w:fldChar w:fldCharType="begin"/>
      </w:r>
      <w:r w:rsidRPr="00103457">
        <w:rPr>
          <w:rFonts w:ascii="Times New Roman" w:hAnsi="Times New Roman"/>
          <w:bCs/>
          <w:color w:val="000000"/>
        </w:rPr>
        <w:instrText xml:space="preserve"> REF _Ref144839028 \h  \* MERGEFORMAT </w:instrText>
      </w:r>
      <w:r w:rsidRPr="00103457">
        <w:rPr>
          <w:rFonts w:ascii="Times New Roman" w:hAnsi="Times New Roman"/>
          <w:bCs/>
          <w:color w:val="000000"/>
        </w:rPr>
      </w:r>
      <w:r w:rsidRPr="00103457">
        <w:rPr>
          <w:rFonts w:ascii="Times New Roman" w:hAnsi="Times New Roman"/>
          <w:bCs/>
          <w:color w:val="000000"/>
        </w:rPr>
        <w:fldChar w:fldCharType="separate"/>
      </w:r>
      <w:r w:rsidR="00B129D9" w:rsidRPr="00B129D9">
        <w:rPr>
          <w:rFonts w:ascii="Times New Roman" w:hAnsi="Times New Roman"/>
          <w:bCs/>
          <w:color w:val="000000"/>
        </w:rPr>
        <w:t>Table 4</w:t>
      </w:r>
      <w:r w:rsidRPr="00103457">
        <w:rPr>
          <w:rFonts w:ascii="Times New Roman" w:hAnsi="Times New Roman"/>
          <w:bCs/>
          <w:color w:val="000000"/>
        </w:rPr>
        <w:fldChar w:fldCharType="end"/>
      </w:r>
      <w:r w:rsidRPr="00103457">
        <w:rPr>
          <w:rFonts w:ascii="Times New Roman" w:hAnsi="Times New Roman"/>
          <w:bCs/>
          <w:color w:val="000000"/>
        </w:rPr>
        <w:t xml:space="preserve">). Urban expansion impacts may extend beyond city boundaries, and although national and regional planning frameworks exist, planning efforts are mostly implemented and enforced at the city level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{"citationID":"fmuTem0l","properties":{"formattedCitation":"(S. Chen &amp; Liu, 2023; Zhou et al., 2022)","plainCitation":"(S. Chen &amp; Liu, 2023; Zhou et al., 2022)","dontUpdate":true,"noteIndex":0},"citationItems":[{"id":1927,"uris":["http://zotero.org/users/8906743/items/SBZA4I76"],"itemData":{"id":1927,"type":"article-journal","abstract":"With the rapid development of urbanization, natural habitats in many parts of the world have been seriously damaged by urban expansion. However, urban expansion is a complex process, and the impacts of different levels of urban expansion on habitats at regional scales and their distance thresholds are still unclear. We conducted a study in Hubei Province, China to evaluate the impacts of the expansion of prefecture-level cities and county towns on the quantity, area, and quality of natural habitats and the critical threshold distances affecting habitats. The results show that, at a regional scale, habitat degradation was driven primarily by the expansion of large numbers of county towns, but the expansion of prefecture-level cities affected habitat degradation over greater distances. Specifically, the impact of county town expansion on habitat first increased and then decreased with greater distance from built-up areas, the threshold distances for habitat quantity and quality being approximately 8 km and 80 km, respectively. The impact of expanding prefecture-level cities on habitat showed a similar nonlinear change with greater distance, but the distance thresholds for habitat quantity and quality rose to approximately 40 km and 130 km, respectively. These findings not only reverse the conventional view that the expansion of large cities dominates habitat degradation, but also draws more attention to the influence of the expansion of numerous small county and towns on habitat, when measured at the regional scale. Understanding the distance threshold of particular spatial impacts can be help to inform spatial decision-making with regards to habitat conservation.","container-title":"Environmental Research Letters","DOI":"10.1088/1748-9326/acbfd2","ISSN":"1748-9326","issue":"4","journalAbbreviation":"Environ. Res. Lett.","language":"en","note":"publisher: IOP Publishing","page":"044001","source":"Institute of Physics","title":"Impacts of different levels of urban expansion on habitats at the regional scale and their critical distance thresholds","URL":"https://dx.doi.org/10.1088/1748-9326/acbfd2","volume":"18","author":[{"family":"Chen","given":"Shuaipeng"},{"family":"Liu","given":"Wenping"}],"accessed":{"date-parts":[["2024",2,5]]},"issued":{"date-parts":[["2023",3]]}}},{"id":1924,"uris":["http://zotero.org/users/8906743/items/PMGC2NDP"],"itemData":{"id":1924,"type":"article-journal","abstract":"Environmental degradation caused by rapid urbanization is a pressing global issue. However, little is known about how urban changes operate and affect environments across multiple scales. Focusing on China, we found urbanization was indeed massive from 2000 to 2015, but it was also very uneven, exhibiting high internal city dynamics. Urban areas in China as a whole became less green, warmer, and had exacerbated PM2.5 pollution. However, environmental impacts differed in newly developed versus older areas of cities. Adverse impacts were prominent in newly urbanized areas, while old urban areas generally showed improved environmental quality. In addition, regional environmental issues are emerging as cities expand, connect and interact to form urban megaregions. To turn urbanization into an opportunity for, rather than an obstacle to, sustainable development, we must move beyond documenting urban expansion to understand the environmental consequences of both internal city dynamics and the formation of urban megaregions.","container-title":"National Science Review","DOI":"10.1093/nsr/nwab107","ISSN":"2095-5138","issue":"1","journalAbbreviation":"National Science Review","source":"Silverchair","title":"Beyond city expansion: multi-scale environmental impacts of urban megaregion formation in China","title-short":"Beyond city expansion","URL":"https://doi.org/10.1093/nsr/nwab107","volume":"9","author":[{"family":"Zhou","given":"Weiqi"},{"family":"Yu","given":"Wenjuan"},{"family":"Qian","given":"Yuguo"},{"family":"Han","given":"Lijian"},{"family":"Pickett","given":"Steward T A"},{"family":"Wang","given":"Jing"},{"family":"Li","given":"Weifeng"},{"family":"Ouyang","given":"Zhiyun"}],"accessed":{"date-parts":[["2024",2,5]]},"issued":{"date-parts":[["2022",1,1]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(Chen &amp; Liu, 2023; Zhou et al., 2022)</w:t>
      </w:r>
      <w:r w:rsidRPr="00103457">
        <w:rPr>
          <w:rFonts w:ascii="Times New Roman" w:hAnsi="Times New Roman"/>
          <w:bCs/>
          <w:color w:val="000000"/>
        </w:rPr>
        <w:fldChar w:fldCharType="end"/>
      </w:r>
      <w:r w:rsidRPr="00103457">
        <w:rPr>
          <w:rFonts w:ascii="Times New Roman" w:hAnsi="Times New Roman"/>
          <w:bCs/>
          <w:color w:val="000000"/>
        </w:rPr>
        <w:t>. Thus, comprehensive multi-city planning and monitoring efforts can potentially help city authorities take common actions to address the negative externalities while optimizing the positive externalities. This can help city governments in the region create more resilient, environmentally conscious, and livable societies.</w:t>
      </w:r>
    </w:p>
    <w:p w14:paraId="71C77708" w14:textId="77777777" w:rsidR="0053102C" w:rsidRPr="00103457" w:rsidRDefault="0053102C" w:rsidP="0053102C">
      <w:pPr>
        <w:spacing w:line="240" w:lineRule="auto"/>
        <w:ind w:firstLine="360"/>
        <w:rPr>
          <w:rFonts w:ascii="Times New Roman" w:hAnsi="Times New Roman"/>
          <w:bCs/>
          <w:color w:val="000000"/>
        </w:rPr>
      </w:pPr>
    </w:p>
    <w:p w14:paraId="5CADC6ED" w14:textId="77777777" w:rsidR="006F7C17" w:rsidRPr="00103457" w:rsidRDefault="006F7C17" w:rsidP="00277F12">
      <w:pPr>
        <w:pStyle w:val="Heading3"/>
        <w:rPr>
          <w:rFonts w:ascii="Times" w:hAnsi="Times"/>
        </w:rPr>
      </w:pPr>
      <w:bookmarkStart w:id="75" w:name="_Toc172288724"/>
      <w:r w:rsidRPr="00103457">
        <w:t>Study limitations and prospects for future research</w:t>
      </w:r>
      <w:bookmarkEnd w:id="75"/>
    </w:p>
    <w:p w14:paraId="11B56245" w14:textId="64E03204"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 xml:space="preserve">Specific limitations of our study include data gaps resulting from Landsat 7 scan line errors, clouds, and cloud shadows. However, we ensured that our land cover mapping was consistent over time by applying temporal segmentation with the LandTrendr. Also, it is possible that allowing only positive changes in our classification omitted areas of declining development, </w:t>
      </w:r>
      <w:r w:rsidRPr="00103457">
        <w:rPr>
          <w:rFonts w:ascii="Times New Roman" w:hAnsi="Times New Roman"/>
          <w:bCs/>
          <w:color w:val="000000"/>
        </w:rPr>
        <w:lastRenderedPageBreak/>
        <w:t>especially in submerging coastal cities and cities affected by terrorism, especially in the Northern part of Nigeria. Given that our study captured only horizontal expansion, it may not accurately capture urban expansion in large and medium cities where vertical expansion occurs. Also, cities are dynamic and continuously expanding. Additionally, our study focused on two variables, including developed area and gravity index, to understand their relationships with expansion rate. However, urban expansion is more complex in the region, and the low multiple and partial R-squared values emphasize that many additional city-level factors also contribute to urban expansion rates in the region</w:t>
      </w:r>
      <w:r w:rsidR="00A15106">
        <w:rPr>
          <w:rFonts w:ascii="Times New Roman" w:hAnsi="Times New Roman"/>
          <w:bCs/>
          <w:color w:val="000000"/>
        </w:rPr>
        <w:t>.</w:t>
      </w:r>
    </w:p>
    <w:p w14:paraId="7687A151" w14:textId="77777777" w:rsidR="00103457" w:rsidRPr="00103457" w:rsidRDefault="00103457" w:rsidP="00103457">
      <w:pPr>
        <w:ind w:firstLine="360"/>
        <w:rPr>
          <w:rFonts w:ascii="Times New Roman" w:hAnsi="Times New Roman"/>
          <w:bCs/>
          <w:color w:val="000000"/>
        </w:rPr>
      </w:pPr>
      <w:r w:rsidRPr="00103457">
        <w:rPr>
          <w:rFonts w:ascii="Times New Roman" w:hAnsi="Times New Roman"/>
          <w:bCs/>
          <w:color w:val="000000"/>
        </w:rPr>
        <w:t xml:space="preserve">In future research, extending these data to capture additional areas and to include vertical infill expansion can improve urban expansion monitoring more broadly across Africa. Further research is also needed to analyze the factors that drive city-level variation in urban expansion, but this work will require developing additional regionally consistent datasets on relevant social and environmental drivers. More comparative research on the impacts of expansion, including health, economic, climate change, and environmental resources for urban systems in Africa, is also needed. Additionally, planners and policymakers need to give particular attention to the expansion of smaller secondary cities and develop urban containment policies that fit the diverse expansion patterns in the region. For example, European countries have used greenbelts and urban growth boundaries to contain expansion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{"citationID":"SaUuh8aT","properties":{"formattedCitation":"(Pourtaherian &amp; Jaeger, 2022)","plainCitation":"(Pourtaherian &amp; Jaeger, 2022)","noteIndex":0},"citationItems":[{"id":691,"uris":["http://zotero.org/users/8906743/items/WE4Q8XKF"],"itemData":{"id":691,"type":"article-journal","abstract":"As Europe takes continuous steps towards urbanization, many cities in this continent are affected by the negative repercussions caused by urban sprawl. Among the efforts adopted to overcome urban sprawl and its adverse impacts is the greenbelt policy which is highly popular in several European countries. However, the actual effectiveness of this urban growth management strategy has been disputed. Using a sample of 60 European cities, 30 of which have greenbelts, this study compares (1) changes in urban sprawl in a 9-year time period (2006–2015), and (2) the level of sprawl between the cities with and without greenbelt in 2006 and 2015 separately, to investigate the performance of the greenbelts, applying the metrics of Weighted Urban Proliferation (WUP) and Weighted Sprawl per Capita (WSPC). The results show that (1) greenbelts have been largely effective at slowing down urban sprawl; and in most cases, they have helped reduce sprawl; (2) while urban sprawl decreased also in some cities without greenbelt, the average relative decrease in sprawl was much stronger in cities with greenbelts; (3) greenbelts were somewhat more beneficial in limiting urban sprawl in cities with larger population sizes; (4) the effectiveness of greenbelts was mainly due to the reduction of land uptake per person, i.e., through densification of the built-up areas. These findings are useful to inform future de-sprawling strategies in urban and regional planning as well as the formulation of new scenarios and of targets and limits to urban sprawl in support of more sustainable forms of urban development.","container-title":"Landscape and Urban Planning","DOI":"10.1016/j.landurbplan.2022.104532","ISSN":"0169-2046","journalAbbreviation":"Landscape and Urban Planning","page":"104532","source":"ScienceDirect","title":"How effective are greenbelts at mitigating urban sprawl? A comparative study of 60 European cities","title-short":"How effective are greenbelts at mitigating urban sprawl?","URL":"https://www.sciencedirect.com/science/article/pii/S0169204622001815","volume":"227","author":[{"family":"Pourtaherian","given":"Parnian"},{"family":"Jaeger","given":"Jochen A. G."}],"accessed":{"date-parts":[["2023",9,15]]},"issued":{"date-parts":[["2022",11,1]]}}}],"schema":"https://github.com/citation-style-language/schema/raw/master/csl-citation.json"}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(Pourtaherian &amp; Jaeger, 2022)</w:t>
      </w:r>
      <w:r w:rsidRPr="00103457">
        <w:rPr>
          <w:rFonts w:ascii="Times New Roman" w:hAnsi="Times New Roman"/>
          <w:bCs/>
          <w:color w:val="000000"/>
        </w:rPr>
        <w:fldChar w:fldCharType="end"/>
      </w:r>
      <w:r w:rsidRPr="00103457">
        <w:rPr>
          <w:rFonts w:ascii="Times New Roman" w:hAnsi="Times New Roman"/>
          <w:bCs/>
          <w:color w:val="000000"/>
        </w:rPr>
        <w:t xml:space="preserve">. In North America, taxes, subsidies, and strict planning and zoning regulations have been successful in controlling expansion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{"citationID":"4eVvIZZs","properties":{"formattedCitation":"(Woo &amp; Guldmann, 2011)","plainCitation":"(Woo &amp; Guldmann, 2011)","noteIndex":0},"citationItems":[{"id":695,"uris":["http://zotero.org/users/8906743/items/E99VMRL6"],"itemData":{"id":695,"type":"article-journal","abstract":"This paper examines the impacts of different types of urban containment policies (UCPs) on the spatial structure of US metropolitan areas, with a particular focus on UCP tightness. These UCPs include state-mandated urban growth boundaries (UGBs), locally adopted urban growth boundaries and urban service areas (USAs). Population and employment density gradients, taken as concentration measures, are estimated for 135 metropolitan areas and are then used in a simultaneous equation model to assess the impacts of different UCPs on metropolitan spatial structure. The results suggest that state-mandated 'strong' UGBs more effectively promote growth within the boundaries than locally adopted UGBs or USAs.","container-title":"Urban Studies","ISSN":"0042-0980","issue":"16","note":"publisher: Temporary Publisher","page":"3511-3536","source":"JSTOR","title":"Impacts of Urban Containment Policies on the Spatial Structure of US Metropolitan Areas","URL":"https://www.jstor.org/stable/43082055","volume":"48","author":[{"family":"Woo","given":"Myungje"},{"family":"Guldmann","given":"Jean-Michel"}],"accessed":{"date-parts":[["2023",9,15]]},"issued":{"date-parts":[["2011"]]}}}],"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(Woo &amp; Guldmann, 2011)</w:t>
      </w:r>
      <w:r w:rsidRPr="00103457">
        <w:rPr>
          <w:rFonts w:ascii="Times New Roman" w:hAnsi="Times New Roman"/>
          <w:bCs/>
          <w:color w:val="000000"/>
        </w:rPr>
        <w:fldChar w:fldCharType="end"/>
      </w:r>
      <w:r w:rsidRPr="00103457">
        <w:rPr>
          <w:rFonts w:ascii="Times New Roman" w:hAnsi="Times New Roman"/>
          <w:bCs/>
          <w:color w:val="000000"/>
        </w:rPr>
        <w:t xml:space="preserve">. In Africa, most studies recommend compact expansion with high-density mixed land uses that reduce the urban footprint </w:t>
      </w:r>
      <w:r w:rsidRPr="00103457">
        <w:rPr>
          <w:rFonts w:ascii="Times New Roman" w:hAnsi="Times New Roman"/>
          <w:bCs/>
          <w:color w:val="000000"/>
        </w:rPr>
        <w:fldChar w:fldCharType="begin"/>
      </w:r>
      <w:r w:rsidRPr="00103457">
        <w:rPr>
          <w:rFonts w:ascii="Times New Roman" w:hAnsi="Times New Roman"/>
          <w:bCs/>
          <w:color w:val="000000"/>
        </w:rPr>
        <w:instrText xml:space="preserve"> ADDIN ZOTERO_ITEM CSL_CITATION {"citationID":"B1w0wwOw","properties":{"formattedCitation":"(Amponsah et al., 2022)","plainCitation":"(Amponsah et al., 2022)","noteIndex":0},"citationItems":[{"id":548,"uris":["http://zotero.org/users/8906743/items/6RIPBQBN"],"itemData":{"id":548,"type":"article-journal","abstract":"Cities in Sub-Saharan Africa (SSA) have so far failed to sustainably address urban sprawl and its ramifications. Meanwhile, the projected increase in the urban population in the cities in SSA is expected to exacerbate the situation, making the search for sustainable solutions an urgent one. In this review, we contribute to the search for sustainable urban sprawl containment strategies through the lens of policy transfer theory. Using Ghanaian cities as examples, we argue that ‘successful sprawl containment strategies’ implemented in developed countries in the Global North can be adapted to help address sprawl in cities in SSA. In particular, the review found that strategies that promote city densification and direct the physical growth of cities are suitable for urban sprawl containment in highly urbanised cities in Ghana. Strategies that preserve farmlands and green spaces are rec­ ommended for municipalities and districts that are predominantly rural but urbanising rapidly. While we have limited the discussion to cities in Ghana, the similarities regarding land tenure practices and urbanisation dy­ namics (including the drivers for urban sprawl) across cities in SSA make the findings applicable to many other cities within the sub-region. However, the success of the sprawl containment strategies is tied to the ability of city authorities to address the land tenure conflicts, strengthen planning institutions, and collaborate in the efforts to contain urban sprawl. Recommendations for addressing these intractable urban planning challenges are provided in the discussion.","container-title":"Land Use Policy","DOI":"10.1016/j.landusepol.2022.105979","ISSN":"02648377","journalAbbreviation":"Land Use Policy","language":"en","page":"105979","source":"DOI.org (Crossref)","title":"Global urban sprawl containment strategies and their implications for rapidly urbanising cities in Ghana","URL":"https://linkinghub.elsevier.com/retrieve/pii/S0264837722000060","volume":"114","author":[{"family":"Amponsah","given":"Owusu"},{"family":"Blija","given":"Daniel Kwame"},{"family":"Ayambire","given":"Raphael Anammasiya"},{"family":"Takyi","given":"Stephen Appiah"},{"family":"Mensah","given":"Henry"},{"family":"Braimah","given":"Imoro"}],"accessed":{"date-parts":[["2022",2,15]]},"issued":{"date-parts":[["2022",3]]}}}],"schema":"https://github.com/citation-style-language/schema/raw/master/csl-citation.json"} </w:instrText>
      </w:r>
      <w:r w:rsidRPr="00103457">
        <w:rPr>
          <w:rFonts w:ascii="Times New Roman" w:hAnsi="Times New Roman"/>
          <w:bCs/>
          <w:color w:val="000000"/>
        </w:rPr>
        <w:fldChar w:fldCharType="separate"/>
      </w:r>
      <w:r w:rsidRPr="00103457">
        <w:rPr>
          <w:rFonts w:ascii="Times New Roman" w:hAnsi="Times New Roman"/>
          <w:color w:val="000000"/>
        </w:rPr>
        <w:t>(Amponsah et al., 2022)</w:t>
      </w:r>
      <w:r w:rsidRPr="00103457">
        <w:rPr>
          <w:rFonts w:ascii="Times New Roman" w:hAnsi="Times New Roman"/>
          <w:bCs/>
          <w:color w:val="000000"/>
        </w:rPr>
        <w:fldChar w:fldCharType="end"/>
      </w:r>
      <w:r w:rsidRPr="00103457">
        <w:rPr>
          <w:rFonts w:ascii="Times New Roman" w:hAnsi="Times New Roman"/>
          <w:bCs/>
          <w:color w:val="000000"/>
        </w:rPr>
        <w:t xml:space="preserve">. However, more studies are needed to evaluate the effectiveness of urban expansion containment policies for African cities with varying sizes. These efforts can better support city, national, and </w:t>
      </w:r>
      <w:r w:rsidRPr="00103457">
        <w:rPr>
          <w:rFonts w:ascii="Times New Roman" w:hAnsi="Times New Roman"/>
          <w:bCs/>
          <w:color w:val="000000"/>
        </w:rPr>
        <w:lastRenderedPageBreak/>
        <w:t>United Nations-Habitat urban initiatives, including the Sustainable Development Goals 2030, New Urban Agenda 2030, and African Urban Agenda 2063 planning efforts in Africa.</w:t>
      </w:r>
    </w:p>
    <w:p w14:paraId="4C449FBB" w14:textId="77777777" w:rsidR="00103457" w:rsidRPr="00103457" w:rsidRDefault="00103457" w:rsidP="00103457">
      <w:pPr>
        <w:ind w:firstLine="360"/>
        <w:rPr>
          <w:rFonts w:ascii="Times New Roman" w:hAnsi="Times New Roman"/>
          <w:bCs/>
          <w:color w:val="000000"/>
        </w:rPr>
      </w:pPr>
    </w:p>
    <w:p w14:paraId="7FB093C9" w14:textId="77777777" w:rsidR="006F7C17" w:rsidRPr="00103457" w:rsidRDefault="006F7C17" w:rsidP="00062AE8">
      <w:pPr>
        <w:pStyle w:val="Heading2"/>
      </w:pPr>
      <w:bookmarkStart w:id="76" w:name="_Toc172288725"/>
      <w:r w:rsidRPr="00103457">
        <w:t>Conclusion</w:t>
      </w:r>
      <w:bookmarkEnd w:id="76"/>
    </w:p>
    <w:p w14:paraId="34227178" w14:textId="77777777" w:rsidR="00103457" w:rsidRDefault="00103457" w:rsidP="00103457">
      <w:pPr>
        <w:ind w:firstLine="360"/>
        <w:rPr>
          <w:rFonts w:ascii="Times New Roman" w:hAnsi="Times New Roman"/>
          <w:color w:val="000000"/>
          <w:kern w:val="2"/>
        </w:rPr>
      </w:pPr>
      <w:r w:rsidRPr="00103457">
        <w:rPr>
          <w:rFonts w:ascii="Times New Roman" w:hAnsi="Times New Roman"/>
          <w:bCs/>
          <w:color w:val="000000"/>
        </w:rPr>
        <w:t xml:space="preserve">In this study, we used a novel impervious cover dataset to map and quantify the expansion dynamics of 1603 cities across Ghana, Togo, Benin, and Nigeria in West Africa. We found very high annual urban expansion rates (4.6%) across the region, including 4.2% in Benin, 4.5% in Ghana, 4.7% in Nigeria, and 3.9% in Togo, consistent with rates in Asian countries. These expansion rates are concerning due to inefficient planning interventions and limited resources to manage expansion in the four countries. Most expansion was sprawl, which occurred faster in small than medium and large cities in all countries and showed an increasing trend of sprawl except for large and medium cities in Nigeria and large cities in Togo. The smaller cities are more numerous and geographically dispersed, and their expansion is likely to have greater impacts than the fewer large cities where expansion rates have declined over the past two decades. The positive relationship between the proximity to large cities and urban expansion rates in Nigeria agrees with previous studies, but was in contrast with negative relationships in Togo and Benin, likely reflecting different urban development plans, historical planning structures, and national security threats. There is a need to rethink research, planning, and policy interventions directed toward large cities since more expansion is occurring in medium and small cities. These smaller cities are more vulnerable to the negative impacts of expansion due to limited infrastructure and other basic services. Also, more than two-thirds of future urban populations are projected to live in cities below 1 million in the next 25 years. Our study provides new insights about hotspots of expansion that can inform sustainable planning efforts in </w:t>
      </w:r>
      <w:r w:rsidRPr="00103457">
        <w:rPr>
          <w:rFonts w:ascii="Times New Roman" w:hAnsi="Times New Roman"/>
          <w:bCs/>
          <w:color w:val="000000"/>
        </w:rPr>
        <w:lastRenderedPageBreak/>
        <w:t>the region. We suggest that broader and consistent regional urban cover data for the continent can help practitioners and modelers evaluate the current and future impacts of different-sized cities' expansion on populations and the environment across multiple countries and subregions.</w:t>
      </w:r>
      <w:r w:rsidRPr="00103457">
        <w:rPr>
          <w:rFonts w:ascii="Times New Roman" w:hAnsi="Times New Roman"/>
          <w:color w:val="000000"/>
          <w:kern w:val="2"/>
        </w:rPr>
        <w:t xml:space="preserve"> Future studies need to further explore how local drivers, including multi-city planning and development policies, influence the expansion patterns and assess the impacts of the changing West Africa urban system.</w:t>
      </w:r>
    </w:p>
    <w:p w14:paraId="4A9FB42A" w14:textId="77777777" w:rsidR="006F4280" w:rsidRDefault="006F4280" w:rsidP="00103457">
      <w:pPr>
        <w:ind w:firstLine="360"/>
        <w:rPr>
          <w:rFonts w:ascii="Times New Roman" w:hAnsi="Times New Roman"/>
          <w:color w:val="000000"/>
          <w:kern w:val="2"/>
        </w:rPr>
      </w:pPr>
    </w:p>
    <w:p w14:paraId="12F0DF96" w14:textId="77777777" w:rsidR="006F4280" w:rsidRDefault="006F4280" w:rsidP="00103457">
      <w:pPr>
        <w:ind w:firstLine="360"/>
        <w:rPr>
          <w:rFonts w:ascii="Times New Roman" w:hAnsi="Times New Roman"/>
          <w:color w:val="000000"/>
          <w:kern w:val="2"/>
        </w:rPr>
      </w:pPr>
    </w:p>
    <w:p w14:paraId="3C363CCF" w14:textId="77777777" w:rsidR="000951F5" w:rsidRDefault="000951F5" w:rsidP="00103457">
      <w:pPr>
        <w:ind w:firstLine="360"/>
        <w:rPr>
          <w:rFonts w:ascii="Times New Roman" w:hAnsi="Times New Roman"/>
          <w:color w:val="000000"/>
          <w:kern w:val="2"/>
        </w:rPr>
      </w:pPr>
    </w:p>
    <w:p w14:paraId="02D54497" w14:textId="77777777" w:rsidR="001A56F4" w:rsidRDefault="001A56F4" w:rsidP="00103457">
      <w:pPr>
        <w:ind w:firstLine="360"/>
        <w:rPr>
          <w:rFonts w:ascii="Times New Roman" w:hAnsi="Times New Roman"/>
          <w:color w:val="000000"/>
          <w:kern w:val="2"/>
        </w:rPr>
      </w:pPr>
    </w:p>
    <w:p w14:paraId="1FDCAB44" w14:textId="77777777" w:rsidR="001A56F4" w:rsidRDefault="001A56F4" w:rsidP="00103457">
      <w:pPr>
        <w:ind w:firstLine="360"/>
        <w:rPr>
          <w:rFonts w:ascii="Times New Roman" w:hAnsi="Times New Roman"/>
          <w:color w:val="000000"/>
          <w:kern w:val="2"/>
        </w:rPr>
      </w:pPr>
    </w:p>
    <w:p w14:paraId="3594AEF2" w14:textId="77777777" w:rsidR="001A56F4" w:rsidRDefault="001A56F4" w:rsidP="00103457">
      <w:pPr>
        <w:ind w:firstLine="360"/>
        <w:rPr>
          <w:rFonts w:ascii="Times New Roman" w:hAnsi="Times New Roman"/>
          <w:color w:val="000000"/>
          <w:kern w:val="2"/>
        </w:rPr>
      </w:pPr>
    </w:p>
    <w:p w14:paraId="5630F80C" w14:textId="77777777" w:rsidR="001A56F4" w:rsidRDefault="001A56F4" w:rsidP="00103457">
      <w:pPr>
        <w:ind w:firstLine="360"/>
        <w:rPr>
          <w:rFonts w:ascii="Times New Roman" w:hAnsi="Times New Roman"/>
          <w:color w:val="000000"/>
          <w:kern w:val="2"/>
        </w:rPr>
      </w:pPr>
    </w:p>
    <w:p w14:paraId="12428A09" w14:textId="77777777" w:rsidR="001A56F4" w:rsidRDefault="001A56F4" w:rsidP="00103457">
      <w:pPr>
        <w:ind w:firstLine="360"/>
        <w:rPr>
          <w:rFonts w:ascii="Times New Roman" w:hAnsi="Times New Roman"/>
          <w:color w:val="000000"/>
          <w:kern w:val="2"/>
        </w:rPr>
      </w:pPr>
    </w:p>
    <w:p w14:paraId="5F331CD1" w14:textId="77777777" w:rsidR="001A56F4" w:rsidRDefault="001A56F4" w:rsidP="00103457">
      <w:pPr>
        <w:ind w:firstLine="360"/>
        <w:rPr>
          <w:rFonts w:ascii="Times New Roman" w:hAnsi="Times New Roman"/>
          <w:color w:val="000000"/>
          <w:kern w:val="2"/>
        </w:rPr>
      </w:pPr>
    </w:p>
    <w:p w14:paraId="44A93B8E" w14:textId="77777777" w:rsidR="001A56F4" w:rsidRDefault="001A56F4" w:rsidP="00103457">
      <w:pPr>
        <w:ind w:firstLine="360"/>
        <w:rPr>
          <w:rFonts w:ascii="Times New Roman" w:hAnsi="Times New Roman"/>
          <w:color w:val="000000"/>
          <w:kern w:val="2"/>
        </w:rPr>
      </w:pPr>
    </w:p>
    <w:p w14:paraId="2C0511F3" w14:textId="77777777" w:rsidR="001A56F4" w:rsidRDefault="001A56F4" w:rsidP="00103457">
      <w:pPr>
        <w:ind w:firstLine="360"/>
        <w:rPr>
          <w:rFonts w:ascii="Times New Roman" w:hAnsi="Times New Roman"/>
          <w:color w:val="000000"/>
          <w:kern w:val="2"/>
        </w:rPr>
      </w:pPr>
    </w:p>
    <w:p w14:paraId="53349C0C" w14:textId="77777777" w:rsidR="001A56F4" w:rsidRDefault="001A56F4" w:rsidP="00103457">
      <w:pPr>
        <w:ind w:firstLine="360"/>
        <w:rPr>
          <w:rFonts w:ascii="Times New Roman" w:hAnsi="Times New Roman"/>
          <w:color w:val="000000"/>
          <w:kern w:val="2"/>
        </w:rPr>
      </w:pPr>
    </w:p>
    <w:p w14:paraId="11FEBA00" w14:textId="77777777" w:rsidR="001A56F4" w:rsidRDefault="001A56F4" w:rsidP="00103457">
      <w:pPr>
        <w:ind w:firstLine="360"/>
        <w:rPr>
          <w:rFonts w:ascii="Times New Roman" w:hAnsi="Times New Roman"/>
          <w:color w:val="000000"/>
          <w:kern w:val="2"/>
        </w:rPr>
      </w:pPr>
    </w:p>
    <w:p w14:paraId="701FF114" w14:textId="77777777" w:rsidR="001A56F4" w:rsidRDefault="001A56F4" w:rsidP="00103457">
      <w:pPr>
        <w:ind w:firstLine="360"/>
        <w:rPr>
          <w:rFonts w:ascii="Times New Roman" w:hAnsi="Times New Roman"/>
          <w:color w:val="000000"/>
          <w:kern w:val="2"/>
        </w:rPr>
      </w:pPr>
    </w:p>
    <w:p w14:paraId="1BC80B18" w14:textId="77777777" w:rsidR="001A56F4" w:rsidRDefault="001A56F4" w:rsidP="00103457">
      <w:pPr>
        <w:ind w:firstLine="360"/>
        <w:rPr>
          <w:rFonts w:ascii="Times New Roman" w:hAnsi="Times New Roman"/>
          <w:color w:val="000000"/>
          <w:kern w:val="2"/>
        </w:rPr>
      </w:pPr>
    </w:p>
    <w:p w14:paraId="14616413" w14:textId="77777777" w:rsidR="001A56F4" w:rsidRDefault="001A56F4" w:rsidP="00103457">
      <w:pPr>
        <w:ind w:firstLine="360"/>
        <w:rPr>
          <w:rFonts w:ascii="Times New Roman" w:hAnsi="Times New Roman"/>
          <w:color w:val="000000"/>
          <w:kern w:val="2"/>
        </w:rPr>
      </w:pPr>
    </w:p>
    <w:p w14:paraId="34D13146" w14:textId="77777777" w:rsidR="001A56F4" w:rsidRPr="00103457" w:rsidRDefault="001A56F4" w:rsidP="00103457">
      <w:pPr>
        <w:ind w:firstLine="360"/>
        <w:rPr>
          <w:rFonts w:ascii="Times New Roman" w:hAnsi="Times New Roman"/>
          <w:bCs/>
          <w:color w:val="000000"/>
        </w:rPr>
      </w:pPr>
    </w:p>
    <w:p w14:paraId="2867CE5B" w14:textId="77777777" w:rsidR="00103457" w:rsidRPr="00466964" w:rsidRDefault="006F7C17" w:rsidP="009112A5">
      <w:pPr>
        <w:pStyle w:val="Heading1"/>
        <w:spacing w:line="240" w:lineRule="auto"/>
        <w:rPr>
          <w:lang w:val="fr-FR"/>
        </w:rPr>
      </w:pPr>
      <w:bookmarkStart w:id="77" w:name="_Toc172288726"/>
      <w:r w:rsidRPr="00466964">
        <w:rPr>
          <w:lang w:val="fr-FR"/>
        </w:rPr>
        <w:lastRenderedPageBreak/>
        <w:t>References</w:t>
      </w:r>
      <w:bookmarkEnd w:id="77"/>
    </w:p>
    <w:p w14:paraId="40B74768"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fldChar w:fldCharType="begin"/>
      </w:r>
      <w:r w:rsidRPr="00993891">
        <w:rPr>
          <w:rFonts w:ascii="Times New Roman" w:eastAsia="Calibri" w:hAnsi="Times New Roman"/>
          <w:bCs/>
          <w:color w:val="000000"/>
          <w:lang w:val="fr-FR" w:bidi="ar-SA"/>
        </w:rPr>
        <w:instrText xml:space="preserve"> ADDIN ZOTERO_BIBL {"uncited":[],"omitted":[],"custom":[]} CSL_BIBLIOGRAPHY </w:instrText>
      </w:r>
      <w:r w:rsidRPr="00993891">
        <w:rPr>
          <w:rFonts w:ascii="Times New Roman" w:eastAsia="Calibri" w:hAnsi="Times New Roman"/>
          <w:color w:val="000000"/>
          <w:lang w:bidi="ar-SA"/>
        </w:rPr>
        <w:fldChar w:fldCharType="separate"/>
      </w:r>
      <w:r w:rsidRPr="00993891">
        <w:rPr>
          <w:rFonts w:ascii="Times New Roman" w:eastAsia="Calibri" w:hAnsi="Times New Roman"/>
          <w:color w:val="000000"/>
          <w:lang w:val="fr-FR" w:bidi="ar-SA"/>
        </w:rPr>
        <w:t xml:space="preserve">Adhikari, P., &amp; de Beurs, K. M. (2017). </w:t>
      </w:r>
      <w:r w:rsidRPr="00993891">
        <w:rPr>
          <w:rFonts w:ascii="Times New Roman" w:eastAsia="Calibri" w:hAnsi="Times New Roman"/>
          <w:color w:val="000000"/>
          <w:lang w:bidi="ar-SA"/>
        </w:rPr>
        <w:t xml:space="preserve">Growth in urban extent and allometric analysis of West African cities. </w:t>
      </w:r>
      <w:r w:rsidRPr="00993891">
        <w:rPr>
          <w:rFonts w:ascii="Times New Roman" w:eastAsia="Calibri" w:hAnsi="Times New Roman"/>
          <w:i/>
          <w:iCs/>
          <w:color w:val="000000"/>
          <w:lang w:bidi="ar-SA"/>
        </w:rPr>
        <w:t>Journal of Land Use Science</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12</w:t>
      </w:r>
      <w:r w:rsidRPr="00993891">
        <w:rPr>
          <w:rFonts w:ascii="Times New Roman" w:eastAsia="Calibri" w:hAnsi="Times New Roman"/>
          <w:color w:val="000000"/>
          <w:lang w:bidi="ar-SA"/>
        </w:rPr>
        <w:t>(2–3), 105–124. https://doi.org/10.1080/1747423X.2017.1280550</w:t>
      </w:r>
    </w:p>
    <w:p w14:paraId="523B2EA2"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Akaateba, M. A., Ahmed, A., &amp; Inkoom, D. K. B. (2021). Chiefs, land professionals and hybrid planning in Tamale and Techiman, Ghana: Implications for sustainable urban development. </w:t>
      </w:r>
      <w:r w:rsidRPr="00993891">
        <w:rPr>
          <w:rFonts w:ascii="Times New Roman" w:eastAsia="Calibri" w:hAnsi="Times New Roman"/>
          <w:i/>
          <w:iCs/>
          <w:color w:val="000000"/>
          <w:lang w:bidi="ar-SA"/>
        </w:rPr>
        <w:t>International Journal of Urban Sustainable Development</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13</w:t>
      </w:r>
      <w:r w:rsidRPr="00993891">
        <w:rPr>
          <w:rFonts w:ascii="Times New Roman" w:eastAsia="Calibri" w:hAnsi="Times New Roman"/>
          <w:color w:val="000000"/>
          <w:lang w:bidi="ar-SA"/>
        </w:rPr>
        <w:t>(3), 464–480. https://doi.org/10.1080/19463138.2021.1971990</w:t>
      </w:r>
    </w:p>
    <w:p w14:paraId="4378CC20"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Akeem, O. A., Olutayo, O. O., &amp; Theophilus, A. A. (2018). Planning Regulations and Implementation Mechanisms in Postcolonial Lagos. </w:t>
      </w:r>
      <w:r w:rsidRPr="00993891">
        <w:rPr>
          <w:rFonts w:ascii="Times New Roman" w:eastAsia="Calibri" w:hAnsi="Times New Roman"/>
          <w:i/>
          <w:iCs/>
          <w:color w:val="000000"/>
          <w:lang w:bidi="ar-SA"/>
        </w:rPr>
        <w:t>Journal of Globalization Studies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9</w:t>
      </w:r>
      <w:r w:rsidRPr="00993891">
        <w:rPr>
          <w:rFonts w:ascii="Times New Roman" w:eastAsia="Calibri" w:hAnsi="Times New Roman"/>
          <w:color w:val="000000"/>
          <w:lang w:bidi="ar-SA"/>
        </w:rPr>
        <w:t>(1), 91–106. https://doi.org/10.30884/jogs/2018.01.07</w:t>
      </w:r>
    </w:p>
    <w:p w14:paraId="0C3BC836"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Amare, M., Abay, K. A., Arndt, C., &amp; Shiferaw, B. (2021). Youth Migration Decisions in Sub‐Saharan Africa: Satellite‐Based Empirical Evidence from Nigeria. </w:t>
      </w:r>
      <w:r w:rsidRPr="00993891">
        <w:rPr>
          <w:rFonts w:ascii="Times New Roman" w:eastAsia="Calibri" w:hAnsi="Times New Roman"/>
          <w:i/>
          <w:iCs/>
          <w:color w:val="000000"/>
          <w:lang w:bidi="ar-SA"/>
        </w:rPr>
        <w:t>Population and Development Review</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47</w:t>
      </w:r>
      <w:r w:rsidRPr="00993891">
        <w:rPr>
          <w:rFonts w:ascii="Times New Roman" w:eastAsia="Calibri" w:hAnsi="Times New Roman"/>
          <w:color w:val="000000"/>
          <w:lang w:bidi="ar-SA"/>
        </w:rPr>
        <w:t>(1), 151–179. https://doi.org/10.1111/padr.12383</w:t>
      </w:r>
    </w:p>
    <w:p w14:paraId="6C7C7843"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Amponsah, O., Blija, D. K., Ayambire, R. A., Takyi, S. A., Mensah, H., &amp; Braimah, I. (2022). Global urban sprawl containment strategies and their implications for rapidly urbanising cities in Ghana. </w:t>
      </w:r>
      <w:r w:rsidRPr="00993891">
        <w:rPr>
          <w:rFonts w:ascii="Times New Roman" w:eastAsia="Calibri" w:hAnsi="Times New Roman"/>
          <w:i/>
          <w:iCs/>
          <w:color w:val="000000"/>
          <w:lang w:bidi="ar-SA"/>
        </w:rPr>
        <w:t>Land Use Policy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114</w:t>
      </w:r>
      <w:r w:rsidRPr="00993891">
        <w:rPr>
          <w:rFonts w:ascii="Times New Roman" w:eastAsia="Calibri" w:hAnsi="Times New Roman"/>
          <w:color w:val="000000"/>
          <w:lang w:bidi="ar-SA"/>
        </w:rPr>
        <w:t>, 105979. https://doi.org/10.1016/j.landusepol.2022.105979</w:t>
      </w:r>
    </w:p>
    <w:p w14:paraId="7E1E8877"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Angel, S., Lamson-Hall, P., Blei, A., Shingade, S., &amp; Kumar, S. (2021). Densify and Expand: A Global Analysis of Recent Urban Growth. </w:t>
      </w:r>
      <w:r w:rsidRPr="00993891">
        <w:rPr>
          <w:rFonts w:ascii="Times New Roman" w:eastAsia="Calibri" w:hAnsi="Times New Roman"/>
          <w:i/>
          <w:iCs/>
          <w:color w:val="000000"/>
          <w:lang w:bidi="ar-SA"/>
        </w:rPr>
        <w:t>Sustainability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13</w:t>
      </w:r>
      <w:r w:rsidRPr="00993891">
        <w:rPr>
          <w:rFonts w:ascii="Times New Roman" w:eastAsia="Calibri" w:hAnsi="Times New Roman"/>
          <w:color w:val="000000"/>
          <w:lang w:bidi="ar-SA"/>
        </w:rPr>
        <w:t>(7), 3835. https://doi.org/10.3390/su13073835</w:t>
      </w:r>
    </w:p>
    <w:p w14:paraId="74662D3F"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Bah, E. M., Faye, I., &amp; Geh, Z. F. (2018). The Housing Sector in Africa: Setting the Scene. In E. M. Bah, I. Faye, &amp; Z. F. Geh, </w:t>
      </w:r>
      <w:r w:rsidRPr="00993891">
        <w:rPr>
          <w:rFonts w:ascii="Times New Roman" w:eastAsia="Calibri" w:hAnsi="Times New Roman"/>
          <w:i/>
          <w:iCs/>
          <w:color w:val="000000"/>
          <w:lang w:bidi="ar-SA"/>
        </w:rPr>
        <w:t>Housing Market Dynamics in Africa</w:t>
      </w:r>
      <w:r w:rsidRPr="00993891">
        <w:rPr>
          <w:rFonts w:ascii="Times New Roman" w:eastAsia="Calibri" w:hAnsi="Times New Roman"/>
          <w:color w:val="000000"/>
          <w:lang w:bidi="ar-SA"/>
        </w:rPr>
        <w:t xml:space="preserve"> (pp. 1–21). Palgrave Macmillan UK. https://doi.org/10.1057/978-1-137-59792-2_1</w:t>
      </w:r>
    </w:p>
    <w:p w14:paraId="0EE2B902"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Bai, X., Surveyer, A., Elmqvist, T., Gatzweiler, F. W., Güneralp, B., Parnell, S., Prieur-Richard, A.-H., Shrivastava, P., Siri, J. G., Stafford-Smith, M., Toussaint, J.-P., &amp; Webb, R. (2016). Defining and advancing a systems approach for sustainable cities. </w:t>
      </w:r>
      <w:r w:rsidRPr="00993891">
        <w:rPr>
          <w:rFonts w:ascii="Times New Roman" w:eastAsia="Calibri" w:hAnsi="Times New Roman"/>
          <w:i/>
          <w:iCs/>
          <w:color w:val="000000"/>
          <w:lang w:bidi="ar-SA"/>
        </w:rPr>
        <w:t>Current Opinion in Environmental Sustainability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23</w:t>
      </w:r>
      <w:r w:rsidRPr="00993891">
        <w:rPr>
          <w:rFonts w:ascii="Times New Roman" w:eastAsia="Calibri" w:hAnsi="Times New Roman"/>
          <w:color w:val="000000"/>
          <w:lang w:bidi="ar-SA"/>
        </w:rPr>
        <w:t>, 69–78. https://doi.org/10.1016/j.cosust.2016.11.010</w:t>
      </w:r>
    </w:p>
    <w:p w14:paraId="2AE04397"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Bhatta, B., Saraswati, S., &amp; Bandyopadhyay, D. (2010). Urban sprawl measurement from remote sensing data. </w:t>
      </w:r>
      <w:r w:rsidRPr="00993891">
        <w:rPr>
          <w:rFonts w:ascii="Times New Roman" w:eastAsia="Calibri" w:hAnsi="Times New Roman"/>
          <w:i/>
          <w:iCs/>
          <w:color w:val="000000"/>
          <w:lang w:bidi="ar-SA"/>
        </w:rPr>
        <w:t>Applied Geography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30</w:t>
      </w:r>
      <w:r w:rsidRPr="00993891">
        <w:rPr>
          <w:rFonts w:ascii="Times New Roman" w:eastAsia="Calibri" w:hAnsi="Times New Roman"/>
          <w:color w:val="000000"/>
          <w:lang w:bidi="ar-SA"/>
        </w:rPr>
        <w:t>(4), 731–740. https://doi.org/10.1016/j.apgeog.2010.02.002</w:t>
      </w:r>
    </w:p>
    <w:p w14:paraId="788DC4BB"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Bilintoh, T. M., Korah, A., Opuni, A., &amp; Akansobe, A. (2023). </w:t>
      </w:r>
      <w:r w:rsidRPr="00993891">
        <w:rPr>
          <w:rFonts w:ascii="Times New Roman" w:eastAsia="Calibri" w:hAnsi="Times New Roman"/>
          <w:i/>
          <w:iCs/>
          <w:color w:val="000000"/>
          <w:lang w:bidi="ar-SA"/>
        </w:rPr>
        <w:t>Comparing the Trajectory of Urban Impervious Surface in Two Cities: The Case of Accra and Kumasi, Ghana</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12</w:t>
      </w:r>
      <w:r w:rsidRPr="00993891">
        <w:rPr>
          <w:rFonts w:ascii="Times New Roman" w:eastAsia="Calibri" w:hAnsi="Times New Roman"/>
          <w:color w:val="000000"/>
          <w:lang w:bidi="ar-SA"/>
        </w:rPr>
        <w:t>(4, 927). https://doi.org/10.3390/land12040927</w:t>
      </w:r>
    </w:p>
    <w:p w14:paraId="71C121B5"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lastRenderedPageBreak/>
        <w:t xml:space="preserve">Biney, E., &amp; Boakye, E. (2021). Urban sprawl and its impact on land use land cover dynamics of Sekondi-Takoradi metropolitan assembly, Ghana. </w:t>
      </w:r>
      <w:r w:rsidRPr="00993891">
        <w:rPr>
          <w:rFonts w:ascii="Times New Roman" w:eastAsia="Calibri" w:hAnsi="Times New Roman"/>
          <w:i/>
          <w:iCs/>
          <w:color w:val="000000"/>
          <w:lang w:bidi="ar-SA"/>
        </w:rPr>
        <w:t>Environmental Challenges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w:t>
      </w:r>
      <w:r w:rsidRPr="00993891">
        <w:rPr>
          <w:rFonts w:ascii="Times New Roman" w:eastAsia="Calibri" w:hAnsi="Times New Roman"/>
          <w:color w:val="000000"/>
          <w:lang w:bidi="ar-SA"/>
        </w:rPr>
        <w:t>, 100168. https://doi.org/10.1016/j.envc.2021.100168</w:t>
      </w:r>
    </w:p>
    <w:p w14:paraId="19370CA0"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Boone, C. G., Redman, C. L., Blanco, H., Haase, D., Koch, J., Lwasa, S., Nagendra, H., Pauleit, S., Pickett, S. T. A., Seto, K. C., &amp; Yokohari, M. (2014). Reconceptualizing Land for Sustainable Urbanity. In K. C. Seto &amp; A. Reenberg (Eds.), </w:t>
      </w:r>
      <w:r w:rsidRPr="00993891">
        <w:rPr>
          <w:rFonts w:ascii="Times New Roman" w:eastAsia="Calibri" w:hAnsi="Times New Roman"/>
          <w:i/>
          <w:iCs/>
          <w:color w:val="000000"/>
          <w:lang w:bidi="ar-SA"/>
        </w:rPr>
        <w:t>Rethinking Global Land Use in an Urban Era</w:t>
      </w:r>
      <w:r w:rsidRPr="00993891">
        <w:rPr>
          <w:rFonts w:ascii="Times New Roman" w:eastAsia="Calibri" w:hAnsi="Times New Roman"/>
          <w:color w:val="000000"/>
          <w:lang w:bidi="ar-SA"/>
        </w:rPr>
        <w:t xml:space="preserve"> (pp. 313–330). The MIT Press. https://doi.org/10.7551/mitpress/9780262026901.003.0016</w:t>
      </w:r>
    </w:p>
    <w:p w14:paraId="6FEC10F1"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Bouzekri, S., Lasbet, A. A., &amp; Lachehab, A. (2015). A New Spectral Index for Extraction of Built-Up Area Using Landsat-8 Data. </w:t>
      </w:r>
      <w:r w:rsidRPr="00993891">
        <w:rPr>
          <w:rFonts w:ascii="Times New Roman" w:eastAsia="Calibri" w:hAnsi="Times New Roman"/>
          <w:i/>
          <w:iCs/>
          <w:color w:val="000000"/>
          <w:lang w:bidi="ar-SA"/>
        </w:rPr>
        <w:t>Journal of the Indian Society of Remote Sensing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43</w:t>
      </w:r>
      <w:r w:rsidRPr="00993891">
        <w:rPr>
          <w:rFonts w:ascii="Times New Roman" w:eastAsia="Calibri" w:hAnsi="Times New Roman"/>
          <w:color w:val="000000"/>
          <w:lang w:bidi="ar-SA"/>
        </w:rPr>
        <w:t>(4), 867–873. https://doi.org/10.1007/s12524-015-0460-6</w:t>
      </w:r>
    </w:p>
    <w:p w14:paraId="4E52DDF1"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Brown de Colstoun, E. C., Huang, C., Wang, P., Tilton, J. C., Tan, B., Phillips, J., Niemczura, S., Ling, P.-Y., &amp; Wolfe, R. E. (2017). </w:t>
      </w:r>
      <w:r w:rsidRPr="00993891">
        <w:rPr>
          <w:rFonts w:ascii="Times New Roman" w:eastAsia="Calibri" w:hAnsi="Times New Roman"/>
          <w:i/>
          <w:iCs/>
          <w:color w:val="000000"/>
          <w:lang w:bidi="ar-SA"/>
        </w:rPr>
        <w:t>Global Man-made Impervious Surface (GMIS) Dataset From Landsat</w:t>
      </w:r>
      <w:r w:rsidRPr="00993891">
        <w:rPr>
          <w:rFonts w:ascii="Times New Roman" w:eastAsia="Calibri" w:hAnsi="Times New Roman"/>
          <w:color w:val="000000"/>
          <w:lang w:bidi="ar-SA"/>
        </w:rPr>
        <w:t>. NASA Socioeconomic Data and Applications Center (SEDAC). https://doi.org/10.7927/H4P55KKF</w:t>
      </w:r>
    </w:p>
    <w:p w14:paraId="5C195212"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Carmody, P., &amp; Owusu, F. (2016). </w:t>
      </w:r>
      <w:r w:rsidRPr="00993891">
        <w:rPr>
          <w:rFonts w:ascii="Times New Roman" w:eastAsia="Calibri" w:hAnsi="Times New Roman"/>
          <w:i/>
          <w:iCs/>
          <w:color w:val="000000"/>
          <w:lang w:bidi="ar-SA"/>
        </w:rPr>
        <w:t>Neoliberalism, Urbanization and Change in Africa: The Political Economy of Heterotopias</w:t>
      </w:r>
      <w:r w:rsidRPr="00993891">
        <w:rPr>
          <w:rFonts w:ascii="Times New Roman" w:eastAsia="Calibri" w:hAnsi="Times New Roman"/>
          <w:color w:val="000000"/>
          <w:lang w:bidi="ar-SA"/>
        </w:rPr>
        <w:t>. 14.</w:t>
      </w:r>
    </w:p>
    <w:p w14:paraId="526E6F7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Chai, B., &amp; Seto, K. C. (2019). Conceptualizing and characterizing micro-urbanization: A new perspective applied to Africa. </w:t>
      </w:r>
      <w:r w:rsidRPr="00993891">
        <w:rPr>
          <w:rFonts w:ascii="Times New Roman" w:eastAsia="Calibri" w:hAnsi="Times New Roman"/>
          <w:i/>
          <w:iCs/>
          <w:color w:val="000000"/>
          <w:lang w:bidi="ar-SA"/>
        </w:rPr>
        <w:t>Landscape and Urban Planning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190</w:t>
      </w:r>
      <w:r w:rsidRPr="00993891">
        <w:rPr>
          <w:rFonts w:ascii="Times New Roman" w:eastAsia="Calibri" w:hAnsi="Times New Roman"/>
          <w:color w:val="000000"/>
          <w:lang w:bidi="ar-SA"/>
        </w:rPr>
        <w:t>, 103595. https://doi.org/10.1016/j.landurbplan.2019.103595</w:t>
      </w:r>
    </w:p>
    <w:p w14:paraId="71B78D95"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Chen, S., &amp; Liu, W. (2023). Impacts of different levels of urban expansion on habitats at the regional scale and their critical distance thresholds. </w:t>
      </w:r>
      <w:r w:rsidRPr="00993891">
        <w:rPr>
          <w:rFonts w:ascii="Times New Roman" w:eastAsia="Calibri" w:hAnsi="Times New Roman"/>
          <w:i/>
          <w:iCs/>
          <w:color w:val="000000"/>
          <w:lang w:bidi="ar-SA"/>
        </w:rPr>
        <w:t>Environmental Research Letters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18</w:t>
      </w:r>
      <w:r w:rsidRPr="00993891">
        <w:rPr>
          <w:rFonts w:ascii="Times New Roman" w:eastAsia="Calibri" w:hAnsi="Times New Roman"/>
          <w:color w:val="000000"/>
          <w:lang w:bidi="ar-SA"/>
        </w:rPr>
        <w:t>(4), 044001. https://doi.org/10.1088/1748-9326/acbfd2</w:t>
      </w:r>
    </w:p>
    <w:p w14:paraId="29BF8D68"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Chen, Y. (2022). An extended patch-based cellular automaton to simulate horizontal and vertical urban growth under the shared socioeconomic pathways. </w:t>
      </w:r>
      <w:r w:rsidRPr="00993891">
        <w:rPr>
          <w:rFonts w:ascii="Times New Roman" w:eastAsia="Calibri" w:hAnsi="Times New Roman"/>
          <w:i/>
          <w:iCs/>
          <w:color w:val="000000"/>
          <w:lang w:bidi="ar-SA"/>
        </w:rPr>
        <w:t>Computers, Environment and Urban Systems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91</w:t>
      </w:r>
      <w:r w:rsidRPr="00993891">
        <w:rPr>
          <w:rFonts w:ascii="Times New Roman" w:eastAsia="Calibri" w:hAnsi="Times New Roman"/>
          <w:color w:val="000000"/>
          <w:lang w:bidi="ar-SA"/>
        </w:rPr>
        <w:t>, 101727. https://doi.org/10.1016/j.compenvurbsys.2021.101727</w:t>
      </w:r>
    </w:p>
    <w:p w14:paraId="34A0A76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Cobbinah, P. B., &amp; Aboagye, H. N. (2017). A Ghanaian twist to urban sprawl. </w:t>
      </w:r>
      <w:r w:rsidRPr="00993891">
        <w:rPr>
          <w:rFonts w:ascii="Times New Roman" w:eastAsia="Calibri" w:hAnsi="Times New Roman"/>
          <w:i/>
          <w:iCs/>
          <w:color w:val="000000"/>
          <w:lang w:bidi="ar-SA"/>
        </w:rPr>
        <w:t>Land Use Policy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61</w:t>
      </w:r>
      <w:r w:rsidRPr="00993891">
        <w:rPr>
          <w:rFonts w:ascii="Times New Roman" w:eastAsia="Calibri" w:hAnsi="Times New Roman"/>
          <w:color w:val="000000"/>
          <w:lang w:bidi="ar-SA"/>
        </w:rPr>
        <w:t>, 231–241. https://doi.org/10.1016/j.landusepol.2016.10.047</w:t>
      </w:r>
    </w:p>
    <w:p w14:paraId="1243AF82"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Cobbinah, P. B., Asibey, M. O., &amp; Gyedu-Pensang, Y. A. (2020). Urban land use planning in Ghana: Navigating complex coalescence of land ownership and administration. </w:t>
      </w:r>
      <w:r w:rsidRPr="00993891">
        <w:rPr>
          <w:rFonts w:ascii="Times New Roman" w:eastAsia="Calibri" w:hAnsi="Times New Roman"/>
          <w:i/>
          <w:iCs/>
          <w:color w:val="000000"/>
          <w:lang w:bidi="ar-SA"/>
        </w:rPr>
        <w:t>Land Use Policy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99</w:t>
      </w:r>
      <w:r w:rsidRPr="00993891">
        <w:rPr>
          <w:rFonts w:ascii="Times New Roman" w:eastAsia="Calibri" w:hAnsi="Times New Roman"/>
          <w:color w:val="000000"/>
          <w:lang w:bidi="ar-SA"/>
        </w:rPr>
        <w:t>, 105054. https://doi.org/10.1016/j.landusepol.2020.105054</w:t>
      </w:r>
    </w:p>
    <w:p w14:paraId="49B0B676"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Curiel, R. P., Heinrigs, P., &amp; Heo, I. (2017). </w:t>
      </w:r>
      <w:r w:rsidRPr="00993891">
        <w:rPr>
          <w:rFonts w:ascii="Times New Roman" w:eastAsia="Calibri" w:hAnsi="Times New Roman"/>
          <w:i/>
          <w:iCs/>
          <w:color w:val="000000"/>
          <w:lang w:bidi="ar-SA"/>
        </w:rPr>
        <w:t>Cities and Spatial Interactions in West Africa</w:t>
      </w:r>
      <w:r w:rsidRPr="00993891">
        <w:rPr>
          <w:rFonts w:ascii="Times New Roman" w:eastAsia="Calibri" w:hAnsi="Times New Roman"/>
          <w:color w:val="000000"/>
          <w:lang w:bidi="ar-SA"/>
        </w:rPr>
        <w:t xml:space="preserve"> (West African Papers 5; West African Papers, Vol. 5). https://doi.org/10.1787/57b30601-en</w:t>
      </w:r>
    </w:p>
    <w:p w14:paraId="1B54BB77"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Deng, C., &amp; Wu, C. (2012). BCI: A biophysical composition index for remote sensing of urban environments. </w:t>
      </w:r>
      <w:r w:rsidRPr="00993891">
        <w:rPr>
          <w:rFonts w:ascii="Times New Roman" w:eastAsia="Calibri" w:hAnsi="Times New Roman"/>
          <w:i/>
          <w:iCs/>
          <w:color w:val="000000"/>
          <w:lang w:bidi="ar-SA"/>
        </w:rPr>
        <w:t>Remote Sensing of Environment</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127</w:t>
      </w:r>
      <w:r w:rsidRPr="00993891">
        <w:rPr>
          <w:rFonts w:ascii="Times New Roman" w:eastAsia="Calibri" w:hAnsi="Times New Roman"/>
          <w:color w:val="000000"/>
          <w:lang w:bidi="ar-SA"/>
        </w:rPr>
        <w:t>, 247–259. https://doi.org/10.1016/j.rse.2012.09.009</w:t>
      </w:r>
    </w:p>
    <w:p w14:paraId="1CA87B9B"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lastRenderedPageBreak/>
        <w:t xml:space="preserve">Dietzel, C., Oguz, H., Hemphill, J. J., Clarke, K. C., &amp; Gazulis, N. (2005). Diffusion and Coalescence of the Houston Metropolitan Area: Evidence Supporting a New Urban Theory. </w:t>
      </w:r>
      <w:r w:rsidRPr="00993891">
        <w:rPr>
          <w:rFonts w:ascii="Times New Roman" w:eastAsia="Calibri" w:hAnsi="Times New Roman"/>
          <w:i/>
          <w:iCs/>
          <w:color w:val="000000"/>
          <w:lang w:bidi="ar-SA"/>
        </w:rPr>
        <w:t>Environment and Planning B: Planning and Design</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32</w:t>
      </w:r>
      <w:r w:rsidRPr="00993891">
        <w:rPr>
          <w:rFonts w:ascii="Times New Roman" w:eastAsia="Calibri" w:hAnsi="Times New Roman"/>
          <w:color w:val="000000"/>
          <w:lang w:bidi="ar-SA"/>
        </w:rPr>
        <w:t>(2), 231–246. https://doi.org/10.1068/b31148</w:t>
      </w:r>
    </w:p>
    <w:p w14:paraId="069AA5B4"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Ding, Q., Shao, Z., Huang, X., Altan, O., &amp; Hu, B. (2022). Time-series land cover mapping and urban expansion analysis using OpenStreetMap data and remote sensing big data: A case study of Guangdong-Hong Kong-Macao Greater Bay Area, China. </w:t>
      </w:r>
      <w:r w:rsidRPr="00993891">
        <w:rPr>
          <w:rFonts w:ascii="Times New Roman" w:eastAsia="Calibri" w:hAnsi="Times New Roman"/>
          <w:i/>
          <w:iCs/>
          <w:color w:val="000000"/>
          <w:lang w:bidi="ar-SA"/>
        </w:rPr>
        <w:t>International Journal of Applied Earth Observation and Geoinformation</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113</w:t>
      </w:r>
      <w:r w:rsidRPr="00993891">
        <w:rPr>
          <w:rFonts w:ascii="Times New Roman" w:eastAsia="Calibri" w:hAnsi="Times New Roman"/>
          <w:color w:val="000000"/>
          <w:lang w:bidi="ar-SA"/>
        </w:rPr>
        <w:t>, 103001. https://doi.org/10.1016/j.jag.2022.103001</w:t>
      </w:r>
    </w:p>
    <w:p w14:paraId="75D3AD4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Egidi, G., Salvati, L., &amp; Vinci, S. (2020). The long way to tipperary: City size and worldwide urban population trends, 1950–2030. </w:t>
      </w:r>
      <w:r w:rsidRPr="00993891">
        <w:rPr>
          <w:rFonts w:ascii="Times New Roman" w:eastAsia="Calibri" w:hAnsi="Times New Roman"/>
          <w:i/>
          <w:iCs/>
          <w:color w:val="000000"/>
          <w:lang w:bidi="ar-SA"/>
        </w:rPr>
        <w:t>Sustainable Cities and Society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60</w:t>
      </w:r>
      <w:r w:rsidRPr="00993891">
        <w:rPr>
          <w:rFonts w:ascii="Times New Roman" w:eastAsia="Calibri" w:hAnsi="Times New Roman"/>
          <w:color w:val="000000"/>
          <w:lang w:bidi="ar-SA"/>
        </w:rPr>
        <w:t>, 102148. https://doi.org/10.1016/j.scs.2020.102148</w:t>
      </w:r>
    </w:p>
    <w:p w14:paraId="54AC44AE"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Estoque, R. C., &amp; Murayama, Y. (2015). Classification and change detection of built-up lands from Landsat-7 ETM+ and Landsat-8 OLI/TIRS imageries: A comparative assessment of various spectral indices. </w:t>
      </w:r>
      <w:r w:rsidRPr="00993891">
        <w:rPr>
          <w:rFonts w:ascii="Times New Roman" w:eastAsia="Calibri" w:hAnsi="Times New Roman"/>
          <w:i/>
          <w:iCs/>
          <w:color w:val="000000"/>
          <w:lang w:bidi="ar-SA"/>
        </w:rPr>
        <w:t>Ecological Indicators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56</w:t>
      </w:r>
      <w:r w:rsidRPr="00993891">
        <w:rPr>
          <w:rFonts w:ascii="Times New Roman" w:eastAsia="Calibri" w:hAnsi="Times New Roman"/>
          <w:color w:val="000000"/>
          <w:lang w:bidi="ar-SA"/>
        </w:rPr>
        <w:t>, 205–217. https://doi.org/10.1016/j.ecolind.2015.03.037</w:t>
      </w:r>
    </w:p>
    <w:p w14:paraId="6FD39BA7"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Ewing, R. H. (2008). Characteristics, Causes, and Effects of Sprawl: A Literature Review. In J. M. Marzluff, E. Shulenberger, W. Endlicher, M. Alberti, G. Bradley, C. Ryan, U. Simon, &amp; C. ZumBrunnen (Eds.), </w:t>
      </w:r>
      <w:r w:rsidRPr="00993891">
        <w:rPr>
          <w:rFonts w:ascii="Times New Roman" w:eastAsia="Calibri" w:hAnsi="Times New Roman"/>
          <w:i/>
          <w:iCs/>
          <w:color w:val="000000"/>
          <w:lang w:bidi="ar-SA"/>
        </w:rPr>
        <w:t>Urban Ecology</w:t>
      </w:r>
      <w:r w:rsidRPr="00993891">
        <w:rPr>
          <w:rFonts w:ascii="Times New Roman" w:eastAsia="Calibri" w:hAnsi="Times New Roman"/>
          <w:color w:val="000000"/>
          <w:lang w:bidi="ar-SA"/>
        </w:rPr>
        <w:t xml:space="preserve"> (pp. 519–535). Springer US. https://doi.org/10.1007/978-0-387-73412-5_34</w:t>
      </w:r>
    </w:p>
    <w:p w14:paraId="24074AB5"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Ezennia, I. S. (2022). Insights of housing providers’ on the critical barriers to sustainable affordable housing uptake in Nigeria. </w:t>
      </w:r>
      <w:r w:rsidRPr="00993891">
        <w:rPr>
          <w:rFonts w:ascii="Times New Roman" w:eastAsia="Calibri" w:hAnsi="Times New Roman"/>
          <w:i/>
          <w:iCs/>
          <w:color w:val="000000"/>
          <w:lang w:bidi="ar-SA"/>
        </w:rPr>
        <w:t>World Development Sustainability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w:t>
      </w:r>
      <w:r w:rsidRPr="00993891">
        <w:rPr>
          <w:rFonts w:ascii="Times New Roman" w:eastAsia="Calibri" w:hAnsi="Times New Roman"/>
          <w:color w:val="000000"/>
          <w:lang w:bidi="ar-SA"/>
        </w:rPr>
        <w:t>, 100023. https://doi.org/10.1016/j.wds.2022.100023</w:t>
      </w:r>
    </w:p>
    <w:p w14:paraId="46C9D11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Foga, S., Scaramuzza, P. L., Guo, S., Zhu, Z., Dilley, R. D., Beckmann, T., Schmidt, G. L., Dwyer, J. L., Joseph Hughes, M., &amp; Laue, B. (2017). Cloud detection algorithm comparison and validation for operational Landsat data products. </w:t>
      </w:r>
      <w:r w:rsidRPr="00993891">
        <w:rPr>
          <w:rFonts w:ascii="Times New Roman" w:eastAsia="Calibri" w:hAnsi="Times New Roman"/>
          <w:i/>
          <w:iCs/>
          <w:color w:val="000000"/>
          <w:lang w:bidi="ar-SA"/>
        </w:rPr>
        <w:t>Remote Sensing of Environment</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194</w:t>
      </w:r>
      <w:r w:rsidRPr="00993891">
        <w:rPr>
          <w:rFonts w:ascii="Times New Roman" w:eastAsia="Calibri" w:hAnsi="Times New Roman"/>
          <w:color w:val="000000"/>
          <w:lang w:bidi="ar-SA"/>
        </w:rPr>
        <w:t>, 379–390. https://doi.org/10.1016/j.rse.2017.03.026</w:t>
      </w:r>
    </w:p>
    <w:p w14:paraId="4767B9FF"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Frenkel, A., &amp; Ashkenazi, M. (2008). Measuring Urban Sprawl: How Can We Deal with It? </w:t>
      </w:r>
      <w:r w:rsidRPr="00993891">
        <w:rPr>
          <w:rFonts w:ascii="Times New Roman" w:eastAsia="Calibri" w:hAnsi="Times New Roman"/>
          <w:i/>
          <w:iCs/>
          <w:color w:val="000000"/>
          <w:lang w:bidi="ar-SA"/>
        </w:rPr>
        <w:t>Environment and Planning B: Planning and Design</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35</w:t>
      </w:r>
      <w:r w:rsidRPr="00993891">
        <w:rPr>
          <w:rFonts w:ascii="Times New Roman" w:eastAsia="Calibri" w:hAnsi="Times New Roman"/>
          <w:color w:val="000000"/>
          <w:lang w:bidi="ar-SA"/>
        </w:rPr>
        <w:t>(1), 56–79. https://doi.org/10.1068/b32155</w:t>
      </w:r>
    </w:p>
    <w:p w14:paraId="71574686"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Galster, G., Hanson, R., Ratcliffe, M. R., Wolman, H., Coleman, S., &amp; Freihage, J. (2001). Wrestling Sprawl to the Ground: Defining and measuring an elusive concept. </w:t>
      </w:r>
      <w:r w:rsidRPr="00993891">
        <w:rPr>
          <w:rFonts w:ascii="Times New Roman" w:eastAsia="Calibri" w:hAnsi="Times New Roman"/>
          <w:i/>
          <w:iCs/>
          <w:color w:val="000000"/>
          <w:lang w:bidi="ar-SA"/>
        </w:rPr>
        <w:t>Housing Policy Debate</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12</w:t>
      </w:r>
      <w:r w:rsidRPr="00993891">
        <w:rPr>
          <w:rFonts w:ascii="Times New Roman" w:eastAsia="Calibri" w:hAnsi="Times New Roman"/>
          <w:color w:val="000000"/>
          <w:lang w:bidi="ar-SA"/>
        </w:rPr>
        <w:t>(4), 681–717. https://doi.org/10.1080/10511482.2001.9521426</w:t>
      </w:r>
    </w:p>
    <w:p w14:paraId="3C39692F"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Gao, B., Huang, Q., He, C., Sun, Z., &amp; Zhang, D. (2016). How does sprawl differ across cities in China? A multi-scale investigation using nighttime light and census data. </w:t>
      </w:r>
      <w:r w:rsidRPr="00993891">
        <w:rPr>
          <w:rFonts w:ascii="Times New Roman" w:eastAsia="Calibri" w:hAnsi="Times New Roman"/>
          <w:i/>
          <w:iCs/>
          <w:color w:val="000000"/>
          <w:lang w:bidi="ar-SA"/>
        </w:rPr>
        <w:t>Landscape and Urban Planning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148</w:t>
      </w:r>
      <w:r w:rsidRPr="00993891">
        <w:rPr>
          <w:rFonts w:ascii="Times New Roman" w:eastAsia="Calibri" w:hAnsi="Times New Roman"/>
          <w:color w:val="000000"/>
          <w:lang w:bidi="ar-SA"/>
        </w:rPr>
        <w:t>, 89–98. https://doi.org/10.1016/j.landurbplan.2015.12.006</w:t>
      </w:r>
    </w:p>
    <w:p w14:paraId="0184F623"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lastRenderedPageBreak/>
        <w:t xml:space="preserve">García, M. J. L., &amp; Caselles, V. (1991). Mapping burns and natural reforestation using thematic Mapper data. </w:t>
      </w:r>
      <w:r w:rsidRPr="00993891">
        <w:rPr>
          <w:rFonts w:ascii="Times New Roman" w:eastAsia="Calibri" w:hAnsi="Times New Roman"/>
          <w:i/>
          <w:iCs/>
          <w:color w:val="000000"/>
          <w:lang w:bidi="ar-SA"/>
        </w:rPr>
        <w:t>Geocarto International</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6</w:t>
      </w:r>
      <w:r w:rsidRPr="00993891">
        <w:rPr>
          <w:rFonts w:ascii="Times New Roman" w:eastAsia="Calibri" w:hAnsi="Times New Roman"/>
          <w:color w:val="000000"/>
          <w:lang w:bidi="ar-SA"/>
        </w:rPr>
        <w:t>(1), 31–37. https://doi.org/10.1080/10106049109354290</w:t>
      </w:r>
    </w:p>
    <w:p w14:paraId="64E349D2"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Ghana Urbanisation Think Tank (GUTT). (2019). </w:t>
      </w:r>
      <w:r w:rsidRPr="00993891">
        <w:rPr>
          <w:rFonts w:ascii="Times New Roman" w:eastAsia="Calibri" w:hAnsi="Times New Roman"/>
          <w:i/>
          <w:iCs/>
          <w:color w:val="000000"/>
          <w:lang w:bidi="ar-SA"/>
        </w:rPr>
        <w:t>Cities as a Strategic Resource: Guideline for Ghana’s National  Urban Policy Revision.</w:t>
      </w:r>
      <w:r w:rsidRPr="00993891">
        <w:rPr>
          <w:rFonts w:ascii="Times New Roman" w:eastAsia="Calibri" w:hAnsi="Times New Roman"/>
          <w:color w:val="000000"/>
          <w:lang w:bidi="ar-SA"/>
        </w:rPr>
        <w:t xml:space="preserve"> Paper for the Coalition for Urban Transitions. London and Washington DC. https://urbantransitions.global/publications/</w:t>
      </w:r>
    </w:p>
    <w:p w14:paraId="7E93E477"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Gillespie, T. (2016). Accumulation by urban dispossession: Struggles over urban space in Accra, Ghana. </w:t>
      </w:r>
      <w:r w:rsidRPr="00993891">
        <w:rPr>
          <w:rFonts w:ascii="Times New Roman" w:eastAsia="Calibri" w:hAnsi="Times New Roman"/>
          <w:i/>
          <w:iCs/>
          <w:color w:val="000000"/>
          <w:lang w:bidi="ar-SA"/>
        </w:rPr>
        <w:t>Transactions of the Institute of British Geographers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41</w:t>
      </w:r>
      <w:r w:rsidRPr="00993891">
        <w:rPr>
          <w:rFonts w:ascii="Times New Roman" w:eastAsia="Calibri" w:hAnsi="Times New Roman"/>
          <w:color w:val="000000"/>
          <w:lang w:bidi="ar-SA"/>
        </w:rPr>
        <w:t>(1), 66–77. https://doi.org/10.1111/tran.12105</w:t>
      </w:r>
    </w:p>
    <w:p w14:paraId="0AB0931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Glaeser, E. L., &amp; Shapiro, J. M. (2003). Urban growth in the 1990s: Is city living back? </w:t>
      </w:r>
      <w:r w:rsidRPr="00993891">
        <w:rPr>
          <w:rFonts w:ascii="Times New Roman" w:eastAsia="Calibri" w:hAnsi="Times New Roman"/>
          <w:i/>
          <w:iCs/>
          <w:color w:val="000000"/>
          <w:lang w:bidi="ar-SA"/>
        </w:rPr>
        <w:t>Journal of Regional Science</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43</w:t>
      </w:r>
      <w:r w:rsidRPr="00993891">
        <w:rPr>
          <w:rFonts w:ascii="Times New Roman" w:eastAsia="Calibri" w:hAnsi="Times New Roman"/>
          <w:color w:val="000000"/>
          <w:lang w:bidi="ar-SA"/>
        </w:rPr>
        <w:t>(1), 139–165.</w:t>
      </w:r>
    </w:p>
    <w:p w14:paraId="33083F9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Gong, P., Li, X., Wang, J., Bai, Y., Chen, B., Hu, T., Liu, X., Xu, B., Yang, J., Zhang, W., &amp; Zhou, Y. (2020). Annual maps of global artificial impervious area (GAIA) between 1985 and 2018. </w:t>
      </w:r>
      <w:r w:rsidRPr="00993891">
        <w:rPr>
          <w:rFonts w:ascii="Times New Roman" w:eastAsia="Calibri" w:hAnsi="Times New Roman"/>
          <w:i/>
          <w:iCs/>
          <w:color w:val="000000"/>
          <w:lang w:bidi="ar-SA"/>
        </w:rPr>
        <w:t>Remote Sensing of Environment</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236</w:t>
      </w:r>
      <w:r w:rsidRPr="00993891">
        <w:rPr>
          <w:rFonts w:ascii="Times New Roman" w:eastAsia="Calibri" w:hAnsi="Times New Roman"/>
          <w:color w:val="000000"/>
          <w:lang w:bidi="ar-SA"/>
        </w:rPr>
        <w:t>, 111510. https://doi.org/10.1016/j.rse.2019.111510</w:t>
      </w:r>
    </w:p>
    <w:p w14:paraId="5E7D247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Goodfellow, T. (2020). Finance, infrastructure and urban capital: The political economy of African ‘gap-filling.’ </w:t>
      </w:r>
      <w:r w:rsidRPr="00993891">
        <w:rPr>
          <w:rFonts w:ascii="Times New Roman" w:eastAsia="Calibri" w:hAnsi="Times New Roman"/>
          <w:i/>
          <w:iCs/>
          <w:color w:val="000000"/>
          <w:lang w:bidi="ar-SA"/>
        </w:rPr>
        <w:t>Review of African Political Economy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47</w:t>
      </w:r>
      <w:r w:rsidRPr="00993891">
        <w:rPr>
          <w:rFonts w:ascii="Times New Roman" w:eastAsia="Calibri" w:hAnsi="Times New Roman"/>
          <w:color w:val="000000"/>
          <w:lang w:bidi="ar-SA"/>
        </w:rPr>
        <w:t>(164), 256–274. https://doi.org/10.1080/03056244.2020.1722088</w:t>
      </w:r>
    </w:p>
    <w:p w14:paraId="01ED503D"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Güneralp, B., Lwasa, S., Masundire, H., Parnell, S., &amp; Seto, K. C. (2017). Urbanization in Africa: Challenges and opportunities for conservation. </w:t>
      </w:r>
      <w:r w:rsidRPr="00993891">
        <w:rPr>
          <w:rFonts w:ascii="Times New Roman" w:eastAsia="Calibri" w:hAnsi="Times New Roman"/>
          <w:i/>
          <w:iCs/>
          <w:color w:val="000000"/>
          <w:lang w:bidi="ar-SA"/>
        </w:rPr>
        <w:t>Environmental Research Letters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13</w:t>
      </w:r>
      <w:r w:rsidRPr="00993891">
        <w:rPr>
          <w:rFonts w:ascii="Times New Roman" w:eastAsia="Calibri" w:hAnsi="Times New Roman"/>
          <w:color w:val="000000"/>
          <w:lang w:bidi="ar-SA"/>
        </w:rPr>
        <w:t>(1), 015002. https://doi.org/10.1088/1748-9326/aa94fe</w:t>
      </w:r>
    </w:p>
    <w:p w14:paraId="082BE791"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Güneralp, B., Reba, M., Hales, B. U., Wentz, E. A., &amp; Seto, K. C. (2020). Trends in urban land expansion, density, and land transitions from 1970 to 2010: A global synthesis. </w:t>
      </w:r>
      <w:r w:rsidRPr="00993891">
        <w:rPr>
          <w:rFonts w:ascii="Times New Roman" w:eastAsia="Calibri" w:hAnsi="Times New Roman"/>
          <w:i/>
          <w:iCs/>
          <w:color w:val="000000"/>
          <w:lang w:bidi="ar-SA"/>
        </w:rPr>
        <w:t>Environmental Research Letters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15</w:t>
      </w:r>
      <w:r w:rsidRPr="00993891">
        <w:rPr>
          <w:rFonts w:ascii="Times New Roman" w:eastAsia="Calibri" w:hAnsi="Times New Roman"/>
          <w:color w:val="000000"/>
          <w:lang w:bidi="ar-SA"/>
        </w:rPr>
        <w:t>(4), 044015. https://doi.org/10.1088/1748-9326/ab6669</w:t>
      </w:r>
    </w:p>
    <w:p w14:paraId="175F4A05"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Hamidi, S., &amp; Ewing, R. (2014). A longitudinal study of changes in urban sprawl between 2000 and 2010 in the United States. </w:t>
      </w:r>
      <w:r w:rsidRPr="00993891">
        <w:rPr>
          <w:rFonts w:ascii="Times New Roman" w:eastAsia="Calibri" w:hAnsi="Times New Roman"/>
          <w:i/>
          <w:iCs/>
          <w:color w:val="000000"/>
          <w:lang w:bidi="ar-SA"/>
        </w:rPr>
        <w:t>Landscape and Urban Planning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128</w:t>
      </w:r>
      <w:r w:rsidRPr="00993891">
        <w:rPr>
          <w:rFonts w:ascii="Times New Roman" w:eastAsia="Calibri" w:hAnsi="Times New Roman"/>
          <w:color w:val="000000"/>
          <w:lang w:bidi="ar-SA"/>
        </w:rPr>
        <w:t>, 72–82. https://doi.org/10.1016/j.landurbplan.2014.04.021</w:t>
      </w:r>
    </w:p>
    <w:p w14:paraId="3DA76FF5"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Herrmann, S. M., Brandt, M., Rasmussen, K., &amp; Fensholt, R. (2020). Accelerating land cover change in West Africa over four decades as population pressure increased. </w:t>
      </w:r>
      <w:r w:rsidRPr="00993891">
        <w:rPr>
          <w:rFonts w:ascii="Times New Roman" w:eastAsia="Calibri" w:hAnsi="Times New Roman"/>
          <w:i/>
          <w:iCs/>
          <w:color w:val="000000"/>
          <w:lang w:bidi="ar-SA"/>
        </w:rPr>
        <w:t>Communications Earth &amp; Environment</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w:t>
      </w:r>
      <w:r w:rsidRPr="00993891">
        <w:rPr>
          <w:rFonts w:ascii="Times New Roman" w:eastAsia="Calibri" w:hAnsi="Times New Roman"/>
          <w:color w:val="000000"/>
          <w:lang w:bidi="ar-SA"/>
        </w:rPr>
        <w:t>(1), 53. https://doi.org/10.1038/s43247-020-00053-y</w:t>
      </w:r>
    </w:p>
    <w:p w14:paraId="5B7EE5E7"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Idowu, T. E., Waswa, R. M., Lasisi, K., Mubea, K., Nyadawa, M., &amp; Kiema, J. B. K. (2020). Towards achieving Sustainability of coastal environments: Urban Growth analysis and prediction of Lagos, State Nigeria. </w:t>
      </w:r>
      <w:r w:rsidRPr="00993891">
        <w:rPr>
          <w:rFonts w:ascii="Times New Roman" w:eastAsia="Calibri" w:hAnsi="Times New Roman"/>
          <w:i/>
          <w:iCs/>
          <w:color w:val="000000"/>
          <w:lang w:bidi="ar-SA"/>
        </w:rPr>
        <w:t>South African Journal of Geomatics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9</w:t>
      </w:r>
      <w:r w:rsidRPr="00993891">
        <w:rPr>
          <w:rFonts w:ascii="Times New Roman" w:eastAsia="Calibri" w:hAnsi="Times New Roman"/>
          <w:color w:val="000000"/>
          <w:lang w:bidi="ar-SA"/>
        </w:rPr>
        <w:t>(2), 149–162. https://doi.org/10.4314/sajg.v9i2.11</w:t>
      </w:r>
    </w:p>
    <w:p w14:paraId="2E46B39F"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lastRenderedPageBreak/>
        <w:t xml:space="preserve">Jia, M., Liu, Y., Lieske, S. N., &amp; Chen, T. (2020). Public policy change and its impact on urban expansion: An evaluation of 265 cities in China. </w:t>
      </w:r>
      <w:r w:rsidRPr="00993891">
        <w:rPr>
          <w:rFonts w:ascii="Times New Roman" w:eastAsia="Calibri" w:hAnsi="Times New Roman"/>
          <w:i/>
          <w:iCs/>
          <w:color w:val="000000"/>
          <w:lang w:bidi="ar-SA"/>
        </w:rPr>
        <w:t>Land Use Policy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97</w:t>
      </w:r>
      <w:r w:rsidRPr="00993891">
        <w:rPr>
          <w:rFonts w:ascii="Times New Roman" w:eastAsia="Calibri" w:hAnsi="Times New Roman"/>
          <w:color w:val="000000"/>
          <w:lang w:bidi="ar-SA"/>
        </w:rPr>
        <w:t>, 104754. https://doi.org/10.1016/j.landusepol.2020.104754</w:t>
      </w:r>
    </w:p>
    <w:p w14:paraId="6965B965"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Jia, M., Zhang, H., &amp; Yang, Z. (2022). Compactness or sprawl: Multi-dimensional approach to understanding the urban growth patterns in Beijing-Tianjin-Hebei region, China. </w:t>
      </w:r>
      <w:r w:rsidRPr="00993891">
        <w:rPr>
          <w:rFonts w:ascii="Times New Roman" w:eastAsia="Calibri" w:hAnsi="Times New Roman"/>
          <w:i/>
          <w:iCs/>
          <w:color w:val="000000"/>
          <w:lang w:bidi="ar-SA"/>
        </w:rPr>
        <w:t>Ecological Indicators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138</w:t>
      </w:r>
      <w:r w:rsidRPr="00993891">
        <w:rPr>
          <w:rFonts w:ascii="Times New Roman" w:eastAsia="Calibri" w:hAnsi="Times New Roman"/>
          <w:color w:val="000000"/>
          <w:lang w:bidi="ar-SA"/>
        </w:rPr>
        <w:t>, 108816. https://doi.org/10.1016/j.ecolind.2022.108816</w:t>
      </w:r>
    </w:p>
    <w:p w14:paraId="25AD0B77" w14:textId="77777777" w:rsidR="00EC04E9" w:rsidRDefault="00EC04E9" w:rsidP="009112A5">
      <w:pPr>
        <w:spacing w:line="240" w:lineRule="auto"/>
        <w:ind w:left="720" w:hanging="720"/>
        <w:rPr>
          <w:rFonts w:ascii="Times New Roman" w:eastAsia="Aptos" w:hAnsi="Times New Roman"/>
          <w:kern w:val="2"/>
          <w:szCs w:val="22"/>
          <w:lang w:bidi="ar-SA"/>
          <w14:ligatures w14:val="standardContextual"/>
        </w:rPr>
      </w:pPr>
    </w:p>
    <w:p w14:paraId="4B7735A3" w14:textId="0933DCDF" w:rsidR="00EC04E9" w:rsidRPr="00EC04E9" w:rsidRDefault="00EC04E9" w:rsidP="009112A5">
      <w:pPr>
        <w:spacing w:line="240" w:lineRule="auto"/>
        <w:ind w:left="720" w:hanging="720"/>
        <w:rPr>
          <w:rFonts w:ascii="Times New Roman" w:eastAsia="Aptos" w:hAnsi="Times New Roman"/>
          <w:kern w:val="2"/>
          <w:szCs w:val="22"/>
          <w:lang w:bidi="ar-SA"/>
          <w14:ligatures w14:val="standardContextual"/>
        </w:rPr>
      </w:pPr>
      <w:r w:rsidRPr="00EC04E9">
        <w:rPr>
          <w:rFonts w:ascii="Times New Roman" w:eastAsia="Aptos" w:hAnsi="Times New Roman"/>
          <w:kern w:val="2"/>
          <w:szCs w:val="22"/>
          <w:lang w:bidi="ar-SA"/>
          <w14:ligatures w14:val="standardContextual"/>
        </w:rPr>
        <w:t xml:space="preserve">Kawamura, M., Jayamanna, S., &amp; Tsujiko, Y. (1997). Quantitative evaluation of urbanization in developing countries using satellite data. </w:t>
      </w:r>
      <w:r w:rsidRPr="00EC04E9">
        <w:rPr>
          <w:rFonts w:ascii="Times New Roman" w:eastAsia="Aptos" w:hAnsi="Times New Roman"/>
          <w:i/>
          <w:iCs/>
          <w:kern w:val="2"/>
          <w:szCs w:val="22"/>
          <w:lang w:bidi="ar-SA"/>
          <w14:ligatures w14:val="standardContextual"/>
        </w:rPr>
        <w:t>Doboku Gakkai Ronbunshu</w:t>
      </w:r>
      <w:r w:rsidRPr="00EC04E9">
        <w:rPr>
          <w:rFonts w:ascii="Times New Roman" w:eastAsia="Aptos" w:hAnsi="Times New Roman"/>
          <w:kern w:val="2"/>
          <w:szCs w:val="22"/>
          <w:lang w:bidi="ar-SA"/>
          <w14:ligatures w14:val="standardContextual"/>
        </w:rPr>
        <w:t xml:space="preserve">, </w:t>
      </w:r>
      <w:r w:rsidRPr="00EC04E9">
        <w:rPr>
          <w:rFonts w:ascii="Times New Roman" w:eastAsia="Aptos" w:hAnsi="Times New Roman"/>
          <w:i/>
          <w:iCs/>
          <w:kern w:val="2"/>
          <w:szCs w:val="22"/>
          <w:lang w:bidi="ar-SA"/>
          <w14:ligatures w14:val="standardContextual"/>
        </w:rPr>
        <w:t>1997</w:t>
      </w:r>
      <w:r w:rsidRPr="00EC04E9">
        <w:rPr>
          <w:rFonts w:ascii="Times New Roman" w:eastAsia="Aptos" w:hAnsi="Times New Roman"/>
          <w:kern w:val="2"/>
          <w:szCs w:val="22"/>
          <w:lang w:bidi="ar-SA"/>
          <w14:ligatures w14:val="standardContextual"/>
        </w:rPr>
        <w:t>(580), 45–54. https://doi.org/10.2208/jscej.1997.580_45</w:t>
      </w:r>
    </w:p>
    <w:p w14:paraId="7F8584C9"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Kennedy, R., Yang, Z., Gorelick, N., Braaten, J., Cavalcante, L., Cohen, W., &amp; Healey, S. (2018). Implementation of the LandTrendr Algorithm on Google Earth Engine. </w:t>
      </w:r>
      <w:r w:rsidRPr="00993891">
        <w:rPr>
          <w:rFonts w:ascii="Times New Roman" w:eastAsia="Calibri" w:hAnsi="Times New Roman"/>
          <w:i/>
          <w:iCs/>
          <w:color w:val="000000"/>
          <w:lang w:bidi="ar-SA"/>
        </w:rPr>
        <w:t>Remote Sensing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10</w:t>
      </w:r>
      <w:r w:rsidRPr="00993891">
        <w:rPr>
          <w:rFonts w:ascii="Times New Roman" w:eastAsia="Calibri" w:hAnsi="Times New Roman"/>
          <w:color w:val="000000"/>
          <w:lang w:bidi="ar-SA"/>
        </w:rPr>
        <w:t>(5), 691. https://doi.org/10.3390/rs10050691</w:t>
      </w:r>
    </w:p>
    <w:p w14:paraId="40441FA9"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Kleemann, J., Inkoom, J. N., Thiel, M., Shankar, S., Lautenbach, S., &amp; Fürst, C. (2017). Peri-urban land use pattern and its relation to land use planning in Ghana, West Africa. </w:t>
      </w:r>
      <w:r w:rsidRPr="00993891">
        <w:rPr>
          <w:rFonts w:ascii="Times New Roman" w:eastAsia="Calibri" w:hAnsi="Times New Roman"/>
          <w:i/>
          <w:iCs/>
          <w:color w:val="000000"/>
          <w:lang w:bidi="ar-SA"/>
        </w:rPr>
        <w:t>Landscape and Urban Planning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165</w:t>
      </w:r>
      <w:r w:rsidRPr="00993891">
        <w:rPr>
          <w:rFonts w:ascii="Times New Roman" w:eastAsia="Calibri" w:hAnsi="Times New Roman"/>
          <w:color w:val="000000"/>
          <w:lang w:bidi="ar-SA"/>
        </w:rPr>
        <w:t>, 280–294. https://doi.org/10.1016/j.landurbplan.2017.02.004</w:t>
      </w:r>
    </w:p>
    <w:p w14:paraId="107F6DFD"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Korah, A. (2020). </w:t>
      </w:r>
      <w:r w:rsidRPr="00993891">
        <w:rPr>
          <w:rFonts w:ascii="Times New Roman" w:eastAsia="Calibri" w:hAnsi="Times New Roman"/>
          <w:i/>
          <w:iCs/>
          <w:color w:val="000000"/>
          <w:lang w:bidi="ar-SA"/>
        </w:rPr>
        <w:t>Frontier Urbanization and Affirmative Action in Urban Ghana: A Case of Airport City, Accra</w:t>
      </w:r>
      <w:r w:rsidRPr="00993891">
        <w:rPr>
          <w:rFonts w:ascii="Times New Roman" w:eastAsia="Calibri" w:hAnsi="Times New Roman"/>
          <w:color w:val="000000"/>
          <w:lang w:bidi="ar-SA"/>
        </w:rPr>
        <w:t xml:space="preserve"> [Master’s thesis, Miami University]. https://etd.ohiolink.edu/acprod/odb_etd/etd/r/1501/10?clear=10&amp;p10_accession_num=miami1595878309570218</w:t>
      </w:r>
    </w:p>
    <w:p w14:paraId="03AB435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Korah, A., Koch, J. A. M., &amp; Wimberly, M. C. (2024). Understanding urban growth modeling in Africa: Dynamics, drivers, and challenges. </w:t>
      </w:r>
      <w:r w:rsidRPr="00993891">
        <w:rPr>
          <w:rFonts w:ascii="Times New Roman" w:eastAsia="Calibri" w:hAnsi="Times New Roman"/>
          <w:i/>
          <w:iCs/>
          <w:color w:val="000000"/>
          <w:lang w:bidi="ar-SA"/>
        </w:rPr>
        <w:t>Cities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146</w:t>
      </w:r>
      <w:r w:rsidRPr="00993891">
        <w:rPr>
          <w:rFonts w:ascii="Times New Roman" w:eastAsia="Calibri" w:hAnsi="Times New Roman"/>
          <w:color w:val="000000"/>
          <w:lang w:bidi="ar-SA"/>
        </w:rPr>
        <w:t>, 104734. https://doi.org/10.1016/j.cities.2023.104734</w:t>
      </w:r>
    </w:p>
    <w:p w14:paraId="5C438F43"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Korah, P. I., Cobbinah, P. B., Nunbogu, A. M., &amp; Gyogluu, S. (2017). Spatial plans and urban development trajectory in Kumasi, Ghana. </w:t>
      </w:r>
      <w:r w:rsidRPr="00993891">
        <w:rPr>
          <w:rFonts w:ascii="Times New Roman" w:eastAsia="Calibri" w:hAnsi="Times New Roman"/>
          <w:i/>
          <w:iCs/>
          <w:color w:val="000000"/>
          <w:lang w:bidi="ar-SA"/>
        </w:rPr>
        <w:t>GeoJournal</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82</w:t>
      </w:r>
      <w:r w:rsidRPr="00993891">
        <w:rPr>
          <w:rFonts w:ascii="Times New Roman" w:eastAsia="Calibri" w:hAnsi="Times New Roman"/>
          <w:color w:val="000000"/>
          <w:lang w:bidi="ar-SA"/>
        </w:rPr>
        <w:t>(6), 1113–1134. https://doi.org/10.1007/s10708-016-9731-1</w:t>
      </w:r>
    </w:p>
    <w:p w14:paraId="26DBE6B1"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Korah, P. I., Jambadu, L., &amp; Nunbogu, A. M. (2023). Mapping spatial and temporal dynamics in urban growth: The case of secondary cities in northern Ghana. </w:t>
      </w:r>
      <w:r w:rsidRPr="00993891">
        <w:rPr>
          <w:rFonts w:ascii="Times New Roman" w:eastAsia="Calibri" w:hAnsi="Times New Roman"/>
          <w:i/>
          <w:iCs/>
          <w:color w:val="000000"/>
          <w:lang w:bidi="ar-SA"/>
        </w:rPr>
        <w:t>Journal of Urban Affairs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45</w:t>
      </w:r>
      <w:r w:rsidRPr="00993891">
        <w:rPr>
          <w:rFonts w:ascii="Times New Roman" w:eastAsia="Calibri" w:hAnsi="Times New Roman"/>
          <w:color w:val="000000"/>
          <w:lang w:bidi="ar-SA"/>
        </w:rPr>
        <w:t>(3), 390–406. https://doi.org/10.1080/07352166.2022.2093734</w:t>
      </w:r>
    </w:p>
    <w:p w14:paraId="5D2DD69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Korah, P. I., Matthews, T., &amp; Tomerini, D. (2019). Characterising spatial and temporal patterns of urban evolution in Sub-Saharan Africa: The case of Accra, Ghana. </w:t>
      </w:r>
      <w:r w:rsidRPr="00993891">
        <w:rPr>
          <w:rFonts w:ascii="Times New Roman" w:eastAsia="Calibri" w:hAnsi="Times New Roman"/>
          <w:i/>
          <w:iCs/>
          <w:color w:val="000000"/>
          <w:lang w:bidi="ar-SA"/>
        </w:rPr>
        <w:t>Land Use Policy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87</w:t>
      </w:r>
      <w:r w:rsidRPr="00993891">
        <w:rPr>
          <w:rFonts w:ascii="Times New Roman" w:eastAsia="Calibri" w:hAnsi="Times New Roman"/>
          <w:color w:val="000000"/>
          <w:lang w:bidi="ar-SA"/>
        </w:rPr>
        <w:t>, 104049. https://doi.org/10.1016/j.landusepol.2019.104049</w:t>
      </w:r>
    </w:p>
    <w:p w14:paraId="428F155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Kourtit, K., &amp; Nijkamp, P. (2013). In praise of megacities in a global world: In praise of megacities in a global world. </w:t>
      </w:r>
      <w:r w:rsidRPr="00993891">
        <w:rPr>
          <w:rFonts w:ascii="Times New Roman" w:eastAsia="Calibri" w:hAnsi="Times New Roman"/>
          <w:i/>
          <w:iCs/>
          <w:color w:val="000000"/>
          <w:lang w:bidi="ar-SA"/>
        </w:rPr>
        <w:t>Regional Science Policy &amp; Practice</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5</w:t>
      </w:r>
      <w:r w:rsidRPr="00993891">
        <w:rPr>
          <w:rFonts w:ascii="Times New Roman" w:eastAsia="Calibri" w:hAnsi="Times New Roman"/>
          <w:color w:val="000000"/>
          <w:lang w:bidi="ar-SA"/>
        </w:rPr>
        <w:t>(2), 167–182. https://doi.org/10.1111/rsp3.12002</w:t>
      </w:r>
    </w:p>
    <w:p w14:paraId="0633397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Li, Z., Gurgel, H., Li, M., Dessay, N., &amp; Gong, P. (2022). Urban Land Expansion from Scratch to Urban Agglomeration in the Federal District of Brazil in the Past 60 Years. </w:t>
      </w:r>
      <w:r w:rsidRPr="00993891">
        <w:rPr>
          <w:rFonts w:ascii="Times New Roman" w:eastAsia="Calibri" w:hAnsi="Times New Roman"/>
          <w:i/>
          <w:iCs/>
          <w:color w:val="000000"/>
          <w:lang w:bidi="ar-SA"/>
        </w:rPr>
        <w:lastRenderedPageBreak/>
        <w:t>International Journal of Environmental Research and Public Health</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19</w:t>
      </w:r>
      <w:r w:rsidRPr="00993891">
        <w:rPr>
          <w:rFonts w:ascii="Times New Roman" w:eastAsia="Calibri" w:hAnsi="Times New Roman"/>
          <w:color w:val="000000"/>
          <w:lang w:bidi="ar-SA"/>
        </w:rPr>
        <w:t>(3), 1032. https://doi.org/10.3390/ijerph19031032</w:t>
      </w:r>
    </w:p>
    <w:p w14:paraId="7630A2A2"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Liu, X., Wang, S., Wu, P., Feng, K., Hubacek, K., Li, X., &amp; Sun, L. (2019). Impacts of Urban Expansion on Terrestrial Carbon Storage in China. </w:t>
      </w:r>
      <w:r w:rsidRPr="00993891">
        <w:rPr>
          <w:rFonts w:ascii="Times New Roman" w:eastAsia="Calibri" w:hAnsi="Times New Roman"/>
          <w:i/>
          <w:iCs/>
          <w:color w:val="000000"/>
          <w:lang w:bidi="ar-SA"/>
        </w:rPr>
        <w:t>Environmental Science &amp; Technology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53</w:t>
      </w:r>
      <w:r w:rsidRPr="00993891">
        <w:rPr>
          <w:rFonts w:ascii="Times New Roman" w:eastAsia="Calibri" w:hAnsi="Times New Roman"/>
          <w:color w:val="000000"/>
          <w:lang w:bidi="ar-SA"/>
        </w:rPr>
        <w:t>(12), 6834–6844. https://doi.org/10.1021/acs.est.9b00103</w:t>
      </w:r>
    </w:p>
    <w:p w14:paraId="42DC0C39"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Lösch, A. (1940). </w:t>
      </w:r>
      <w:r w:rsidRPr="00993891">
        <w:rPr>
          <w:rFonts w:ascii="Times New Roman" w:eastAsia="Calibri" w:hAnsi="Times New Roman"/>
          <w:i/>
          <w:iCs/>
          <w:color w:val="000000"/>
          <w:lang w:bidi="ar-SA"/>
        </w:rPr>
        <w:t>Die Raumche Ordnungder Wirtschaft. 3rd Edition, Fisher, Stutgart, 1954, English translation from German original by Woglom WH, Stolper WF, The Economics of Location</w:t>
      </w:r>
      <w:r w:rsidRPr="00993891">
        <w:rPr>
          <w:rFonts w:ascii="Times New Roman" w:eastAsia="Calibri" w:hAnsi="Times New Roman"/>
          <w:color w:val="000000"/>
          <w:lang w:bidi="ar-SA"/>
        </w:rPr>
        <w:t>. Yale University Press.</w:t>
      </w:r>
    </w:p>
    <w:p w14:paraId="0ECDCBC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Mahtta, R., Fragkias, M., Güneralp, B., Mahendra, A., Reba, M., Wentz, E. A., &amp; Seto, K. C. (2022). Urban land expansion: The role of population and economic growth for 300+ cities. </w:t>
      </w:r>
      <w:r w:rsidRPr="00993891">
        <w:rPr>
          <w:rFonts w:ascii="Times New Roman" w:eastAsia="Calibri" w:hAnsi="Times New Roman"/>
          <w:i/>
          <w:iCs/>
          <w:color w:val="000000"/>
          <w:lang w:bidi="ar-SA"/>
        </w:rPr>
        <w:t>Npj Urban Sustainability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2</w:t>
      </w:r>
      <w:r w:rsidRPr="00993891">
        <w:rPr>
          <w:rFonts w:ascii="Times New Roman" w:eastAsia="Calibri" w:hAnsi="Times New Roman"/>
          <w:color w:val="000000"/>
          <w:lang w:bidi="ar-SA"/>
        </w:rPr>
        <w:t>(1), 5. https://doi.org/10.1038/s42949-022-00048-y</w:t>
      </w:r>
    </w:p>
    <w:p w14:paraId="080FB923"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Marais, L., &amp; Cloete, J. (2017). The role of secondary cities in managing urbanisation in South Africa. </w:t>
      </w:r>
      <w:r w:rsidRPr="00993891">
        <w:rPr>
          <w:rFonts w:ascii="Times New Roman" w:eastAsia="Calibri" w:hAnsi="Times New Roman"/>
          <w:i/>
          <w:iCs/>
          <w:color w:val="000000"/>
          <w:lang w:bidi="ar-SA"/>
        </w:rPr>
        <w:t>Development Southern Africa</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34</w:t>
      </w:r>
      <w:r w:rsidRPr="00993891">
        <w:rPr>
          <w:rFonts w:ascii="Times New Roman" w:eastAsia="Calibri" w:hAnsi="Times New Roman"/>
          <w:color w:val="000000"/>
          <w:lang w:bidi="ar-SA"/>
        </w:rPr>
        <w:t>(2), 182–195. https://doi.org/10.1080/0376835X.2016.1259993</w:t>
      </w:r>
    </w:p>
    <w:p w14:paraId="5E3E2265"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Marcotullio, P. J., Keßler, C., &amp; Fekete, B. M. (2022). Global urban exposure projections to extreme heatwaves. </w:t>
      </w:r>
      <w:r w:rsidRPr="00993891">
        <w:rPr>
          <w:rFonts w:ascii="Times New Roman" w:eastAsia="Calibri" w:hAnsi="Times New Roman"/>
          <w:i/>
          <w:iCs/>
          <w:color w:val="000000"/>
          <w:lang w:bidi="ar-SA"/>
        </w:rPr>
        <w:t>Frontiers in Built Environment</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8</w:t>
      </w:r>
      <w:r w:rsidRPr="00993891">
        <w:rPr>
          <w:rFonts w:ascii="Times New Roman" w:eastAsia="Calibri" w:hAnsi="Times New Roman"/>
          <w:color w:val="000000"/>
          <w:lang w:bidi="ar-SA"/>
        </w:rPr>
        <w:t>. https://www.frontiersin.org/articles/10.3389/fbuil.2022.947496</w:t>
      </w:r>
    </w:p>
    <w:p w14:paraId="10BA5CC1"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McPhearson, T., Haase, D., Kabisch, N., &amp; Gren, Å. (2016). Advancing understanding of the complex nature of urban systems. </w:t>
      </w:r>
      <w:r w:rsidRPr="00993891">
        <w:rPr>
          <w:rFonts w:ascii="Times New Roman" w:eastAsia="Calibri" w:hAnsi="Times New Roman"/>
          <w:i/>
          <w:iCs/>
          <w:color w:val="000000"/>
          <w:lang w:bidi="ar-SA"/>
        </w:rPr>
        <w:t>Ecological Indicators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70</w:t>
      </w:r>
      <w:r w:rsidRPr="00993891">
        <w:rPr>
          <w:rFonts w:ascii="Times New Roman" w:eastAsia="Calibri" w:hAnsi="Times New Roman"/>
          <w:color w:val="000000"/>
          <w:lang w:bidi="ar-SA"/>
        </w:rPr>
        <w:t>, 566–573. https://doi.org/10.1016/j.ecolind.2016.03.054</w:t>
      </w:r>
    </w:p>
    <w:p w14:paraId="58850658"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Mugiraneza, T., Nascetti, A., &amp; Ban, Y. (2020). Continuous Monitoring of Urban Land Cover Change Trajectories with Landsat Time Series and LandTrendr-Google Earth Engine Cloud Computing. </w:t>
      </w:r>
      <w:r w:rsidRPr="00993891">
        <w:rPr>
          <w:rFonts w:ascii="Times New Roman" w:eastAsia="Calibri" w:hAnsi="Times New Roman"/>
          <w:i/>
          <w:iCs/>
          <w:color w:val="000000"/>
          <w:lang w:bidi="ar-SA"/>
        </w:rPr>
        <w:t>Remote Sensing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12</w:t>
      </w:r>
      <w:r w:rsidRPr="00993891">
        <w:rPr>
          <w:rFonts w:ascii="Times New Roman" w:eastAsia="Calibri" w:hAnsi="Times New Roman"/>
          <w:color w:val="000000"/>
          <w:lang w:bidi="ar-SA"/>
        </w:rPr>
        <w:t>(18), Article 18. https://doi.org/10.3390/rs12182883</w:t>
      </w:r>
    </w:p>
    <w:p w14:paraId="02513A96"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Ning, Y., Liu, S., Zhao, S., Liu, M., Gao, H., &amp; Gong, P. (2022). Urban growth rates, trajectories, and multi-dimensional disparities in China. </w:t>
      </w:r>
      <w:r w:rsidRPr="00993891">
        <w:rPr>
          <w:rFonts w:ascii="Times New Roman" w:eastAsia="Calibri" w:hAnsi="Times New Roman"/>
          <w:i/>
          <w:iCs/>
          <w:color w:val="000000"/>
          <w:lang w:bidi="ar-SA"/>
        </w:rPr>
        <w:t>Cities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126</w:t>
      </w:r>
      <w:r w:rsidRPr="00993891">
        <w:rPr>
          <w:rFonts w:ascii="Times New Roman" w:eastAsia="Calibri" w:hAnsi="Times New Roman"/>
          <w:color w:val="000000"/>
          <w:lang w:bidi="ar-SA"/>
        </w:rPr>
        <w:t>, 103717. https://doi.org/10.1016/j.cities.2022.103717</w:t>
      </w:r>
    </w:p>
    <w:p w14:paraId="01412D17"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OECD, United Nations Economic Commission for Africa, &amp; African Development Bank. (2022). </w:t>
      </w:r>
      <w:r w:rsidRPr="00993891">
        <w:rPr>
          <w:rFonts w:ascii="Times New Roman" w:eastAsia="Calibri" w:hAnsi="Times New Roman"/>
          <w:i/>
          <w:iCs/>
          <w:color w:val="000000"/>
          <w:lang w:bidi="ar-SA"/>
        </w:rPr>
        <w:t>Africa’s Urbanisation Dynamics 2022: The Economic Power of Africa’s Cities</w:t>
      </w:r>
      <w:r w:rsidRPr="00993891">
        <w:rPr>
          <w:rFonts w:ascii="Times New Roman" w:eastAsia="Calibri" w:hAnsi="Times New Roman"/>
          <w:color w:val="000000"/>
          <w:lang w:bidi="ar-SA"/>
        </w:rPr>
        <w:t>. OECD. https://doi.org/10.1787/3834ed5b-en</w:t>
      </w:r>
    </w:p>
    <w:p w14:paraId="3C6B7F5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OECD/SWAC. (2020). </w:t>
      </w:r>
      <w:r w:rsidRPr="00993891">
        <w:rPr>
          <w:rFonts w:ascii="Times New Roman" w:eastAsia="Calibri" w:hAnsi="Times New Roman"/>
          <w:i/>
          <w:iCs/>
          <w:color w:val="000000"/>
          <w:lang w:bidi="ar-SA"/>
        </w:rPr>
        <w:t>Africa’s Urbanization Dynamics 2020: Africapolis, Mapping a New Urban Geography, West African Studies</w:t>
      </w:r>
      <w:r w:rsidRPr="00993891">
        <w:rPr>
          <w:rFonts w:ascii="Times New Roman" w:eastAsia="Calibri" w:hAnsi="Times New Roman"/>
          <w:color w:val="000000"/>
          <w:lang w:bidi="ar-SA"/>
        </w:rPr>
        <w:t>. OECD Publishing. https://doi.org/10.1787/b6bccb81-en</w:t>
      </w:r>
    </w:p>
    <w:p w14:paraId="0301B926"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Olanrewaju, A., Anavhe, P., &amp; Hai, T. K. (2016). A Framework for Affordable Housing Governance for the Nigerian Property Market. </w:t>
      </w:r>
      <w:r w:rsidRPr="00993891">
        <w:rPr>
          <w:rFonts w:ascii="Times New Roman" w:eastAsia="Calibri" w:hAnsi="Times New Roman"/>
          <w:i/>
          <w:iCs/>
          <w:color w:val="000000"/>
          <w:lang w:bidi="ar-SA"/>
        </w:rPr>
        <w:t>Procedia Engineering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164</w:t>
      </w:r>
      <w:r w:rsidRPr="00993891">
        <w:rPr>
          <w:rFonts w:ascii="Times New Roman" w:eastAsia="Calibri" w:hAnsi="Times New Roman"/>
          <w:color w:val="000000"/>
          <w:lang w:bidi="ar-SA"/>
        </w:rPr>
        <w:t>, 307–314. https://doi.org/10.1016/j.proeng.2016.11.624</w:t>
      </w:r>
    </w:p>
    <w:p w14:paraId="7428872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lastRenderedPageBreak/>
        <w:t xml:space="preserve">Pesaresi, M., Ehrlich, D., Florczyk, A., Freire, S., Julea, A., Kemper, T., Soille, P., &amp; Syrris, V. (2015). </w:t>
      </w:r>
      <w:r w:rsidRPr="00993891">
        <w:rPr>
          <w:rFonts w:ascii="Times New Roman" w:eastAsia="Calibri" w:hAnsi="Times New Roman"/>
          <w:i/>
          <w:iCs/>
          <w:color w:val="000000"/>
          <w:lang w:bidi="ar-SA"/>
        </w:rPr>
        <w:t>GHS-BUILT R2015B - GHS built-up grid, derived from Landsat, multitemporal (1975, 1990, 2000, 2014)—OBSOLETE RELEASE</w:t>
      </w:r>
      <w:r w:rsidRPr="00993891">
        <w:rPr>
          <w:rFonts w:ascii="Times New Roman" w:eastAsia="Calibri" w:hAnsi="Times New Roman"/>
          <w:color w:val="000000"/>
          <w:lang w:bidi="ar-SA"/>
        </w:rPr>
        <w:t>. http://data.europa.eu/89h/jrc-ghsl-ghs_built_ldsmt_globe_r2015b</w:t>
      </w:r>
    </w:p>
    <w:p w14:paraId="51D68ECF"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Polyakov, M., Majumdar, I., &amp; Teeter, L. (2008). Spatial and temporal analysis of the anthropogenic effects on local diversity of forest trees. </w:t>
      </w:r>
      <w:r w:rsidRPr="00993891">
        <w:rPr>
          <w:rFonts w:ascii="Times New Roman" w:eastAsia="Calibri" w:hAnsi="Times New Roman"/>
          <w:i/>
          <w:iCs/>
          <w:color w:val="000000"/>
          <w:lang w:bidi="ar-SA"/>
        </w:rPr>
        <w:t>Forest Ecology and Management</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255</w:t>
      </w:r>
      <w:r w:rsidRPr="00993891">
        <w:rPr>
          <w:rFonts w:ascii="Times New Roman" w:eastAsia="Calibri" w:hAnsi="Times New Roman"/>
          <w:color w:val="000000"/>
          <w:lang w:bidi="ar-SA"/>
        </w:rPr>
        <w:t>(5), 1379–1387. https://doi.org/10.1016/j.foreco.2007.10.052</w:t>
      </w:r>
    </w:p>
    <w:p w14:paraId="2F31744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Pourtaherian, P., &amp; Jaeger, J. A. G. (2022). How effective are greenbelts at mitigating urban sprawl? A comparative study of 60 European cities. </w:t>
      </w:r>
      <w:r w:rsidRPr="00993891">
        <w:rPr>
          <w:rFonts w:ascii="Times New Roman" w:eastAsia="Calibri" w:hAnsi="Times New Roman"/>
          <w:i/>
          <w:iCs/>
          <w:color w:val="000000"/>
          <w:lang w:bidi="ar-SA"/>
        </w:rPr>
        <w:t>Landscape and Urban Planning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227</w:t>
      </w:r>
      <w:r w:rsidRPr="00993891">
        <w:rPr>
          <w:rFonts w:ascii="Times New Roman" w:eastAsia="Calibri" w:hAnsi="Times New Roman"/>
          <w:color w:val="000000"/>
          <w:lang w:bidi="ar-SA"/>
        </w:rPr>
        <w:t>, 104532. https://doi.org/10.1016/j.landurbplan.2022.104532</w:t>
      </w:r>
    </w:p>
    <w:p w14:paraId="1747139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Rikimaru, A., Roy, P. S., &amp; Miyatake, S. (2002). </w:t>
      </w:r>
      <w:r w:rsidRPr="00993891">
        <w:rPr>
          <w:rFonts w:ascii="Times New Roman" w:eastAsia="Calibri" w:hAnsi="Times New Roman"/>
          <w:i/>
          <w:iCs/>
          <w:color w:val="000000"/>
          <w:lang w:bidi="ar-SA"/>
        </w:rPr>
        <w:t>Tropical forest cover density mapping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43</w:t>
      </w:r>
      <w:r w:rsidRPr="00993891">
        <w:rPr>
          <w:rFonts w:ascii="Times New Roman" w:eastAsia="Calibri" w:hAnsi="Times New Roman"/>
          <w:color w:val="000000"/>
          <w:lang w:bidi="ar-SA"/>
        </w:rPr>
        <w:t>, 39–49. https://api.semanticscholar.org/CorpusID:88163464</w:t>
      </w:r>
    </w:p>
    <w:p w14:paraId="1CC7B0D2"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Schneider, A., &amp; Mertes, C. M. (2014). Expansion and growth in Chinese cities, 1978–2010. </w:t>
      </w:r>
      <w:r w:rsidRPr="00993891">
        <w:rPr>
          <w:rFonts w:ascii="Times New Roman" w:eastAsia="Calibri" w:hAnsi="Times New Roman"/>
          <w:i/>
          <w:iCs/>
          <w:color w:val="000000"/>
          <w:lang w:bidi="ar-SA"/>
        </w:rPr>
        <w:t>Environmental Research Letters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9</w:t>
      </w:r>
      <w:r w:rsidRPr="00993891">
        <w:rPr>
          <w:rFonts w:ascii="Times New Roman" w:eastAsia="Calibri" w:hAnsi="Times New Roman"/>
          <w:color w:val="000000"/>
          <w:lang w:bidi="ar-SA"/>
        </w:rPr>
        <w:t>(2), 024008. https://doi.org/10.1088/1748-9326/9/2/024008</w:t>
      </w:r>
    </w:p>
    <w:p w14:paraId="33D732C5"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Seto, K. C., Guneralp, B., &amp; Hutyra, L. R. (2012). Global forecasts of urban expansion to 2030 and direct impacts on biodiversity and carbon pools. </w:t>
      </w:r>
      <w:r w:rsidRPr="00993891">
        <w:rPr>
          <w:rFonts w:ascii="Times New Roman" w:eastAsia="Calibri" w:hAnsi="Times New Roman"/>
          <w:i/>
          <w:iCs/>
          <w:color w:val="000000"/>
          <w:lang w:bidi="ar-SA"/>
        </w:rPr>
        <w:t>Proceedings of the National Academy of Sciences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109</w:t>
      </w:r>
      <w:r w:rsidRPr="00993891">
        <w:rPr>
          <w:rFonts w:ascii="Times New Roman" w:eastAsia="Calibri" w:hAnsi="Times New Roman"/>
          <w:color w:val="000000"/>
          <w:lang w:bidi="ar-SA"/>
        </w:rPr>
        <w:t>(40), 16083–16088. https://doi.org/10.1073/pnas.1211658109</w:t>
      </w:r>
    </w:p>
    <w:p w14:paraId="61C3782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Seto, K., Fragkias, M., Guneralp, B., &amp; Reilly, M. (2011). A Meta-Analysis of Global Urban Land Expansion. </w:t>
      </w:r>
      <w:r w:rsidRPr="00993891">
        <w:rPr>
          <w:rFonts w:ascii="Times New Roman" w:eastAsia="Calibri" w:hAnsi="Times New Roman"/>
          <w:i/>
          <w:iCs/>
          <w:color w:val="000000"/>
          <w:lang w:bidi="ar-SA"/>
        </w:rPr>
        <w:t>PLOS ONE</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6</w:t>
      </w:r>
      <w:r w:rsidRPr="00993891">
        <w:rPr>
          <w:rFonts w:ascii="Times New Roman" w:eastAsia="Calibri" w:hAnsi="Times New Roman"/>
          <w:color w:val="000000"/>
          <w:lang w:bidi="ar-SA"/>
        </w:rPr>
        <w:t>(8). https://doi.org/10.1371/journal.pone.0023777</w:t>
      </w:r>
    </w:p>
    <w:p w14:paraId="22E60A33"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Shin, H. B. (2016). Economic transition and speculative urbanisation in China: Gentrification versus dispossession. </w:t>
      </w:r>
      <w:r w:rsidRPr="00993891">
        <w:rPr>
          <w:rFonts w:ascii="Times New Roman" w:eastAsia="Calibri" w:hAnsi="Times New Roman"/>
          <w:i/>
          <w:iCs/>
          <w:color w:val="000000"/>
          <w:lang w:bidi="ar-SA"/>
        </w:rPr>
        <w:t>Urban Studies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53</w:t>
      </w:r>
      <w:r w:rsidRPr="00993891">
        <w:rPr>
          <w:rFonts w:ascii="Times New Roman" w:eastAsia="Calibri" w:hAnsi="Times New Roman"/>
          <w:color w:val="000000"/>
          <w:lang w:bidi="ar-SA"/>
        </w:rPr>
        <w:t>(3), 471–489. https://doi.org/10.1177/0042098015597111</w:t>
      </w:r>
    </w:p>
    <w:p w14:paraId="6E2214AD"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Shores, A., Johnson, H., Fugate, D., &amp; Laituri, M. (2019). Networks of need: A geospatial analysis of secondary cities. </w:t>
      </w:r>
      <w:r w:rsidRPr="00993891">
        <w:rPr>
          <w:rFonts w:ascii="Times New Roman" w:eastAsia="Calibri" w:hAnsi="Times New Roman"/>
          <w:i/>
          <w:iCs/>
          <w:color w:val="000000"/>
          <w:lang w:bidi="ar-SA"/>
        </w:rPr>
        <w:t>Applied Network Science</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w:t>
      </w:r>
      <w:r w:rsidRPr="00993891">
        <w:rPr>
          <w:rFonts w:ascii="Times New Roman" w:eastAsia="Calibri" w:hAnsi="Times New Roman"/>
          <w:color w:val="000000"/>
          <w:lang w:bidi="ar-SA"/>
        </w:rPr>
        <w:t>(1), 109. https://doi.org/10.1007/s41109-019-0229-x</w:t>
      </w:r>
    </w:p>
    <w:p w14:paraId="2C801BFF"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Song, Y., Chen, B., &amp; Kwan, M.-P. (2020). How does urban expansion impact people’s exposure to green environments? A comparative study of 290 Chinese cities. </w:t>
      </w:r>
      <w:r w:rsidRPr="00993891">
        <w:rPr>
          <w:rFonts w:ascii="Times New Roman" w:eastAsia="Calibri" w:hAnsi="Times New Roman"/>
          <w:i/>
          <w:iCs/>
          <w:color w:val="000000"/>
          <w:lang w:bidi="ar-SA"/>
        </w:rPr>
        <w:t>Journal of Cleaner Production</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246</w:t>
      </w:r>
      <w:r w:rsidRPr="00993891">
        <w:rPr>
          <w:rFonts w:ascii="Times New Roman" w:eastAsia="Calibri" w:hAnsi="Times New Roman"/>
          <w:color w:val="000000"/>
          <w:lang w:bidi="ar-SA"/>
        </w:rPr>
        <w:t>, 119018. https://doi.org/10.1016/j.jclepro.2019.119018</w:t>
      </w:r>
    </w:p>
    <w:p w14:paraId="49BED5E2"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val="fr-FR" w:bidi="ar-SA"/>
        </w:rPr>
        <w:t xml:space="preserve">Song, Y., &amp; Knaap, G.-J. (2004). </w:t>
      </w:r>
      <w:r w:rsidRPr="00993891">
        <w:rPr>
          <w:rFonts w:ascii="Times New Roman" w:eastAsia="Calibri" w:hAnsi="Times New Roman"/>
          <w:color w:val="000000"/>
          <w:lang w:bidi="ar-SA"/>
        </w:rPr>
        <w:t xml:space="preserve">Measuring Urban Form: Is Portland Winning the War on Sprawl? </w:t>
      </w:r>
      <w:r w:rsidRPr="00993891">
        <w:rPr>
          <w:rFonts w:ascii="Times New Roman" w:eastAsia="Calibri" w:hAnsi="Times New Roman"/>
          <w:i/>
          <w:iCs/>
          <w:color w:val="000000"/>
          <w:lang w:bidi="ar-SA"/>
        </w:rPr>
        <w:t>Journal of the American Planning Association</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70</w:t>
      </w:r>
      <w:r w:rsidRPr="00993891">
        <w:rPr>
          <w:rFonts w:ascii="Times New Roman" w:eastAsia="Calibri" w:hAnsi="Times New Roman"/>
          <w:color w:val="000000"/>
          <w:lang w:bidi="ar-SA"/>
        </w:rPr>
        <w:t>(2), 210–225. https://doi.org/10.1080/01944360408976371</w:t>
      </w:r>
    </w:p>
    <w:p w14:paraId="39202D8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Tsai, Y.-H. (2005). Quantifying Urban Form: Compactness versus “Sprawl.” </w:t>
      </w:r>
      <w:r w:rsidRPr="00993891">
        <w:rPr>
          <w:rFonts w:ascii="Times New Roman" w:eastAsia="Calibri" w:hAnsi="Times New Roman"/>
          <w:i/>
          <w:iCs/>
          <w:color w:val="000000"/>
          <w:lang w:bidi="ar-SA"/>
        </w:rPr>
        <w:t>Urban Studies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42</w:t>
      </w:r>
      <w:r w:rsidRPr="00993891">
        <w:rPr>
          <w:rFonts w:ascii="Times New Roman" w:eastAsia="Calibri" w:hAnsi="Times New Roman"/>
          <w:color w:val="000000"/>
          <w:lang w:bidi="ar-SA"/>
        </w:rPr>
        <w:t>(1), 141–161. https://doi.org/10.1080/0042098042000309748</w:t>
      </w:r>
    </w:p>
    <w:p w14:paraId="228023A9"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lastRenderedPageBreak/>
        <w:t xml:space="preserve">Tu, Y., Chen, B., Yu, L., Xin, Q., Gong, P., &amp; Xu, B. (2021). How does urban expansion interact with cropland loss? A comparison of 14 Chinese cities from 1980 to 2015. </w:t>
      </w:r>
      <w:r w:rsidRPr="00993891">
        <w:rPr>
          <w:rFonts w:ascii="Times New Roman" w:eastAsia="Calibri" w:hAnsi="Times New Roman"/>
          <w:i/>
          <w:iCs/>
          <w:color w:val="000000"/>
          <w:lang w:bidi="ar-SA"/>
        </w:rPr>
        <w:t>Landscape Ecology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36</w:t>
      </w:r>
      <w:r w:rsidRPr="00993891">
        <w:rPr>
          <w:rFonts w:ascii="Times New Roman" w:eastAsia="Calibri" w:hAnsi="Times New Roman"/>
          <w:color w:val="000000"/>
          <w:lang w:bidi="ar-SA"/>
        </w:rPr>
        <w:t>(1), 243–263. https://doi.org/10.1007/s10980-020-01137-y</w:t>
      </w:r>
    </w:p>
    <w:p w14:paraId="28E4CF08"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Tucker, C. J. (1979). Red and photographic infrared linear combinations for monitoring vegetation. </w:t>
      </w:r>
      <w:r w:rsidRPr="00993891">
        <w:rPr>
          <w:rFonts w:ascii="Times New Roman" w:eastAsia="Calibri" w:hAnsi="Times New Roman"/>
          <w:i/>
          <w:iCs/>
          <w:color w:val="000000"/>
          <w:lang w:bidi="ar-SA"/>
        </w:rPr>
        <w:t>Remote Sensing of Environment</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8</w:t>
      </w:r>
      <w:r w:rsidRPr="00993891">
        <w:rPr>
          <w:rFonts w:ascii="Times New Roman" w:eastAsia="Calibri" w:hAnsi="Times New Roman"/>
          <w:color w:val="000000"/>
          <w:lang w:bidi="ar-SA"/>
        </w:rPr>
        <w:t>(2), 127–150. https://doi.org/10.1016/0034-4257(79)90013-0</w:t>
      </w:r>
    </w:p>
    <w:p w14:paraId="6CE72811"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Tulbure, Mirela. G., Hostert, P., Kuemmerle, T., &amp; Broich, M. (2022). </w:t>
      </w:r>
      <w:r w:rsidRPr="00993891">
        <w:rPr>
          <w:rFonts w:ascii="Times New Roman" w:eastAsia="Calibri" w:hAnsi="Times New Roman"/>
          <w:i/>
          <w:iCs/>
          <w:color w:val="000000"/>
          <w:lang w:bidi="ar-SA"/>
        </w:rPr>
        <w:t>Regional matters: On the usefulness of regional land-cover datasets in times of global change</w:t>
      </w:r>
      <w:r w:rsidRPr="00993891">
        <w:rPr>
          <w:rFonts w:ascii="Times New Roman" w:eastAsia="Calibri" w:hAnsi="Times New Roman"/>
          <w:color w:val="000000"/>
          <w:lang w:bidi="ar-SA"/>
        </w:rPr>
        <w:t>.</w:t>
      </w:r>
    </w:p>
    <w:p w14:paraId="7AF8FCE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val="es-ES" w:bidi="ar-SA"/>
        </w:rPr>
        <w:t xml:space="preserve">UN-HABITAT. (2017). </w:t>
      </w:r>
      <w:r w:rsidRPr="00993891">
        <w:rPr>
          <w:rFonts w:ascii="Times New Roman" w:eastAsia="Calibri" w:hAnsi="Times New Roman"/>
          <w:i/>
          <w:iCs/>
          <w:color w:val="000000"/>
          <w:lang w:val="es-ES" w:bidi="ar-SA"/>
        </w:rPr>
        <w:t>National Urban Policy: Sub Saharan Africa Report</w:t>
      </w:r>
      <w:r w:rsidRPr="00993891">
        <w:rPr>
          <w:rFonts w:ascii="Times New Roman" w:eastAsia="Calibri" w:hAnsi="Times New Roman"/>
          <w:color w:val="000000"/>
          <w:lang w:val="es-ES" w:bidi="ar-SA"/>
        </w:rPr>
        <w:t xml:space="preserve"> (HS/027/17E). </w:t>
      </w:r>
      <w:r w:rsidRPr="00993891">
        <w:rPr>
          <w:rFonts w:ascii="Times New Roman" w:eastAsia="Calibri" w:hAnsi="Times New Roman"/>
          <w:color w:val="000000"/>
          <w:lang w:bidi="ar-SA"/>
        </w:rPr>
        <w:t>United Nations Human Settlements Programme.</w:t>
      </w:r>
    </w:p>
    <w:p w14:paraId="3D0BE78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Walther, O. J. (2021). </w:t>
      </w:r>
      <w:r w:rsidRPr="00993891">
        <w:rPr>
          <w:rFonts w:ascii="Times New Roman" w:eastAsia="Calibri" w:hAnsi="Times New Roman"/>
          <w:i/>
          <w:iCs/>
          <w:color w:val="000000"/>
          <w:lang w:bidi="ar-SA"/>
        </w:rPr>
        <w:t>Urbanisation and demography in North and West Africa, 1950-2020</w:t>
      </w:r>
      <w:r w:rsidRPr="00993891">
        <w:rPr>
          <w:rFonts w:ascii="Times New Roman" w:eastAsia="Calibri" w:hAnsi="Times New Roman"/>
          <w:color w:val="000000"/>
          <w:lang w:bidi="ar-SA"/>
        </w:rPr>
        <w:t xml:space="preserve"> (West African Papers 33; West African Papers, Vol. 33). https://doi.org/10.1787/4fa52e9c-en</w:t>
      </w:r>
    </w:p>
    <w:p w14:paraId="0CBE7213"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Wang, P., Huang, C., Brown de Colstoun, E. C., Tilton, J. C., &amp; Tan, B. (2017). </w:t>
      </w:r>
      <w:r w:rsidRPr="00993891">
        <w:rPr>
          <w:rFonts w:ascii="Times New Roman" w:eastAsia="Calibri" w:hAnsi="Times New Roman"/>
          <w:i/>
          <w:iCs/>
          <w:color w:val="000000"/>
          <w:lang w:bidi="ar-SA"/>
        </w:rPr>
        <w:t>Global Human Built-up And Settlement Extent (HBASE) Dataset From Landsat</w:t>
      </w:r>
      <w:r w:rsidRPr="00993891">
        <w:rPr>
          <w:rFonts w:ascii="Times New Roman" w:eastAsia="Calibri" w:hAnsi="Times New Roman"/>
          <w:color w:val="000000"/>
          <w:lang w:bidi="ar-SA"/>
        </w:rPr>
        <w:t>. NASA Socioeconomic Data and Applications Center (SEDAC). https://doi.org/10.7927/H4DN434S</w:t>
      </w:r>
    </w:p>
    <w:p w14:paraId="012B0DAF"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Wanyama, D., Wimberly, M. C., &amp; Mensah, F. (2023). Patterns and drivers of disturbance in tropical forest reserves of southern Ghana. </w:t>
      </w:r>
      <w:r w:rsidRPr="00993891">
        <w:rPr>
          <w:rFonts w:ascii="Times New Roman" w:eastAsia="Calibri" w:hAnsi="Times New Roman"/>
          <w:i/>
          <w:iCs/>
          <w:color w:val="000000"/>
          <w:lang w:bidi="ar-SA"/>
        </w:rPr>
        <w:t>Environmental Research Letters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18</w:t>
      </w:r>
      <w:r w:rsidRPr="00993891">
        <w:rPr>
          <w:rFonts w:ascii="Times New Roman" w:eastAsia="Calibri" w:hAnsi="Times New Roman"/>
          <w:color w:val="000000"/>
          <w:lang w:bidi="ar-SA"/>
        </w:rPr>
        <w:t>(6), 064022. https://doi.org/10.1088/1748-9326/acd399</w:t>
      </w:r>
    </w:p>
    <w:p w14:paraId="6BB8B0B0"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Waqar, M. M., Mirza, J. F., Mumtaz, R., &amp; Hussain, E. (2012). </w:t>
      </w:r>
      <w:r w:rsidRPr="00993891">
        <w:rPr>
          <w:rFonts w:ascii="Times New Roman" w:eastAsia="Calibri" w:hAnsi="Times New Roman"/>
          <w:i/>
          <w:iCs/>
          <w:color w:val="000000"/>
          <w:lang w:bidi="ar-SA"/>
        </w:rPr>
        <w:t>Development of New Indices for Extraction of Built-Up Area &amp; Bare Soil from Landsat Data</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w:t>
      </w:r>
      <w:r w:rsidRPr="00993891">
        <w:rPr>
          <w:rFonts w:ascii="Times New Roman" w:eastAsia="Calibri" w:hAnsi="Times New Roman"/>
          <w:color w:val="000000"/>
          <w:lang w:bidi="ar-SA"/>
        </w:rPr>
        <w:t>(1), 6.</w:t>
      </w:r>
    </w:p>
    <w:p w14:paraId="275F4009"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Watson, V. (2014). African urban fantasies: Dreams or nightmares? </w:t>
      </w:r>
      <w:r w:rsidRPr="00993891">
        <w:rPr>
          <w:rFonts w:ascii="Times New Roman" w:eastAsia="Calibri" w:hAnsi="Times New Roman"/>
          <w:i/>
          <w:iCs/>
          <w:color w:val="000000"/>
          <w:lang w:bidi="ar-SA"/>
        </w:rPr>
        <w:t>Environment and Urbanization</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26</w:t>
      </w:r>
      <w:r w:rsidRPr="00993891">
        <w:rPr>
          <w:rFonts w:ascii="Times New Roman" w:eastAsia="Calibri" w:hAnsi="Times New Roman"/>
          <w:color w:val="000000"/>
          <w:lang w:bidi="ar-SA"/>
        </w:rPr>
        <w:t>(1), 215–231. https://doi.org/10.1177/0956247813513705</w:t>
      </w:r>
    </w:p>
    <w:p w14:paraId="0C284E19"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Wimberly, M. C., Dwomoh, F. K., Numata, I., Mensah, F., Amoako, J., Nekorchuk, D. M., &amp; McMahon, A. (2022). Historical trends of degradation, loss, and recovery in the tropical forest reserves of Ghana. </w:t>
      </w:r>
      <w:r w:rsidRPr="00993891">
        <w:rPr>
          <w:rFonts w:ascii="Times New Roman" w:eastAsia="Calibri" w:hAnsi="Times New Roman"/>
          <w:i/>
          <w:iCs/>
          <w:color w:val="000000"/>
          <w:lang w:bidi="ar-SA"/>
        </w:rPr>
        <w:t>International Journal of Digital Earth</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15</w:t>
      </w:r>
      <w:r w:rsidRPr="00993891">
        <w:rPr>
          <w:rFonts w:ascii="Times New Roman" w:eastAsia="Calibri" w:hAnsi="Times New Roman"/>
          <w:color w:val="000000"/>
          <w:lang w:bidi="ar-SA"/>
        </w:rPr>
        <w:t>(1), 30–51. https://doi.org/10.1080/17538947.2021.2012533</w:t>
      </w:r>
    </w:p>
    <w:p w14:paraId="0148CABC"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Wolff, E., Grippa, T., Forget, Y., Georganos, S., Vanhuysse, S., Shimoni, M., &amp; Linard, C. (2020). Diversity of urban growth patterns in Sub-Saharan Africa in the 1960–2010 period. </w:t>
      </w:r>
      <w:r w:rsidRPr="00993891">
        <w:rPr>
          <w:rFonts w:ascii="Times New Roman" w:eastAsia="Calibri" w:hAnsi="Times New Roman"/>
          <w:i/>
          <w:iCs/>
          <w:color w:val="000000"/>
          <w:lang w:bidi="ar-SA"/>
        </w:rPr>
        <w:t>African Geographical Review</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39</w:t>
      </w:r>
      <w:r w:rsidRPr="00993891">
        <w:rPr>
          <w:rFonts w:ascii="Times New Roman" w:eastAsia="Calibri" w:hAnsi="Times New Roman"/>
          <w:color w:val="000000"/>
          <w:lang w:bidi="ar-SA"/>
        </w:rPr>
        <w:t>(1), 45–57. https://doi.org/10.1080/19376812.2019.1579656</w:t>
      </w:r>
    </w:p>
    <w:p w14:paraId="609643DE"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Woo, M., &amp; Guldmann, J.-M. (2011). Impacts of Urban Containment Policies on the Spatial Structure of US Metropolitan Areas. </w:t>
      </w:r>
      <w:r w:rsidRPr="00993891">
        <w:rPr>
          <w:rFonts w:ascii="Times New Roman" w:eastAsia="Calibri" w:hAnsi="Times New Roman"/>
          <w:i/>
          <w:iCs/>
          <w:color w:val="000000"/>
          <w:lang w:bidi="ar-SA"/>
        </w:rPr>
        <w:t>Urban Studies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48</w:t>
      </w:r>
      <w:r w:rsidRPr="00993891">
        <w:rPr>
          <w:rFonts w:ascii="Times New Roman" w:eastAsia="Calibri" w:hAnsi="Times New Roman"/>
          <w:color w:val="000000"/>
          <w:lang w:bidi="ar-SA"/>
        </w:rPr>
        <w:t>(16), 3511–3536. https://www.jstor.org/stable/43082055</w:t>
      </w:r>
    </w:p>
    <w:p w14:paraId="7FB696FA"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lastRenderedPageBreak/>
        <w:t xml:space="preserve">Wu, J. (2014). Urban ecology and sustainability: The state-of-the-science and future directions. </w:t>
      </w:r>
      <w:r w:rsidRPr="00993891">
        <w:rPr>
          <w:rFonts w:ascii="Times New Roman" w:eastAsia="Calibri" w:hAnsi="Times New Roman"/>
          <w:i/>
          <w:iCs/>
          <w:color w:val="000000"/>
          <w:lang w:bidi="ar-SA"/>
        </w:rPr>
        <w:t>Landscape and Urban Planning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125</w:t>
      </w:r>
      <w:r w:rsidRPr="00993891">
        <w:rPr>
          <w:rFonts w:ascii="Times New Roman" w:eastAsia="Calibri" w:hAnsi="Times New Roman"/>
          <w:color w:val="000000"/>
          <w:lang w:bidi="ar-SA"/>
        </w:rPr>
        <w:t>, 209–221. https://doi.org/10.1016/j.landurbplan.2014.01.018</w:t>
      </w:r>
    </w:p>
    <w:p w14:paraId="1ACAFFBD"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Xu, G., Dong, T., Cobbinah, P. B., Jiao, L., Sumari, N. S., Chai, B., &amp; Liu, Y. (2019). Urban expansion and form changes across African cities with a global outlook: Spatiotemporal analysis of urban land densities. </w:t>
      </w:r>
      <w:r w:rsidRPr="00993891">
        <w:rPr>
          <w:rFonts w:ascii="Times New Roman" w:eastAsia="Calibri" w:hAnsi="Times New Roman"/>
          <w:i/>
          <w:iCs/>
          <w:color w:val="000000"/>
          <w:lang w:bidi="ar-SA"/>
        </w:rPr>
        <w:t>Journal of Cleaner Production</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224</w:t>
      </w:r>
      <w:r w:rsidRPr="00993891">
        <w:rPr>
          <w:rFonts w:ascii="Times New Roman" w:eastAsia="Calibri" w:hAnsi="Times New Roman"/>
          <w:color w:val="000000"/>
          <w:lang w:bidi="ar-SA"/>
        </w:rPr>
        <w:t>, 802–810. https://doi.org/10.1016/j.jclepro.2019.03.276</w:t>
      </w:r>
    </w:p>
    <w:p w14:paraId="78C1C681"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Yeboah, I. E. A., Arku, G., &amp; Maingi, J. K. (2021). Regimes of accumulation and the production of the built environment of Cantonments, Accra-Tema City-Region. </w:t>
      </w:r>
      <w:r w:rsidRPr="00993891">
        <w:rPr>
          <w:rFonts w:ascii="Times New Roman" w:eastAsia="Calibri" w:hAnsi="Times New Roman"/>
          <w:i/>
          <w:iCs/>
          <w:color w:val="000000"/>
          <w:lang w:bidi="ar-SA"/>
        </w:rPr>
        <w:t>GeoJournal</w:t>
      </w:r>
      <w:r w:rsidRPr="00993891">
        <w:rPr>
          <w:rFonts w:ascii="Times New Roman" w:eastAsia="Calibri" w:hAnsi="Times New Roman"/>
          <w:color w:val="000000"/>
          <w:lang w:bidi="ar-SA"/>
        </w:rPr>
        <w:t>. https://doi.org/10.1007/s10708-021-10469-4</w:t>
      </w:r>
    </w:p>
    <w:p w14:paraId="3CE942B1"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Yiran, G. A. B., Ablo, A. D., Asem, F. E., &amp; Owusu, G. (2020). Urban Sprawl in sub-Saharan Africa: A review of the literature in selected countries. </w:t>
      </w:r>
      <w:r w:rsidRPr="00993891">
        <w:rPr>
          <w:rFonts w:ascii="Times New Roman" w:eastAsia="Calibri" w:hAnsi="Times New Roman"/>
          <w:i/>
          <w:iCs/>
          <w:color w:val="000000"/>
          <w:lang w:bidi="ar-SA"/>
        </w:rPr>
        <w:t>Ghana Journal of Geography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12</w:t>
      </w:r>
      <w:r w:rsidRPr="00993891">
        <w:rPr>
          <w:rFonts w:ascii="Times New Roman" w:eastAsia="Calibri" w:hAnsi="Times New Roman"/>
          <w:color w:val="000000"/>
          <w:lang w:bidi="ar-SA"/>
        </w:rPr>
        <w:t>(1), 1–28. https://doi.org/10.4314/gjg.v12i1.1</w:t>
      </w:r>
    </w:p>
    <w:p w14:paraId="5BB055A5"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Zha, Y., Gao, J., &amp; Ni, S. (2003). Use of normalized difference built-up index in automatically mapping urban areas from TM imagery. </w:t>
      </w:r>
      <w:r w:rsidRPr="00993891">
        <w:rPr>
          <w:rFonts w:ascii="Times New Roman" w:eastAsia="Calibri" w:hAnsi="Times New Roman"/>
          <w:i/>
          <w:iCs/>
          <w:color w:val="000000"/>
          <w:lang w:bidi="ar-SA"/>
        </w:rPr>
        <w:t>International Journal of Remote Sensing</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24</w:t>
      </w:r>
      <w:r w:rsidRPr="00993891">
        <w:rPr>
          <w:rFonts w:ascii="Times New Roman" w:eastAsia="Calibri" w:hAnsi="Times New Roman"/>
          <w:color w:val="000000"/>
          <w:lang w:bidi="ar-SA"/>
        </w:rPr>
        <w:t>(3), 583–594. https://doi.org/10.1080/01431160304987</w:t>
      </w:r>
    </w:p>
    <w:p w14:paraId="16D27083"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Zhang, S., Yang, K., Li, M., Ma, Y., &amp; Sun, M. (2018). Combinational Biophysical Composition Index (CBCI) for Effective Mapping Biophysical Composition in Urban Areas. </w:t>
      </w:r>
      <w:r w:rsidRPr="00993891">
        <w:rPr>
          <w:rFonts w:ascii="Times New Roman" w:eastAsia="Calibri" w:hAnsi="Times New Roman"/>
          <w:i/>
          <w:iCs/>
          <w:color w:val="000000"/>
          <w:lang w:bidi="ar-SA"/>
        </w:rPr>
        <w:t>IEEE Access</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6</w:t>
      </w:r>
      <w:r w:rsidRPr="00993891">
        <w:rPr>
          <w:rFonts w:ascii="Times New Roman" w:eastAsia="Calibri" w:hAnsi="Times New Roman"/>
          <w:color w:val="000000"/>
          <w:lang w:bidi="ar-SA"/>
        </w:rPr>
        <w:t>, 41224–41237. https://doi.org/10.1109/ACCESS.2018.2857405</w:t>
      </w:r>
    </w:p>
    <w:p w14:paraId="223315B4"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Zhao, S., Zhou, D., Zhu, C., Sun, Y., Wu, W., &amp; Liu, S. (2015). Spatial and Temporal Dimensions of Urban Expansion in China. </w:t>
      </w:r>
      <w:r w:rsidRPr="00993891">
        <w:rPr>
          <w:rFonts w:ascii="Times New Roman" w:eastAsia="Calibri" w:hAnsi="Times New Roman"/>
          <w:i/>
          <w:iCs/>
          <w:color w:val="000000"/>
          <w:lang w:bidi="ar-SA"/>
        </w:rPr>
        <w:t>Environmental Science &amp; Technology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49</w:t>
      </w:r>
      <w:r w:rsidRPr="00993891">
        <w:rPr>
          <w:rFonts w:ascii="Times New Roman" w:eastAsia="Calibri" w:hAnsi="Times New Roman"/>
          <w:color w:val="000000"/>
          <w:lang w:bidi="ar-SA"/>
        </w:rPr>
        <w:t>(16), 9600–9609. https://doi.org/10.1021/acs.est.5b00065</w:t>
      </w:r>
    </w:p>
    <w:p w14:paraId="1CD45224" w14:textId="77777777" w:rsidR="00993891" w:rsidRPr="00993891"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Zhou, W., Yu, W., Qian, Y., Han, L., Pickett, S. T. A., Wang, J., Li, W., &amp; Ouyang, Z. (2022). Beyond city expansion: Multi-scale environmental impacts of urban megaregion formation in China. </w:t>
      </w:r>
      <w:r w:rsidRPr="00993891">
        <w:rPr>
          <w:rFonts w:ascii="Times New Roman" w:eastAsia="Calibri" w:hAnsi="Times New Roman"/>
          <w:i/>
          <w:iCs/>
          <w:color w:val="000000"/>
          <w:lang w:bidi="ar-SA"/>
        </w:rPr>
        <w:t>National Science Review</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9</w:t>
      </w:r>
      <w:r w:rsidRPr="00993891">
        <w:rPr>
          <w:rFonts w:ascii="Times New Roman" w:eastAsia="Calibri" w:hAnsi="Times New Roman"/>
          <w:color w:val="000000"/>
          <w:lang w:bidi="ar-SA"/>
        </w:rPr>
        <w:t>(1). https://doi.org/10.1093/nsr/nwab107</w:t>
      </w:r>
    </w:p>
    <w:p w14:paraId="78748D52" w14:textId="609475AD" w:rsidR="00C1310A" w:rsidRDefault="00993891" w:rsidP="009112A5">
      <w:pPr>
        <w:spacing w:before="240" w:line="240" w:lineRule="auto"/>
        <w:ind w:left="720" w:hanging="720"/>
        <w:rPr>
          <w:rFonts w:ascii="Times New Roman" w:eastAsia="Calibri" w:hAnsi="Times New Roman"/>
          <w:color w:val="000000"/>
          <w:lang w:bidi="ar-SA"/>
        </w:rPr>
      </w:pPr>
      <w:r w:rsidRPr="00993891">
        <w:rPr>
          <w:rFonts w:ascii="Times New Roman" w:eastAsia="Calibri" w:hAnsi="Times New Roman"/>
          <w:color w:val="000000"/>
          <w:lang w:bidi="ar-SA"/>
        </w:rPr>
        <w:t xml:space="preserve">Zimmer, A., Guido, Z., Tuholske, C., Pakalniskis, A., Lopus, S., Caylor, K., &amp; Evans, T. (2020). Dynamics of population growth in secondary cities across southern Africa. </w:t>
      </w:r>
      <w:r w:rsidRPr="00993891">
        <w:rPr>
          <w:rFonts w:ascii="Times New Roman" w:eastAsia="Calibri" w:hAnsi="Times New Roman"/>
          <w:i/>
          <w:iCs/>
          <w:color w:val="000000"/>
          <w:lang w:bidi="ar-SA"/>
        </w:rPr>
        <w:t>Landscape Ecology</w:t>
      </w:r>
      <w:r w:rsidRPr="00993891">
        <w:rPr>
          <w:rFonts w:ascii="Times New Roman" w:eastAsia="Calibri" w:hAnsi="Times New Roman"/>
          <w:color w:val="000000"/>
          <w:lang w:bidi="ar-SA"/>
        </w:rPr>
        <w:t xml:space="preserve">, </w:t>
      </w:r>
      <w:r w:rsidRPr="00993891">
        <w:rPr>
          <w:rFonts w:ascii="Times New Roman" w:eastAsia="Calibri" w:hAnsi="Times New Roman"/>
          <w:i/>
          <w:iCs/>
          <w:color w:val="000000"/>
          <w:lang w:bidi="ar-SA"/>
        </w:rPr>
        <w:t>35</w:t>
      </w:r>
      <w:r w:rsidRPr="00993891">
        <w:rPr>
          <w:rFonts w:ascii="Times New Roman" w:eastAsia="Calibri" w:hAnsi="Times New Roman"/>
          <w:color w:val="000000"/>
          <w:lang w:bidi="ar-SA"/>
        </w:rPr>
        <w:t>(11), 2501–2516. https://doi.org/10.1007/s10980-020-01086-6</w:t>
      </w:r>
      <w:r w:rsidRPr="00993891">
        <w:rPr>
          <w:rFonts w:ascii="Times New Roman" w:eastAsia="Calibri" w:hAnsi="Times New Roman"/>
          <w:color w:val="000000"/>
          <w:lang w:bidi="ar-SA"/>
        </w:rPr>
        <w:fldChar w:fldCharType="end"/>
      </w:r>
    </w:p>
    <w:p w14:paraId="44937F4D" w14:textId="465BF043" w:rsidR="002B2DB2" w:rsidRDefault="002B2DB2">
      <w:pPr>
        <w:spacing w:line="240" w:lineRule="auto"/>
        <w:rPr>
          <w:rFonts w:ascii="Times New Roman" w:eastAsia="Aptos" w:hAnsi="Times New Roman"/>
          <w:b/>
          <w:color w:val="0D0D0D"/>
          <w:lang w:bidi="ar-SA"/>
          <w14:ligatures w14:val="standardContextual"/>
        </w:rPr>
      </w:pPr>
      <w:r>
        <w:rPr>
          <w:rFonts w:ascii="Times New Roman" w:eastAsia="Aptos" w:hAnsi="Times New Roman"/>
          <w:b/>
          <w:color w:val="0D0D0D"/>
          <w:lang w:bidi="ar-SA"/>
          <w14:ligatures w14:val="standardContextual"/>
        </w:rPr>
        <w:br w:type="page"/>
      </w:r>
    </w:p>
    <w:p w14:paraId="6807599B" w14:textId="3F68374B" w:rsidR="00103457" w:rsidRPr="00103457" w:rsidRDefault="00103457" w:rsidP="002B23DE">
      <w:pPr>
        <w:pStyle w:val="Heading1"/>
        <w:rPr>
          <w:color w:val="0D0D0D"/>
        </w:rPr>
      </w:pPr>
      <w:bookmarkStart w:id="78" w:name="_Toc172288727"/>
      <w:r w:rsidRPr="00103457">
        <w:lastRenderedPageBreak/>
        <w:t>C</w:t>
      </w:r>
      <w:r w:rsidR="008B3D78">
        <w:t xml:space="preserve">hapter </w:t>
      </w:r>
      <w:r w:rsidR="00E92161">
        <w:t>3</w:t>
      </w:r>
      <w:r w:rsidR="00590F94">
        <w:t xml:space="preserve">: </w:t>
      </w:r>
      <w:r w:rsidRPr="00103457">
        <w:t xml:space="preserve">Understanding </w:t>
      </w:r>
      <w:r w:rsidR="006671E2">
        <w:t>U</w:t>
      </w:r>
      <w:r w:rsidRPr="00103457">
        <w:t xml:space="preserve">rban </w:t>
      </w:r>
      <w:r w:rsidR="006671E2">
        <w:t>E</w:t>
      </w:r>
      <w:r w:rsidRPr="00103457">
        <w:t xml:space="preserve">xpansion </w:t>
      </w:r>
      <w:r w:rsidR="006671E2">
        <w:t>A</w:t>
      </w:r>
      <w:r w:rsidRPr="00103457">
        <w:t xml:space="preserve">cross </w:t>
      </w:r>
      <w:r w:rsidR="006671E2">
        <w:t>P</w:t>
      </w:r>
      <w:r w:rsidRPr="00103457">
        <w:t xml:space="preserve">rimary and </w:t>
      </w:r>
      <w:r w:rsidR="006671E2">
        <w:t>S</w:t>
      </w:r>
      <w:r w:rsidRPr="00103457">
        <w:t xml:space="preserve">econdary </w:t>
      </w:r>
      <w:r w:rsidR="006671E2">
        <w:t>C</w:t>
      </w:r>
      <w:r w:rsidRPr="00103457">
        <w:t>ities in Ghana</w:t>
      </w:r>
      <w:bookmarkEnd w:id="78"/>
    </w:p>
    <w:p w14:paraId="7D0584A5" w14:textId="77777777" w:rsidR="00103457" w:rsidRPr="00103457" w:rsidRDefault="00103457" w:rsidP="00103457">
      <w:pPr>
        <w:spacing w:after="160" w:line="259" w:lineRule="auto"/>
        <w:rPr>
          <w:rFonts w:ascii="Aptos" w:eastAsia="Aptos" w:hAnsi="Aptos"/>
          <w:sz w:val="22"/>
          <w:szCs w:val="22"/>
          <w:lang w:bidi="ar-SA"/>
          <w14:ligatures w14:val="standardContextual"/>
        </w:rPr>
      </w:pPr>
    </w:p>
    <w:p w14:paraId="57BE9903"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4600F7A8"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2E29D3A1"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15A89B09"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0050700E"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28E77D03"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53B3B135"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2FA233AB"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7CA4F2CC"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5F03677B"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20A5BEC4"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119419F5"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79B47AAE"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1BD36BA3"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18D4FA99"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3D9E83C4"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0531DB49" w14:textId="77777777" w:rsidR="00103457" w:rsidRDefault="00103457" w:rsidP="00103457">
      <w:pPr>
        <w:spacing w:line="259" w:lineRule="auto"/>
        <w:jc w:val="both"/>
        <w:rPr>
          <w:rFonts w:ascii="Times New Roman" w:eastAsia="Aptos" w:hAnsi="Times New Roman"/>
          <w:bCs/>
          <w:color w:val="0D0D0D"/>
          <w:lang w:bidi="ar-SA"/>
          <w14:ligatures w14:val="standardContextual"/>
        </w:rPr>
      </w:pPr>
    </w:p>
    <w:p w14:paraId="3912E0BE"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11C8BA83"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33A562D4"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5AA1228B"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7681F1FA"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4023586A"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54E283BA"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22945651"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7B4A0168"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6350AADC"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26CEC474"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48081AE3" w14:textId="77777777" w:rsidR="00C2706D" w:rsidRDefault="00C2706D" w:rsidP="00103457">
      <w:pPr>
        <w:spacing w:line="259" w:lineRule="auto"/>
        <w:jc w:val="both"/>
        <w:rPr>
          <w:rFonts w:ascii="Times New Roman" w:eastAsia="Aptos" w:hAnsi="Times New Roman"/>
          <w:bCs/>
          <w:color w:val="0D0D0D"/>
          <w:lang w:bidi="ar-SA"/>
          <w14:ligatures w14:val="standardContextual"/>
        </w:rPr>
      </w:pPr>
    </w:p>
    <w:p w14:paraId="61B55A15" w14:textId="77777777" w:rsidR="00C2706D" w:rsidRPr="00103457" w:rsidRDefault="00C2706D" w:rsidP="00103457">
      <w:pPr>
        <w:spacing w:line="259" w:lineRule="auto"/>
        <w:jc w:val="both"/>
        <w:rPr>
          <w:rFonts w:ascii="Times New Roman" w:eastAsia="Aptos" w:hAnsi="Times New Roman"/>
          <w:bCs/>
          <w:color w:val="0D0D0D"/>
          <w:lang w:bidi="ar-SA"/>
          <w14:ligatures w14:val="standardContextual"/>
        </w:rPr>
      </w:pPr>
    </w:p>
    <w:p w14:paraId="64B63444"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4676E23B" w14:textId="77777777" w:rsidR="00103457" w:rsidRPr="00103457" w:rsidRDefault="00103457" w:rsidP="00103457">
      <w:pPr>
        <w:spacing w:line="259" w:lineRule="auto"/>
        <w:jc w:val="both"/>
        <w:rPr>
          <w:rFonts w:ascii="Times New Roman" w:eastAsia="Aptos" w:hAnsi="Times New Roman"/>
          <w:bCs/>
          <w:color w:val="0D0D0D"/>
          <w:lang w:bidi="ar-SA"/>
          <w14:ligatures w14:val="standardContextual"/>
        </w:rPr>
      </w:pPr>
    </w:p>
    <w:p w14:paraId="59D1C607" w14:textId="114A9282" w:rsidR="00103457" w:rsidRDefault="00103457" w:rsidP="00103457">
      <w:pPr>
        <w:spacing w:line="240" w:lineRule="auto"/>
        <w:rPr>
          <w:rFonts w:ascii="Times New Roman" w:eastAsia="Aptos" w:hAnsi="Times New Roman"/>
          <w:lang w:bidi="ar-SA"/>
          <w14:ligatures w14:val="standardContextual"/>
        </w:rPr>
      </w:pPr>
      <w:r w:rsidRPr="00103457">
        <w:rPr>
          <w:rFonts w:ascii="Times New Roman" w:eastAsia="Aptos" w:hAnsi="Times New Roman"/>
          <w:bCs/>
          <w:color w:val="0D0D0D"/>
          <w:lang w:bidi="ar-SA"/>
          <w14:ligatures w14:val="standardContextual"/>
        </w:rPr>
        <w:t xml:space="preserve">Keywords: </w:t>
      </w:r>
      <w:r w:rsidRPr="00103457">
        <w:rPr>
          <w:rFonts w:ascii="Times New Roman" w:eastAsia="Aptos" w:hAnsi="Times New Roman"/>
          <w:lang w:bidi="ar-SA"/>
          <w14:ligatures w14:val="standardContextual"/>
        </w:rPr>
        <w:t>Urban expansion, Sprawl, Infill, Secondary cities</w:t>
      </w:r>
    </w:p>
    <w:p w14:paraId="4F223F1C" w14:textId="77777777" w:rsidR="00C2706D" w:rsidRDefault="00C2706D" w:rsidP="00103457">
      <w:pPr>
        <w:spacing w:line="240" w:lineRule="auto"/>
        <w:rPr>
          <w:rFonts w:ascii="Times New Roman" w:eastAsia="Aptos" w:hAnsi="Times New Roman"/>
          <w:lang w:bidi="ar-SA"/>
          <w14:ligatures w14:val="standardContextual"/>
        </w:rPr>
      </w:pPr>
    </w:p>
    <w:p w14:paraId="64250F7C" w14:textId="77777777" w:rsidR="00C2706D" w:rsidRDefault="00C2706D" w:rsidP="00103457">
      <w:pPr>
        <w:spacing w:line="240" w:lineRule="auto"/>
        <w:rPr>
          <w:rFonts w:ascii="Times New Roman" w:eastAsia="Aptos" w:hAnsi="Times New Roman"/>
          <w:lang w:bidi="ar-SA"/>
          <w14:ligatures w14:val="standardContextual"/>
        </w:rPr>
      </w:pPr>
    </w:p>
    <w:p w14:paraId="4EC60B60" w14:textId="77777777" w:rsidR="00C2706D" w:rsidRDefault="00C2706D" w:rsidP="00103457">
      <w:pPr>
        <w:spacing w:line="240" w:lineRule="auto"/>
        <w:rPr>
          <w:rFonts w:ascii="Times New Roman" w:eastAsia="Aptos" w:hAnsi="Times New Roman"/>
          <w:lang w:bidi="ar-SA"/>
          <w14:ligatures w14:val="standardContextual"/>
        </w:rPr>
      </w:pPr>
    </w:p>
    <w:p w14:paraId="4710C7F6" w14:textId="77777777" w:rsidR="00103457" w:rsidRPr="00103457" w:rsidRDefault="00103457" w:rsidP="00103457">
      <w:pPr>
        <w:spacing w:line="240" w:lineRule="auto"/>
        <w:rPr>
          <w:rFonts w:ascii="Times New Roman" w:eastAsia="Aptos" w:hAnsi="Times New Roman"/>
          <w:b/>
          <w:bCs/>
          <w:lang w:bidi="ar-SA"/>
          <w14:ligatures w14:val="standardContextual"/>
        </w:rPr>
      </w:pPr>
    </w:p>
    <w:p w14:paraId="622BA14E" w14:textId="77777777" w:rsidR="00103457" w:rsidRPr="00103457" w:rsidRDefault="00103457" w:rsidP="002B23DE">
      <w:pPr>
        <w:pStyle w:val="Heading1"/>
      </w:pPr>
      <w:bookmarkStart w:id="79" w:name="_Toc172288728"/>
      <w:r w:rsidRPr="00103457">
        <w:lastRenderedPageBreak/>
        <w:t>Abstract</w:t>
      </w:r>
      <w:bookmarkEnd w:id="79"/>
    </w:p>
    <w:p w14:paraId="3ED80CA5" w14:textId="77777777" w:rsidR="00103457" w:rsidRPr="00103457" w:rsidRDefault="00103457" w:rsidP="00B72C9C">
      <w:pPr>
        <w:rPr>
          <w:rFonts w:ascii="Times New Roman" w:eastAsia="Aptos" w:hAnsi="Times New Roman"/>
          <w:bCs/>
          <w:color w:val="0D0D0D"/>
          <w:lang w:bidi="ar-SA"/>
          <w14:ligatures w14:val="standardContextual"/>
        </w:rPr>
      </w:pPr>
      <w:r w:rsidRPr="00103457">
        <w:rPr>
          <w:rFonts w:ascii="Times New Roman" w:eastAsia="Aptos" w:hAnsi="Times New Roman"/>
          <w:shd w:val="clear" w:color="auto" w:fill="FFFFFF"/>
          <w:lang w:bidi="ar-SA"/>
          <w14:ligatures w14:val="standardContextual"/>
        </w:rPr>
        <w:t xml:space="preserve">Understanding urban expansion patterns (infill and sprawl) offers localized information that can assist city authorities in taking action toward realizing inclusive and resilient cities. Yet, previous studies mostly focused on individual primary cities and overlooked the secondary cities. Using urban impervious cover data derived from satellite imagery, we compared the rates and patterns of expansion for two primary cities with four secondary cities in Ghana. The developed area more than doubled in both city types; however, mean annual expansion rates between 2001 and 2020 in secondary cities (5.28%) were higher than in primary cities (4.32%). We also conducted 63 semi-structured interviews with urban stakeholders to understand these expansion patterns. </w:t>
      </w:r>
      <w:r w:rsidRPr="00103457">
        <w:rPr>
          <w:rFonts w:ascii="Times New Roman" w:eastAsia="Aptos" w:hAnsi="Times New Roman"/>
          <w:bCs/>
          <w:color w:val="0D0D0D"/>
          <w:lang w:bidi="ar-SA"/>
          <w14:ligatures w14:val="standardContextual"/>
        </w:rPr>
        <w:t>Interviewees generally prefer locations with favorable housing options, including lower land and rent costs, lower litigations, proximity to infrastructure, service, and potential profit of real estate. Their observations indicate that cheaper housing costs and different allocation regimes in the periphery have caused the higher sprawl-to-infill ratio, especially in secondary cities. Interviews also suggest expansion aims vary among stakeholders, and new developments reflect the aims of the powerful.</w:t>
      </w:r>
      <w:r w:rsidRPr="00103457">
        <w:rPr>
          <w:rFonts w:ascii="Times New Roman" w:eastAsia="Aptos" w:hAnsi="Times New Roman"/>
          <w:shd w:val="clear" w:color="auto" w:fill="FFFFFF"/>
          <w:lang w:bidi="ar-SA"/>
          <w14:ligatures w14:val="standardContextual"/>
        </w:rPr>
        <w:t xml:space="preserve"> </w:t>
      </w:r>
      <w:r w:rsidRPr="00103457">
        <w:rPr>
          <w:rFonts w:ascii="Times New Roman" w:eastAsia="Aptos" w:hAnsi="Times New Roman"/>
          <w:bCs/>
          <w:color w:val="0D0D0D"/>
          <w:lang w:bidi="ar-SA"/>
          <w14:ligatures w14:val="standardContextual"/>
        </w:rPr>
        <w:t xml:space="preserve">These complex interactions of factors and conflicting rationalities mean that sustainable urban expansion policies need to recognize specific city- and individual-level conditions. </w:t>
      </w:r>
    </w:p>
    <w:p w14:paraId="0169F195" w14:textId="77777777" w:rsidR="00103457" w:rsidRPr="00103457" w:rsidRDefault="00103457" w:rsidP="00103457">
      <w:pPr>
        <w:spacing w:line="240" w:lineRule="auto"/>
        <w:jc w:val="both"/>
        <w:rPr>
          <w:rFonts w:ascii="Times New Roman" w:eastAsia="Aptos" w:hAnsi="Times New Roman"/>
          <w:lang w:bidi="ar-SA"/>
          <w14:ligatures w14:val="standardContextual"/>
        </w:rPr>
      </w:pPr>
    </w:p>
    <w:p w14:paraId="58659A39" w14:textId="77777777" w:rsidR="00103457" w:rsidRPr="00103457" w:rsidRDefault="00103457" w:rsidP="00103457">
      <w:pPr>
        <w:spacing w:line="240" w:lineRule="auto"/>
        <w:jc w:val="both"/>
        <w:rPr>
          <w:rFonts w:ascii="Times New Roman" w:eastAsia="Aptos" w:hAnsi="Times New Roman"/>
          <w:lang w:bidi="ar-SA"/>
          <w14:ligatures w14:val="standardContextual"/>
        </w:rPr>
      </w:pPr>
    </w:p>
    <w:p w14:paraId="4CDA6648" w14:textId="77777777" w:rsidR="00103457" w:rsidRPr="00103457" w:rsidRDefault="00103457" w:rsidP="00103457">
      <w:pPr>
        <w:spacing w:line="240" w:lineRule="auto"/>
        <w:jc w:val="both"/>
        <w:rPr>
          <w:rFonts w:ascii="Times New Roman" w:eastAsia="Aptos" w:hAnsi="Times New Roman"/>
          <w:lang w:bidi="ar-SA"/>
          <w14:ligatures w14:val="standardContextual"/>
        </w:rPr>
      </w:pPr>
    </w:p>
    <w:p w14:paraId="6772FEDC" w14:textId="77777777" w:rsidR="00103457" w:rsidRPr="00103457" w:rsidRDefault="00103457" w:rsidP="00103457">
      <w:pPr>
        <w:spacing w:line="240" w:lineRule="auto"/>
        <w:rPr>
          <w:rFonts w:ascii="Times New Roman" w:eastAsia="Aptos" w:hAnsi="Times New Roman"/>
          <w:lang w:bidi="ar-SA"/>
          <w14:ligatures w14:val="standardContextual"/>
        </w:rPr>
      </w:pPr>
    </w:p>
    <w:p w14:paraId="41A81F54" w14:textId="77777777" w:rsidR="00103457" w:rsidRPr="00103457" w:rsidRDefault="00103457" w:rsidP="00103457">
      <w:pPr>
        <w:spacing w:line="240" w:lineRule="auto"/>
        <w:rPr>
          <w:rFonts w:ascii="Times New Roman" w:eastAsia="Aptos" w:hAnsi="Times New Roman"/>
          <w:lang w:bidi="ar-SA"/>
          <w14:ligatures w14:val="standardContextual"/>
        </w:rPr>
      </w:pPr>
    </w:p>
    <w:p w14:paraId="69C6B873" w14:textId="77777777" w:rsidR="00103457" w:rsidRPr="00103457" w:rsidRDefault="00103457" w:rsidP="00103457">
      <w:pPr>
        <w:spacing w:line="240" w:lineRule="auto"/>
        <w:rPr>
          <w:rFonts w:ascii="Times New Roman" w:eastAsia="Aptos" w:hAnsi="Times New Roman"/>
          <w:lang w:bidi="ar-SA"/>
          <w14:ligatures w14:val="standardContextual"/>
        </w:rPr>
      </w:pPr>
    </w:p>
    <w:p w14:paraId="079EF2F1" w14:textId="77777777" w:rsidR="00103457" w:rsidRPr="00103457" w:rsidRDefault="00103457" w:rsidP="00103457">
      <w:pPr>
        <w:spacing w:line="240" w:lineRule="auto"/>
        <w:rPr>
          <w:rFonts w:ascii="Times New Roman" w:eastAsia="Aptos" w:hAnsi="Times New Roman"/>
          <w:lang w:bidi="ar-SA"/>
          <w14:ligatures w14:val="standardContextual"/>
        </w:rPr>
      </w:pPr>
    </w:p>
    <w:p w14:paraId="77DAAEE3" w14:textId="77777777" w:rsidR="00103457" w:rsidRPr="00103457" w:rsidRDefault="00103457" w:rsidP="00103457">
      <w:pPr>
        <w:spacing w:line="240" w:lineRule="auto"/>
        <w:rPr>
          <w:rFonts w:ascii="Times New Roman" w:eastAsia="Aptos" w:hAnsi="Times New Roman"/>
          <w:lang w:bidi="ar-SA"/>
          <w14:ligatures w14:val="standardContextual"/>
        </w:rPr>
      </w:pPr>
    </w:p>
    <w:p w14:paraId="1B74222B" w14:textId="77777777" w:rsidR="00103457" w:rsidRPr="00103457" w:rsidRDefault="00103457" w:rsidP="00103457">
      <w:pPr>
        <w:spacing w:line="240" w:lineRule="auto"/>
        <w:rPr>
          <w:rFonts w:ascii="Times New Roman" w:eastAsia="Aptos" w:hAnsi="Times New Roman"/>
          <w:lang w:bidi="ar-SA"/>
          <w14:ligatures w14:val="standardContextual"/>
        </w:rPr>
      </w:pPr>
    </w:p>
    <w:p w14:paraId="514F8E15" w14:textId="77777777" w:rsidR="00103457" w:rsidRPr="00103457" w:rsidRDefault="00103457" w:rsidP="00103457">
      <w:pPr>
        <w:spacing w:line="240" w:lineRule="auto"/>
        <w:rPr>
          <w:rFonts w:ascii="Times New Roman" w:eastAsia="Aptos" w:hAnsi="Times New Roman"/>
          <w:lang w:bidi="ar-SA"/>
          <w14:ligatures w14:val="standardContextual"/>
        </w:rPr>
      </w:pPr>
    </w:p>
    <w:p w14:paraId="740A99E3" w14:textId="77777777" w:rsidR="00103457" w:rsidRPr="00103457" w:rsidRDefault="00103457" w:rsidP="00103457">
      <w:pPr>
        <w:spacing w:line="240" w:lineRule="auto"/>
        <w:rPr>
          <w:rFonts w:ascii="Times New Roman" w:eastAsia="Aptos" w:hAnsi="Times New Roman"/>
          <w:lang w:bidi="ar-SA"/>
          <w14:ligatures w14:val="standardContextual"/>
        </w:rPr>
      </w:pPr>
    </w:p>
    <w:p w14:paraId="55BE86A2" w14:textId="77777777" w:rsidR="00103457" w:rsidRPr="00103457" w:rsidRDefault="00103457" w:rsidP="00103457">
      <w:pPr>
        <w:spacing w:line="240" w:lineRule="auto"/>
        <w:rPr>
          <w:rFonts w:ascii="Times New Roman" w:eastAsia="Aptos" w:hAnsi="Times New Roman"/>
          <w:lang w:bidi="ar-SA"/>
          <w14:ligatures w14:val="standardContextual"/>
        </w:rPr>
      </w:pPr>
    </w:p>
    <w:p w14:paraId="2AE9CCEE" w14:textId="77777777" w:rsidR="005A1E7A" w:rsidRPr="005A1E7A" w:rsidRDefault="005A1E7A" w:rsidP="00103457">
      <w:pPr>
        <w:pStyle w:val="ListParagraph"/>
        <w:keepNext/>
        <w:keepLines/>
        <w:numPr>
          <w:ilvl w:val="0"/>
          <w:numId w:val="24"/>
        </w:numPr>
        <w:spacing w:after="160" w:line="240" w:lineRule="auto"/>
        <w:contextualSpacing w:val="0"/>
        <w:outlineLvl w:val="0"/>
        <w:rPr>
          <w:rFonts w:ascii="Times New Roman" w:hAnsi="Times New Roman"/>
          <w:b/>
          <w:vanish/>
          <w:color w:val="000000"/>
          <w:lang w:bidi="ar-SA"/>
          <w14:ligatures w14:val="standardContextual"/>
        </w:rPr>
      </w:pPr>
    </w:p>
    <w:p w14:paraId="2D8F3D66" w14:textId="77777777" w:rsidR="005A1E7A" w:rsidRPr="005A1E7A" w:rsidRDefault="005A1E7A" w:rsidP="00103457">
      <w:pPr>
        <w:pStyle w:val="ListParagraph"/>
        <w:keepNext/>
        <w:keepLines/>
        <w:numPr>
          <w:ilvl w:val="0"/>
          <w:numId w:val="24"/>
        </w:numPr>
        <w:spacing w:after="160" w:line="240" w:lineRule="auto"/>
        <w:contextualSpacing w:val="0"/>
        <w:outlineLvl w:val="0"/>
        <w:rPr>
          <w:rFonts w:ascii="Times New Roman" w:hAnsi="Times New Roman"/>
          <w:b/>
          <w:vanish/>
          <w:color w:val="000000"/>
          <w:lang w:bidi="ar-SA"/>
          <w14:ligatures w14:val="standardContextual"/>
        </w:rPr>
      </w:pPr>
    </w:p>
    <w:p w14:paraId="71508915" w14:textId="77777777" w:rsidR="005A1E7A" w:rsidRPr="005A1E7A" w:rsidRDefault="005A1E7A" w:rsidP="005A1E7A">
      <w:pPr>
        <w:pStyle w:val="ListParagraph"/>
        <w:keepNext/>
        <w:numPr>
          <w:ilvl w:val="0"/>
          <w:numId w:val="10"/>
        </w:numPr>
        <w:contextualSpacing w:val="0"/>
        <w:outlineLvl w:val="1"/>
        <w:rPr>
          <w:rFonts w:asciiTheme="majorHAnsi" w:hAnsiTheme="majorHAnsi"/>
          <w:b/>
          <w:bCs/>
          <w:iCs/>
          <w:vanish/>
          <w:szCs w:val="28"/>
          <w:lang w:bidi="ar-SA"/>
        </w:rPr>
      </w:pPr>
    </w:p>
    <w:p w14:paraId="093FE7B8" w14:textId="5E2CA205" w:rsidR="00103457" w:rsidRPr="00103457" w:rsidRDefault="00103457" w:rsidP="005A1E7A">
      <w:pPr>
        <w:pStyle w:val="Heading2"/>
      </w:pPr>
      <w:bookmarkStart w:id="80" w:name="_Toc172288729"/>
      <w:r w:rsidRPr="00103457">
        <w:t>Introduction</w:t>
      </w:r>
      <w:bookmarkEnd w:id="80"/>
    </w:p>
    <w:p w14:paraId="73A942C6" w14:textId="77777777" w:rsidR="00103457" w:rsidRPr="00103457" w:rsidRDefault="00103457" w:rsidP="00B72C9C">
      <w:pPr>
        <w:ind w:firstLine="360"/>
        <w:rPr>
          <w:rFonts w:ascii="Times New Roman" w:eastAsia="Aptos" w:hAnsi="Times New Roman"/>
          <w:shd w:val="clear" w:color="auto" w:fill="FFFFFF"/>
          <w:lang w:bidi="ar-SA"/>
          <w14:ligatures w14:val="standardContextual"/>
        </w:rPr>
      </w:pPr>
      <w:r w:rsidRPr="00103457">
        <w:rPr>
          <w:rFonts w:ascii="Times New Roman" w:eastAsia="Aptos" w:hAnsi="Times New Roman"/>
          <w:shd w:val="clear" w:color="auto" w:fill="FFFFFF"/>
          <w:lang w:bidi="ar-SA"/>
          <w14:ligatures w14:val="standardContextual"/>
        </w:rPr>
        <w:t xml:space="preserve">In an increasingly urbanized world, sustainable and inclusive planning and development strategies require understanding the causes of urban expansion across multiple cities. Urban expansion entails compact infill developments within open land in cities and sprawl developments that leapfrog and extend outwards from previously developed areas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{"citationID":"6I4wyJKG","properties":{"formattedCitation":"(Angel et al., 2021)","plainCitation":"(Angel et al., 2021)","noteIndex":0},"citationItems":[{"id":85,"uris":["http://zotero.org/users/8906743/items/T7YDXD9K","http://zotero.org/users/8906743/items/7739YXBP"],"itemData":{"id":85,"type":"article-journal","abstract":"Serious concerns with accelerating global warming have been translated into urgent calls for increasing urban densities: higher densities are associated with lower greenhouse gas emissions, especially those related to vehicle kilometers traveled (VKT). In order to densify meaningfully in the coming decades, cities need to make room within their existing footprints to accommodate more people. In the absence of adequate room within their existing footprints, cities create more room through outward expansion, typically resulting in lower overall densities. We introduce a quantitative dimension to this process, focusing on the population added to a global stratiﬁed sample of 200 cities between 1990 and 2014. In three-quarters of the cities we studied, the areas built before 1990 gained population and thus densiﬁed signiﬁcantly. On average, however, only one-quarter of the total population added to the 200 cities in the sample in the 1990–2014 period were accommodated within their 1990 urban footprints, while three-quarters were accommodated within their newly built expansion areas. That resulted in an overall decline in average urban densities during the 1990–2014 period despite the near-global, decades-old and rarely questioned consensus that urban expansion must be contained.","container-title":"Sustainability","DOI":"10.3390/su13073835","ISSN":"2071-1050","issue":"7","journalAbbreviation":"Sustainability","language":"en","page":"3835","source":"DOI.org (Crossref)","title":"Densify and Expand: A Global Analysis of Recent Urban Growth","title-short":"Densify and Expand","URL":"https://www.mdpi.com/2071-1050/13/7/3835","volume":"13","author":[{"family":"Angel","given":"Shlomo"},{"family":"Lamson-Hall","given":"Patrick"},{"family":"Blei","given":"Alejandro"},{"family":"Shingade","given":"Sharad"},{"family":"Kumar","given":"Suman"}],"accessed":{"date-parts":[["2022",1,30]]},"issued":{"date-parts":[["2021",3,31]]}}}],"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(Angel et al., 2021)</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xml:space="preserve">. With annual expansion rates higher than 4.0%, urban expansion in Asia and Africa significantly exceeds the rates in other world regions such as Europe and North America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{"citationID":"3Nw27IjD","properties":{"formattedCitation":"(K. Seto et al., 2011)","plainCitation":"(K. Seto et al., 2011)","dontUpdate":true,"noteIndex":0},"citationItems":[{"id":480,"uris":["http://zotero.org/users/8906743/items/AEJV4F9X"],"itemData":{"id":480,"type":"article-journal","archive_location":"WOS:000294126900042","container-title":"PLOS ONE","DOI":"10.1371/journal.pone.0023777","ISSN":"1932-6203","issue":"8","title":"A Meta-Analysis of Global Urban Land Expansion","volume":"6","author":[{"family":"Seto","given":"KC"},{"family":"Fragkias","given":"M"},{"family":"Guneralp","given":"B"},{"family":"Reilly","given":"MK"}],"issued":{"date-parts":[["2011",8,18]]}}}],"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(Seto et al., 2011)</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xml:space="preserve">. Urban expansion is associated with improved infrastructure, centers of innovation and economic growth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{"citationID":"PQ95NfHJ","properties":{"formattedCitation":"(Mahtta et al., 2022)","plainCitation":"(Mahtta et al., 2022)","noteIndex":0},"citationItems":[{"id":282,"uris":["http://zotero.org/users/8906743/items/94K43WA7"],"itemData":{"id":282,"type":"article-journal","abstract":"Abstract\n            Global urban populations are projected to increase by 2.5 billion over the next 30 years. Yet, there is limited understanding of how this growth will affect urban land expansion (ULE). Here, we develop a large-scale study to test explicitly the relative importance of urban population and Gross Domestic Product (GDP) growth in affecting ULE for different regions, economic development levels and governance types for 300+ cities. Our results show that population growth, more than GDP, is consistently the dominant determinant of ULE during 1970–2014. However, the effect of GDP growth on ULE increases in importance after 2000. In countries with strong governance, economic growth contributes more to ULE than population growth. We find that urban population growth and ULE are correlated but this relationship varies for countries at different developmental stages. Lastly, this study illustrates that good governance is a necessary condition for economic growth to affect ULE.","container-title":"npj Urban Sustainability","DOI":"10.1038/s42949-022-00048-y","ISSN":"2661-8001","issue":"1","journalAbbreviation":"npj Urban Sustain","language":"en","page":"5","source":"DOI.org (Crossref)","title":"Urban land expansion: the role of population and economic growth for 300+ cities","title-short":"Urban land expansion","URL":"https://www.nature.com/articles/s42949-022-00048-y","volume":"2","author":[{"family":"Mahtta","given":"Richa"},{"family":"Fragkias","given":"Michail"},{"family":"Güneralp","given":"Burak"},{"family":"Mahendra","given":"Anjali"},{"family":"Reba","given":"Meredith"},{"family":"Wentz","given":"Elizabeth A."},{"family":"Seto","given":"Karen C."}],"accessed":{"date-parts":[["2022",10,2]]},"issued":{"date-parts":[["2022",12]]}}}],"schema":"https://github.com/citation-style-language/schema/raw/master/csl-citation.json"}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(Mahtta et al., 2022)</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xml:space="preserve">. However, ample research also documents the negative social, health, economic, and climate change impacts of urban expansion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{"citationID":"JzlbIRgB","properties":{"formattedCitation":"(Bren d\\uc0\\u8217{}Amour et al., 2017; He et al., 2016; Liu et al., 2019)","plainCitation":"(Bren d’Amour et al., 2017; He et al., 2016; Liu et al., 2019)","dontUpdate":true,"noteIndex":0},"citationItems":[{"id":610,"uris":["http://zotero.org/users/8906743/items/YP64IZYY"],"itemData":{"id":610,"type":"article-journal","abstract":"Urban expansion often occurs on croplands. However, there is little scientific understanding of how global patterns of future urban expansion will affect the world’s cultivated areas. Here, we combine spatially explicit projections of urban expansion with datasets on global croplands and crop yields. Our results show that urban expansion will result in a 1.8–2.4% loss of global croplands by 2030, with substantial regional disparities. About 80% of global cropland loss from urban expansion will take place in Asia and Africa. In both Asia and Africa, much of the cropland that will be lost is more than twice as productive as national averages. Asia will experience the highest absolute loss in cropland, whereas African countries will experience the highest percentage loss of cropland. Globally, the croplands that are likely to be lost were responsible for 3–4% of worldwide crop production in 2000. Urban expansion is expected to take place on cropland that is 1.77 times more productive than the global average. The loss of cropland is likely to be accompanied by other sustainability risks and threatens livelihoods, with diverging characteristics for different megaurban regions. Governance of urban area expansion thus emerges as a key area for securing livelihoods in the agrarian economies of the Global South.","container-title":"Proceedings of the National Academy of Sciences of the United States of America","DOI":"10.1073/pnas.1606036114","ISSN":"0027-8424, 1091-6490","issue":"34","journalAbbreviation":"Proc Natl Acad Sci USA","language":"en","page":"8939-8944","source":"DOI.org (Crossref)","title":"Future urban land expansion and implications for global croplands","URL":"http://www.pnas.org/lookup/doi/10.1073/pnas.1606036114","volume":"114","author":[{"family":"Bren d’Amour","given":"Christopher"},{"family":"Reitsma","given":"Femke"},{"family":"Baiocchi","given":"Giovanni"},{"family":"Barthel","given":"Stephan"},{"family":"Güneralp","given":"Burak"},{"family":"Erb","given":"Karl-Heinz"},{"family":"Haberl","given":"Helmut"},{"family":"Creutzig","given":"Felix"},{"family":"Seto","given":"Karen C."}],"accessed":{"date-parts":[["2022",2,4]]},"issued":{"date-parts":[["2017",8,22]]}}},{"id":594,"uris":["http://zotero.org/users/8906743/items/R5I2K2YB"],"itemData":{"id":594,"type":"article-journal","abstract":"The timely and effective assessment of the impacts of urban expansion on regional carbon storage is an important issue in the ﬁelds of urban ecology and sustainability science. This study used a new model to assess the impacts of urban expansion on regional carbon storage by linking the LUSD-urban and InVEST models. First, the LUSD-urban model was used to simulate urban expansion. Then, the InVEST model was adopted to assess the impacts on regional carbon storage. The linked model combines the strengths of these two models. Not only can it simulate and project the process of urban expansion but it can also assess the impacts of urban expansion on regional carbon storage. A case study in Beijing showed that the relative error between the simulated carbon storage loss and the actual loss was less than 12%. We argue that the linked model can be applied to assess the ecological effects of future urban expansion.","container-title":"Environmental Modelling &amp; Software","DOI":"10.1016/j.envsoft.2015.09.015","ISSN":"13648152","journalAbbreviation":"Environmental Modelling &amp; Software","language":"en","page":"44-58","source":"DOI.org (Crossref)","title":"Assessing the potential impacts of urban expansion on regional carbon storage by linking the LUSD-urban and InVEST models","URL":"https://linkinghub.elsevier.com/retrieve/pii/S136481521530058X","volume":"75","author":[{"family":"He","given":"Chunyang"},{"family":"Zhang","given":"Da"},{"family":"Huang","given":"Qingxu"},{"family":"Zhao","given":"Yuanyuan"}],"accessed":{"date-parts":[["2022",4,10]]},"issued":{"date-parts":[["2016",1]]}}},{"id":777,"uris":["http://zotero.org/users/8906743/items/RZ7I9LYV"],"itemData":{"id":777,"type":"article-journal","abstract":"Urban expansion is one of the main factors driving terrestrial carbon storage (TCS) changes. Accurate accounting of TCS and rigorous quantiﬁcation of its changes caused by historical urban expansion may help us to better predict its changes in the future. This study focuses on the carbon impacts of urbanization in China where the share of the urban population has increased from 18% in 1978 to 59% in 2017 and the growing will continue in the coming decades. Our results show that China’s TCS decreased at an accelerating pace over the past three decades with an average reduction of 0.72TgC/y in 1980−1990 and 8.72TgC/y in 2000−2010, mostly due to conversion from cropland and woodland to urban land. Through simulating urban expansion under four scenarios from 2010 to 2050, we found a potential increasing trend in land conversion from woodland to ur</w:instrText>
      </w:r>
      <w:r w:rsidRPr="00103457">
        <w:rPr>
          <w:rFonts w:ascii="Times New Roman" w:eastAsia="Aptos" w:hAnsi="Times New Roman"/>
          <w:shd w:val="clear" w:color="auto" w:fill="FFFFFF"/>
          <w:lang w:val="fr-FR" w:bidi="ar-SA"/>
          <w14:ligatures w14:val="standardContextual"/>
        </w:rPr>
        <w:instrText xml:space="preserve">ban land. This conversion trend would result in carbon storage loss at an average rate of 9.31TgC/y </w:instrText>
      </w:r>
      <w:r w:rsidRPr="00103457">
        <w:rPr>
          <w:rFonts w:ascii="Cambria Math" w:eastAsia="Aptos" w:hAnsi="Cambria Math" w:cs="Cambria Math"/>
          <w:shd w:val="clear" w:color="auto" w:fill="FFFFFF"/>
          <w:lang w:val="fr-FR" w:bidi="ar-SA"/>
          <w14:ligatures w14:val="standardContextual"/>
        </w:rPr>
        <w:instrText>∼</w:instrText>
      </w:r>
      <w:r w:rsidRPr="00103457">
        <w:rPr>
          <w:rFonts w:ascii="Times New Roman" w:eastAsia="Aptos" w:hAnsi="Times New Roman"/>
          <w:shd w:val="clear" w:color="auto" w:fill="FFFFFF"/>
          <w:lang w:val="fr-FR" w:bidi="ar-SA"/>
          <w14:ligatures w14:val="standardContextual"/>
        </w:rPr>
        <w:instrText xml:space="preserve"> 12.94TgC/y in 2010−2050. The increasing trend in both land conversion and carbon storage loss is especially visible in the population centers of the Yangtze River Delta and the Pearl River Delta. Considering that the indirect emission e</w:instrText>
      </w:r>
      <w:r w:rsidRPr="00103457">
        <w:rPr>
          <w:rFonts w:ascii="Times New Roman" w:eastAsia="Aptos" w:hAnsi="Times New Roman"/>
          <w:shd w:val="clear" w:color="auto" w:fill="FFFFFF"/>
          <w:lang w:bidi="ar-SA"/>
          <w14:ligatures w14:val="standardContextual"/>
        </w:rPr>
        <w:instrText>ﬀ</w:instrText>
      </w:r>
      <w:r w:rsidRPr="00103457">
        <w:rPr>
          <w:rFonts w:ascii="Times New Roman" w:eastAsia="Aptos" w:hAnsi="Times New Roman"/>
          <w:shd w:val="clear" w:color="auto" w:fill="FFFFFF"/>
          <w:lang w:val="fr-FR" w:bidi="ar-SA"/>
          <w14:ligatures w14:val="standardContextual"/>
        </w:rPr>
        <w:instrText xml:space="preserve">ects of urbanization, such as farmland displacement, population migration, and land degradation, may be much larger, the overall emission impact of forthcoming urban expansion in China would increase the uncertainty of the nation’s carbon emissions and potentially undermine China’s targets as committed in the Paris Climate Agreement.","container-title":"Environmental Science &amp; Technology","DOI":"10.1021/acs.est.9b00103","ISSN":"0013-936X, 1520-5851","issue":"12","journalAbbreviation":"Environ. Sci. Technol.","language":"en","page":"6834-6844","source":"DOI.org (Crossref)","title":"Impacts of Urban Expansion on Terrestrial Carbon Storage in China","URL":"https://pubs.acs.org/doi/10.1021/acs.est.9b00103","volume":"53","author":[{"family":"Liu","given":"Xiaoping"},{"family":"Wang","given":"Shaojian"},{"family":"Wu","given":"Peijun"},{"family":"Feng","given":"Kuishuang"},{"family":"Hubacek","given":"Klaus"},{"family":"Li","given":"Xia"},{"family":"Sun","given":"Laixiang"}],"accessed":{"date-parts":[["2023",8,23]]},"issued":{"date-parts":[["2019",6,18]]}}}],"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val="fr-FR" w:bidi="ar-SA"/>
          <w14:ligatures w14:val="standardContextual"/>
        </w:rPr>
        <w:t>(Bren d'Amour et al., 2017; He et al., 2016; Liu et al., 2019)</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val="fr-FR" w:bidi="ar-SA"/>
          <w14:ligatures w14:val="standardContextual"/>
        </w:rPr>
        <w:t xml:space="preserve">. </w:t>
      </w:r>
      <w:r w:rsidRPr="00103457">
        <w:rPr>
          <w:rFonts w:ascii="Times New Roman" w:eastAsia="Aptos" w:hAnsi="Times New Roman"/>
          <w:shd w:val="clear" w:color="auto" w:fill="FFFFFF"/>
          <w:lang w:bidi="ar-SA"/>
          <w14:ligatures w14:val="standardContextual"/>
        </w:rPr>
        <w:t xml:space="preserve">These challenges tend to result from sprawl expansion, although studies have also detected increased heat stresses, floods, and urban fires related to infill expansion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{"citationID":"xfA56dvO","properties":{"formattedCitation":"(M\\uc0\\u248{}ller-Jensen et al., 2023; Zhao, 2011)","plainCitation":"(Møller-Jensen et al., 2023; Zhao, 2011)","noteIndex":0},"citationItems":[{"id":773,"uris":["http://zotero.org/users/8906743/items/X3P3TY6Q"],"itemData":{"id":773,"type":"article-journal","abstract":"Urban managers in sub-Saharan Africa have recently come under intense pressure to prepare for and adapt to the footprints of rapid peri-urbanization and increased climate-related risks. Addressing spatial planning integral with the urban expansion is not only because climate variability is becoming more prominent. Further, within peri-urban zones, people most often live and work in physical areas of hazard that are commensurate with their economic stability. This makes the need for adaptation amidst inadequate resources imperative. These concerns find expression at the local level, where stake­ holders’ priorities focus on the gap between adaptation needs and existing adaptation efforts. Drawing insights from our study in Accra, which combines the perspectives and experiences of practitioners, academics, and citizens, we show how decisions constructed around flood vulnerabilities, people’s actions, and planning processes are seldom neutral. We infer how prioritizing efforts to adapt to floods may privilege some residents and compromise others’ support, agency, and capacities to recover. We call for increased attention to how city authorities can creatively move urban planning toward more informed, inclusive, and supportive recovery visions in response to the consolidation of urban peripheries and increased climate exacerbated flood­ ing in the quest for social justice for all.","container-title":"Journal of Urban Affairs","DOI":"10.1080/07352166.2022.2108436","ISSN":"0735-2166, 1467-9906","issue":"3","journalAbbreviation":"Journal of Urban Affairs","language":"en","page":"505-521","source":"DOI.org (Crossref)","title":"Probing political paradox: Urban expansion, floods risk vulnerability and social justice in urban Africa","title-short":"Probing political paradox","URL":"https://www.tandfonline.com/doi/full/10.1080/07352166.2022.2108436","volume":"45","author":[{"family":"Møller-Jensen","given":"Lasse"},{"family":"Agergaard","given":"Jytte"},{"family":"Andreasen","given":"Manja H."},{"family":"Kofie","given":"Richard Y."},{"family":"Yiran","given":"Gerald A.B."},{"family":"Oteng-Ababio","given":"Martin"}],"accessed":{"date-parts":[["2023",8,23]]},"issued":{"date-parts":[["2023",3,16]]}}},{"id":808,"uris":["http://zotero.org/users/8906743/items/HVG34FCC"],"itemData":{"id":808,"type":"article-journal","abstract":"Mass ﬁre-spread is a potential threat to some densely built urban areas by its devastating destructions. Especially in case of a large earthquake when multiple ﬁres break out simultaneously, ﬁre-spread hazard is likely to overwhelm ﬁre-ﬁghting capabilities and enlarge damage area. To explore ﬁre-spread behavior and assess its damages, a simulation model of ﬁre-spread in densely built urban areas is developed. Cellular Automata (CA) is a Bottom-up dynamics model that can reproduce a complicated phenomenon by setting up simple rules in a cell space. However, the traditional grid-based cells of CA are not suitable for modeling building-to-building ﬁre-spread behavior. Therefore, an irregular coarse CA schema is proposed in this paper. Two sub-processes are involved urban mass ﬁre-spread, i.e. (I) ﬁre-developing in a single building and (II) ﬁre-spread among buildings. When a ﬁre is developing in a single building, the building will experience 5 ﬁre stages along time, which become the states of cell. While ﬁre spreads among buildings, there are 2 spread patterns: (I) short-range direct ﬂame contact, radiation and convection spread and (II) long-range ﬁrebrand spotting spread. In relation to the 2 spread patterns, 2 sets of neighborhoods and rules of CA are formulated respectively. To verify the newly developed model, 100 times of individual random simulations for a real site ﬁre-spread in Kobe City after Hanshin Earthquake (1995, Japan) are performed using an integrated GIS-CA-ﬁre tool developed in the paper. Comparing the simulation results with the local observations, the general feature of ﬁre-spread is found similar, and it is proved that the newly developed model is reliable to simulate urban ﬁre-spread. Furthermore, based on the simulated results, a loss assessment model is formulated to calculate economic and life losses after ﬁre-spread.","container-title":"Fire Technology","DOI":"10.1007/s10694-010-0187-4","ISSN":"0015-2684, 1572-8099","issue":"3","journalAbbreviation":"Fire Technol","language":"en","page":"721-749","source":"DOI.org (Crossref)","title":"Simulation of Mass Fire-Spread in Urban Densely Built Areas Based on Irregular Coarse Cellular Automata","URL":"http://link.springer.com/10.1007/s10694-010-0187-4","volume":"47","author":[{"family":"Zhao","given":"Sijian"}],"accessed":{"date-parts":[["2023",7,22]]},"issued":{"date-parts":[["2011",7]]}}}],"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(Møller-Jensen et al., 2023; Zhao, 2011)</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xml:space="preserve">. These challenges often reinforce existing disparities, especially in cities and individuals with limited resources to cope and adapt. Thus, comprehensive understanding of enabling factors can help decision-makers implement sustainable expansion policies. </w:t>
      </w:r>
    </w:p>
    <w:p w14:paraId="3F73AA54" w14:textId="77777777" w:rsidR="00103457" w:rsidRPr="00103457" w:rsidRDefault="00103457" w:rsidP="00B72C9C">
      <w:pPr>
        <w:ind w:firstLine="360"/>
        <w:rPr>
          <w:rFonts w:ascii="Times New Roman" w:eastAsia="Aptos" w:hAnsi="Times New Roman"/>
          <w:shd w:val="clear" w:color="auto" w:fill="FFFFFF"/>
          <w:lang w:bidi="ar-SA"/>
          <w14:ligatures w14:val="standardContextual"/>
        </w:rPr>
      </w:pPr>
      <w:r w:rsidRPr="00103457">
        <w:rPr>
          <w:rFonts w:ascii="Times New Roman" w:eastAsia="Aptos" w:hAnsi="Times New Roman"/>
          <w:shd w:val="clear" w:color="auto" w:fill="FFFFFF"/>
          <w:lang w:bidi="ar-SA"/>
          <w14:ligatures w14:val="standardContextual"/>
        </w:rPr>
        <w:t xml:space="preserve">Globally, urban expansion continues to increase with natural urban population growth, migration, and rural transformation, resulting in the reclassification of rural areas into urban. Most studies exploring the spatial patterns of expansion have found that individual preferences, crime rates, and land accessibility generally influence locations of new developments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{"citationID":"JXBGsOIu","properties":{"formattedCitation":"(Cobbinah &amp; Aboagye, 2017)","plainCitation":"(Cobbinah &amp; Aboagye, 2017)","noteIndex":0},"citationItems":[{"id":72,"uris":["http://zotero.org/users/8906743/items/FL33N53L"],"itemData":{"id":72,"type":"article-journal","container-title":"Land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(Cobbinah &amp; Aboagye, 2017)</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Ri</w:t>
      </w:r>
      <w:r w:rsidRPr="00103457">
        <w:rPr>
          <w:rFonts w:ascii="Times New Roman" w:eastAsia="Aptos" w:hAnsi="Times New Roman"/>
          <w:lang w:bidi="ar-SA"/>
          <w14:ligatures w14:val="standardContextual"/>
        </w:rPr>
        <w:t xml:space="preserve">sing income levels and global real estate investment further increase new development in cities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{"citationID":"UcEcjA6m","properties":{"formattedCitation":"(Akubia &amp; Bruns, 2019; P. I. Korah et al., 2019; Yeboah et al., 2020)","plainCitation":"(Akubia &amp; Bruns, 2019; P. I. Korah et al., 2019; Yeboah et al., 2020)","dontUpdate":true,"noteIndex":0},"citationItems":[{"id":430,"uris":["http://zotero.org/users/8906743/items/Y7XNJXPQ"],"itemData":{"id":430,"type":"article-journal","abstract":"This study analyzed and assessed spatio-temporal dynamics of land-use change (LUC) and urban expansion (UE) within the Greater Accra Metropolitan Area (GAMA) of Ghana. This region serves as a case to illustrate how a major economic hub and political core area is experiencing massive spatial transformations, resulting in uneven geographies of urban land expansion. Quickbird/Worldview-2 images for the years 2008 and 2017 were segmented and classiﬁed to produce LUC maps. LUC and UE were analyzed by post-classiﬁcation change detection and spatial metrics, respectively. The results revealed an intensive decrease in open-space by 83.46 km2, brushland/farmland (194.29 km2) and waterbody/wetland (3.32 km2). Conversely, forestland and urban built-up area increased by 3.45 km2 and 277.62 km2. Urban extent expanded from 411.45 km2 (27%) in 2008 to 689.07 km2 (46%) in 2017 at a rate of 5.9% and an intensity of 2.06% with an expansion coeﬃcient of 1.5%, indicating low-density urban sprawl. The spatial pattern turned out to be an uneven and spatially diﬀerentiated outward expansion, which materialized mainly in districts located within the urban peripheries but intensely towards eastern and western directions, being the frontier and the hotspots of urbanization. Overall, the ﬁndings bear important implications for regional spatial planning and development.","container-title":"Land","DOI":"10.3390/land8090131","ISSN":"2073-445X","issue":"9","journalAbbreviation":"Land","language":"en","page":"131","source":"DOI.org (Crossref)","title":"Unravelling the Frontiers of Urban Growth: Spatio-Temporal Dynamics of Land-Use Change and Urban Expansion in Greater Accra Metropolitan Area, Ghana","title-short":"Unravelling the Frontiers of Urban Growth","URL":"https://www.mdpi.com/2073-445X/8/9/131","volume":"8","author":[{"family":"Akubia","given":"John E. K."},{"family":"Bruns","given":"Antje"}],"accessed":{"date-parts":[["2022",2,4]]},"issued":{"date-parts":[["2019",8,28]]}}},{"id":389,"uris":["http://zotero.org/users/8906743/items/9P3RP7Q7"],"itemData":{"id":389,"type":"article-journal","abstract":"Rapid urbanisation and globalisation are creating relentless spatial transformation across the globe. There is a growing interest in understanding and conceptualising the emergent and often contested spatial morphologies and typologies in cities as they mediate the competing demands of global and local forces. This paper examines spatial and temporal development patterns in a Sub-Saharan Africa context using Accra, the capital and rapidly growing city of Ghana, as case study and explores the emerging urban form. By classifying Landsat satellite images (1986–2017) and using landscape/spatial metrics to characterise Accra’s spatial development along four concentric rings, we find growing complexity and fragmented spatial growth patterns in Accra. Despite the spatial fragmentation, a Contiguity Index of 0.64, 0.49 and 0.56 for 1986, 2000, and 2017 respectively show that Accra’s urban form is not amorphous nor polycentric but monocentric. The study demonstrates that using landscape metrics to characterise spatial development patterns under buffer zones leads to better understanding of the temporal and changing form of the city under various conditions. We reflect on the implications of these findings for urban policy and planning in Accra and other similar Sub-Saharan African cities.","container-title":"Land Use Policy","DOI":"10.1016/j.landusepol.2019.104049","ISSN":"02648377","journalAbbreviation":"Land Use Policy","language":"en","page":"104049","source":"DOI.org (Crossref)","title":"Characterising spatial and temporal patterns of urban evolution in Sub-Saharan Africa: The case of Accra, Ghana","title-short":"Characterising spatial and temporal patterns of urban evolution in Sub-Saharan Africa","URL":"https://linkinghub.elsevier.com/retrieve/pii/S0264837719300389","volume":"87","author":[{"family":"Korah","given":"Prosper Issahaku"},{"family":"Matthews","given":"Tony"},{"family":"Tomerini","given":"Deanna"}],"accessed":{"date-parts":[["2022",2,9]]},"issued":{"date-parts":[["2019",9]]}}},{"id":350,"uris":["http://zotero.org/users/8906743/items/WBJKUQ9V"],"itemData":{"id":350,"type":"article-journal","container-title":"African Geographical Review","DOI":"10.1080/19376812.2020.1755323","ISSN":"1937-6812, 2163-2642","issue":"1","journalAbbreviation":"African Geographical Review","language":"en","page":"19-32","source":"DOI.org (Crossref)","title":"‘World Trade Center, Accra’: production of urban space for the continued peripheral linkage of Ghana under globalization","title-short":"‘World Trade Center, Accra’","URL":"https://www.tandfonline.com/doi/full/10.1080/19376812.2020.1755323","volume":"40","author":[{"family":"Yeboah","given":"Ian E. A."},{"family":"Maingi","given":"John K."},{"family":"Arku","given":"Godwin"}],"accessed":{"date-parts":[["2022",8,23]]},"issued":{"date-parts":[["2020"]]}}}],"schema":"https://github.com/citation-style-language/schema/raw/master/csl-citation.json"}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(Korah et al., 2019; Yeboah et al., 2020)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w:t>
      </w:r>
      <w:r w:rsidRPr="00103457">
        <w:rPr>
          <w:rFonts w:ascii="Times New Roman" w:eastAsia="Aptos" w:hAnsi="Times New Roman"/>
          <w:shd w:val="clear" w:color="auto" w:fill="FFFFFF"/>
          <w:lang w:bidi="ar-SA"/>
          <w14:ligatures w14:val="standardContextual"/>
        </w:rPr>
        <w:t xml:space="preserve">Preference for greenery, serene neighborhoods, and profit motivation through land and property speculation mostly influence </w:t>
      </w:r>
      <w:r w:rsidRPr="00103457">
        <w:rPr>
          <w:rFonts w:ascii="Times New Roman" w:eastAsia="Aptos" w:hAnsi="Times New Roman"/>
          <w:shd w:val="clear" w:color="auto" w:fill="FFFFFF"/>
          <w:lang w:bidi="ar-SA"/>
          <w14:ligatures w14:val="standardContextual"/>
        </w:rPr>
        <w:lastRenderedPageBreak/>
        <w:t xml:space="preserve">sprawl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{"citationID":"8jLElZx1","properties":{"formattedCitation":"(Tagnan et al., 2022; Yang et al., 2021)","plainCitation":"(Tagnan et al., 2022; Yang et al., 2021)","noteIndex":0},"citationItems":[{"id":1948,"uris":["http://zotero.org/users/8906743/items/MJV8ENJ5"],"itemData":{"id":1948,"type":"article-journal","abstract":"The authorities of cities in Sub-Saharan Africa (SSA) are struggling to contain urban sprawl. The region's rapid population growth is expected to exacerbate the situation. Diagnoses of the problem identify rapid population growth, improved transportation network and surface condition, improved utility service distribution and high household incomes as the combination of factors that drive urban sprawl although the drivers are not the same across all regions and within countries. Scholars observe that the nuclearisation of the family system in Ghana creates a need for more houses and living spaces. Given this context, the proposition of current study is that the nuclearisation of the family system in urban Ghana is a major driver of urban sprawl. Accordingly, a comparative case study research design was adopted to assess the effects of family nuclearisation on sprawl. Data were obtained by interviewing 236 household heads from three carefully selected settlements in Kumasi, Ghana's second largest city. Housing density data were also obtained from satellite images. The data analysis revealed that the dominant compound housing vernacular of the 19th - 20th Centuries in Ghana was informed by the need to accommodate extended family members. However, in the 21st Century, the nuclear family system has usurped the influence of the extended family system on housing supply. Desirous of privacy, pristine environmental conditions and low-cost land, the nuclear family members acquire land at the peripheries of the cities for the construction of low-density housing. Their affinity for low-density housing units expands the boundaries of the cities, which the satellite images confirmed. The overall implication is that the nuclearisation of families in Kumasi is an important driver for urban sprawl. The paper concludes with recommendations for addressing these intractable urban planning issues.","container-title":"Habitat International","DOI":"10.1016/j.habitatint.2022.102555","ISSN":"0197-3975","journalAbbreviation":"Habitat International","page":"102555","source":"ScienceDirect","title":"A view of urban sprawl through the lens of family nuclearisation","URL":"https://www.sciencedirect.com/science/article/pii/S0197397522000522","volume":"123","author":[{"family":"Tagnan","given":"Jacob Nchagmado"},{"family":"Amponsah","given":"Owusu"},{"family":"Takyi","given":"Stephen Appiah"},{"family":"Azunre","given":"Gideon Abagna"},{"family":"Braimah","given":"Imoro"}],"accessed":{"date-parts":[["2024",2,21]]},"issued":{"date-parts":[["2022",5,1]]}}},{"id":1966,"uris":["http://zotero.org/users/8906743/items/CIPFRIAM"],"itemData":{"id":1966,"type":"article-journal","abstract":"Landscape preference (LP) studies highlight one of the most important issues of human-environment relationship, and their related publications have increased rapidly over the last two decades. However, there is no systematic review with a holistic understanding of this field.   here we applied a bibliometric approach to examine the evolution of LP research and identify its status and future prospects. We obtained 7,637 LP research publications from Web of Science core collection from 1968 to 2019 and analyzed the characteristics of publication outputs as well as performances in various countries and institutions. Besides, content keywords analysis was conducted to discover the drivers, focus, motivation, and trends of LP research. We found that 1) publications, subject categories, and active journals increased rapidly since the 2000s ; 2) the USA, England, and Australia are the leading countries in LP research, while China is starting to have some influence; 3) LP research is most closely linked to ecological and environmental studies, being developed by objective drivers, i.e., interactions with landscape change, and subjective motivations ; and 4) LP research is advancing the landscape sustainability science, integrating natural and social science together through ecosystem services. By comprehensively reviewing the evolution and prospect of LP research, we provide insights for further research in this field.","container-title":"Ecosystem Health and Sustainability","DOI":"10.1080/20964129.2021.1948355","ISSN":"2096-4129","issue":"1","note":"publisher: Taylor &amp; Francis\n_eprint: https://doi.org/10.1080/20964129.2021.1948355","page":"1948355","source":"Taylor and Francis+NEJM","title":"From preference to landscape sustainability: a bibliometric review of landscape preference research from 1968 to 2019","title-short":"From preference to landscape sustainability","URL":"https://doi.org/10.1080/20964129.2021.1948355","volume":"7","author":[{"family":"Yang","given":"Gaoyuan"},{"family":"Yu","given":"Zhaowu"},{"family":"Zhang","given":"Jinguang"},{"family":"Søderkvist Kristensen","given":"Lone"}],"accessed":{"date-parts":[["2024",3,26]]},"issued":{"date-parts":[["2021",1,1]]}}}],"schema":"https://github.com/citation-style-language/schema/raw/master/csl-citation.json"}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(Tagnan et al., 2022; Yang et al., 2021)</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xml:space="preserve">. Likewise, individual decisions – such as proximity to basic service centers, work, and markets – mostly result in infill expansion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{"citationID":"WzqBsg89","properties":{"formattedCitation":"(Bibri et al., 2020)","plainCitation":"(Bibri et al., 2020)","noteIndex":0},"citationItems":[{"id":1968,"uris":["http://zotero.org/users/8906743/items/XNMACERY"],"itemData":{"id":1968,"type":"article-journal","abstract":"The compact city is one of the leading paradigms of sustainable urbanism. Compact city planning and development has, over the last 30 years or so, been the preferred response to the challenges of sustainable development. It is strongly promoted by global and local policies due to its positive outcomes in terms of contributing to the economic, environmental, and social goals of sustainability. This paper examines how the compact city model is practiced and justified in urban planning and development with respect to the three dimensions of sustainability, and whether any progress has been made in this regard. To illuminate this urban phenomenon accordingly, a descriptive case study is adopted as a qualitative research methodology where the empirical basis is mainly formed by the official plans and documents of two Swedish cities: Gothenburg and Helsingborg, in combination with qualitative interview data and secondary data. This study shows that compactness, density, diversity, mixed land use, sustainable transportation, and green space are the core design strategies of compact city planning and development, with the latter being contextually linked to the concept of green structure, an institutional setup under which the two cities operate. Moreover, at the core of the compact city model is the clear synergy between the underlying strategies in terms of their cooperation to produce combined effects greater than the sum of their separate effects with respect to the benefits of sustainability as to its tripartite composition. Further, this study demonstrates that the compact city model as practiced by the two cities is justified by its ability to contribute to the economic, environmental, and social goals of sustainability. However, the economic goals dominate over the environmental and social goals, notwithstanding the claim about the three dimensions of sustainability being equally important at the discursive level. Nevertheless, new measures are being developed and implemented to strengthen their influence over urban planning and development practices towards balancing the three goals of sustainability.","container-title":"Developments in the Built Environment","DOI":"10.1016/j.dibe.2020.100021","ISSN":"2666-1659","journalAbbreviation":"Developments in the Built Environment","page":"100021","source":"ScienceDirect","title":"Compact city planning and development: Emerging practices and strategies for achieving the goals of sustainability","title-short":"Compact city planning and development","URL":"https://www.sciencedirect.com/science/article/pii/S266616592030017X","volume":"4","author":[{"family":"Bibri","given":"Simon Elias"},{"family":"Krogstie","given":"John"},{"family":"Kärrholm","given":"Mattias"}],"accessed":{"date-parts":[["2024",3,26]]},"issued":{"date-parts":[["2020",11,1]]}}}],"schema":"https://github.com/citation-style-language/schema/raw/master/csl-citation.json"}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(Bibri et al., 2020)</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xml:space="preserve">. </w:t>
      </w:r>
      <w:r w:rsidRPr="00103457">
        <w:rPr>
          <w:rFonts w:ascii="Times New Roman" w:eastAsia="Aptos" w:hAnsi="Times New Roman"/>
          <w:lang w:bidi="ar-SA"/>
          <w14:ligatures w14:val="standardContextual"/>
        </w:rPr>
        <w:t>Research documenting the diverse factors enabling urban expansion is useful for decision-making and planning. City authorities can identify the diverse factors in particular areas and take actions to limit expansion types that are more costly to manage while encouraging new developments in places that are less costly to people and the environment.</w:t>
      </w:r>
    </w:p>
    <w:p w14:paraId="535A30DB" w14:textId="77777777"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In West Africa, most knowledge about enabling factors of urban expansion comes from individual case studies of primary cities with over 1 million residents.</w:t>
      </w:r>
      <w:r w:rsidRPr="00103457">
        <w:rPr>
          <w:rFonts w:ascii="Times New Roman" w:eastAsia="Aptos" w:hAnsi="Times New Roman"/>
          <w:shd w:val="clear" w:color="auto" w:fill="FFFFFF"/>
          <w:lang w:bidi="ar-SA"/>
          <w14:ligatures w14:val="standardContextual"/>
        </w:rPr>
        <w:t xml:space="preserve"> The secondary cities with populations of less than 1 million are also expanding rapidly and currently contain over 60% of the total population in the region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{"citationID":"IbJbTnoV","properties":{"formattedCitation":"(Marais &amp; Cloete, 2017)","plainCitation":"(Marais &amp; Cloete, 2017)","noteIndex":0},"citationItems":[{"id":17,"uris":["http://zotero.org/users/8906743/items/B9ASKJRS","http://zotero.org/users/8906743/items/G8GA7FF6"],"itemData":{"id":17,"type":"article-journal","abstract":"Following on from earlier work dealing with the role of metropolitan municipalities in managing urbanisation, this article assesses the role played by secondary cities in this regard. Although secondary cities have largely provided adequate infrastructure in line with the demands of population growth, three differences between metropolitan municipalities and secondary cities should be noted. First, on most indicators, secondary cities have more outliers than do metropolitan municipalities. Second, household incomes in secondary cities remain lower than those in metropolitan municipalities. Third, the ability of secondary cities to provide basic infrastructure does not differ much from that of metropolitan municipalities. In fact, there is evidence to suggest that, in terms of certain indicators, secondary cities have managed to deliver these faster than their metropolitan counterparts. We argue that the progress made in secondary cities during the period under consideration cannot be separated from the fact that the economic growth in more than 50% of secondary cities has been linked either to mining or to another dominant economic driver.","container-title":"Development Southern Africa","DOI":"10.1080/0376835X.2016.1259993","ISSN":"0376-835X","issue":"2","note":"publisher: Routledge\n_eprint: https://doi.org/10.1080/0376835X.2016.1259993","page":"182-195","source":"Taylor and Francis+NEJM","title":"The role of secondary cities in managing urbanisation in South Africa","URL":"https://doi.org/10.1080/0376835X.2016.1259993","volume":"34","author":[{"family":"Marais","given":"Lochner"},{"family":"Cloete","given":"Jan"}],"accessed":{"date-parts":[["2023",9,4]]},"issued":{"date-parts":[["2017",3,4]]}}}],"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(Marais &amp; Cloete, 2017)</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xml:space="preserve">. More numerous and geographically dispersed, secondary cities embody intermediate centers between primary cities and rural areas, offering access points to better education, health, markets, information, and job opportunities for rural-to-urban migrants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{"citationID":"h8wb48f4","properties":{"formattedCitation":"(Shores et al., 2019)","plainCitation":"(Shores et al., 2019)","noteIndex":0},"citationItems":[{"id":640,"uris":["http://zotero.org/users/8906743/items/7KX39JC3"],"itemData":{"id":640,"type":"article-journal","abstract":"Introduction: Urbanization and the continued growth of cities, both demographically and spatially, are topics of research studied across a range of disciplines in the urban millennium — a time in history when the majority of people live in cities. However, scholarly research has focused little attention on secondary cities, despite being the most rapidly growing cities in many low-and middle-income countries. Secondary cities, defined by their function rather than population size, are vital nodes for regional commerce and services. As these cities have historically been understudied, they lack geospatial data and the associated analyses important for local planners to understand how to meet current needs and plan for future growth. With this research, openly available geospatial data are evaluated, including both global (i.e., population distribution), local (i.e., municipal data), and data for four service categories (i.e., education, social, health, and food services). This research presents techniques to provide baseline understanding of data needs and accessibility of services in secondary cities with limited geospatial data and expertise.","container-title":"Applied Network Science","DOI":"10.1007/s41109-019-0229-x","ISSN":"2364-8228","issue":"1","journalAbbreviation":"Appl Netw Sci","language":"en","page":"109","source":"DOI.org (Crossref)","title":"Networks of need: a geospatial analysis of secondary cities","title-short":"Networks of need","URL":"https://appliednetsci.springeropen.com/articles/10.1007/s41109-019-0229-x","volume":"4","author":[{"family":"Shores","given":"Amanda"},{"family":"Johnson","given":"Hanna"},{"family":"Fugate","given":"Debbie"},{"family":"Laituri","given":"Melinda"}],"accessed":{"date-parts":[["2021",1,31]]},"issued":{"date-parts":[["2019",12]]}}}],"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(Shores et al., 2019)</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They too potentially contribute to land dispossession of vulnerable populations and cause planning challenges for city authorities. Achieving sustainable and inclusive expansion requires understanding their diverse profiles. Secondary cities are important components of urban systems; it is vital, therefore, to center them in urban expansion research, planning, and policy interventions. A c</w:t>
      </w:r>
      <w:r w:rsidRPr="00103457">
        <w:rPr>
          <w:rFonts w:ascii="Times New Roman" w:eastAsia="Aptos" w:hAnsi="Times New Roman"/>
          <w:lang w:bidi="ar-SA"/>
          <w14:ligatures w14:val="standardContextual"/>
        </w:rPr>
        <w:t>omparative understanding of expansion dynamics in primary and secondary cities can better inform sustainable planning and decision-making across cities currently expanding under similar conditions.</w:t>
      </w:r>
    </w:p>
    <w:p w14:paraId="46112151" w14:textId="22746E4D" w:rsidR="00103457" w:rsidRPr="00103457" w:rsidRDefault="00103457" w:rsidP="00B72C9C">
      <w:pPr>
        <w:ind w:firstLine="360"/>
        <w:rPr>
          <w:rFonts w:ascii="Times New Roman" w:eastAsia="Aptos" w:hAnsi="Times New Roman"/>
          <w:color w:val="000000"/>
          <w:shd w:val="clear" w:color="auto" w:fill="FFFFFF"/>
          <w:lang w:bidi="ar-SA"/>
          <w14:ligatures w14:val="standardContextual"/>
        </w:rPr>
      </w:pPr>
      <w:r w:rsidRPr="00103457">
        <w:rPr>
          <w:rFonts w:ascii="Times New Roman" w:eastAsia="Aptos" w:hAnsi="Times New Roman"/>
          <w:lang w:bidi="ar-SA"/>
          <w14:ligatures w14:val="standardContextual"/>
        </w:rPr>
        <w:t xml:space="preserve">Since 2000, </w:t>
      </w:r>
      <w:r w:rsidRPr="00103457">
        <w:rPr>
          <w:rFonts w:ascii="Times New Roman" w:eastAsia="Aptos" w:hAnsi="Times New Roman"/>
          <w:color w:val="000000"/>
          <w:shd w:val="clear" w:color="auto" w:fill="FFFFFF"/>
          <w:lang w:bidi="ar-SA"/>
          <w14:ligatures w14:val="standardContextual"/>
        </w:rPr>
        <w:t xml:space="preserve">most cities in Ghana expanded their footprints by 5.0% annually </w:t>
      </w:r>
      <w:r w:rsidR="00EE563C" w:rsidRPr="00103457">
        <w:rPr>
          <w:rFonts w:ascii="Times New Roman" w:eastAsia="Aptos" w:hAnsi="Times New Roman"/>
          <w:color w:val="000000"/>
          <w:shd w:val="clear" w:color="auto" w:fill="FFFFFF"/>
          <w:lang w:bidi="ar-SA"/>
          <w14:ligatures w14:val="standardContextual"/>
        </w:rPr>
        <w:fldChar w:fldCharType="begin"/>
      </w:r>
      <w:r w:rsidR="00EE563C">
        <w:rPr>
          <w:rFonts w:ascii="Times New Roman" w:eastAsia="Aptos" w:hAnsi="Times New Roman"/>
          <w:color w:val="000000"/>
          <w:shd w:val="clear" w:color="auto" w:fill="FFFFFF"/>
        </w:rPr>
        <w:instrText xml:space="preserve"> ADDIN ZOTERO_ITEM CSL_CITATION {"citationID":"Waees673","properties":{"formattedCitation":"(Agyemang et al., 2019; Korah &amp; Wimberly, 2024c)","plainCitation":"(Agyemang et al., 2019; Korah &amp; Wimberly, 2024c)","noteIndex":0},"citationItems":[{"id":485,"uris":["http://zotero.org/users/8906743/items/WFANKWUF"],"itemData":{"id":485,"type":"article-journal","archive_location":"WOS:000461265400003","container-title":"Habitat International","DOI":"10.1016/j.habitatint.2019.02.001","ISSN":"0197-3975","page":"21-33","title":"Understanding the urban spatial structure of Sub-Saharan African cities using the case of urban development patterns of a Ghanaian city-region","volume":"85","author":[{"family":"Agyemang","given":"FSK"},{"family":"Silva","given":"E"},{"family":"Poku-Boansi","given":"M"}],"issued":{"date-parts":[["2019",3]]}}},{"id":1977,"uris":["http://zotero.org/users/8906743/items/889NZRIP"],"itemData":{"id":1977,"type":"article-journal","abstract":"Urban expansion studies are often biased toward large cities with populations greater than 1 million, while small and medium cities with smaller populations are overlooked. We mapped and assessed the expansion of 1603 cities across Ghana, Togo, Benin, and Nigeria using impervious surface data generated from Landsat from 2001 to 2020. We classified pixels with &gt;20 % impervious as developed with 93 % overall accuracy. Total developed area increased 2.3-fold from 4001 km² in 2001 to 9402 km² in 2020. Of the expanded area, more than half (54 %) occurred in small and medium cities, and 73 % was sprawl. The mean annual expansion rate was 4.6 %.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Benin and Togo. Although much attention is focused on large megacities, these results show that smaller and more numerous cities contribute substantially to urban expansion and need to be incorporated into regional assessments of urban growth and its impacts.","container-title":"Sustainable Cities and Society","DOI":"10.1016/j.scs.2024.105381","ISSN":"2210-6707","journalAbbreviation":"Sustainable Cities and Society","page":"105381","source":"ScienceDirect","title":"Smaller cities have large impacts on West Africa's expanding urban system","URL":"https://www.sciencedirect.com/science/article/pii/S2210670724002099","volume":"106","author":[{"family":"Korah","given":"Andrews"},{"family":"Wimberly","given":"Michael C."}],"accessed":{"date-parts":[["2024",4,8]]},"issued":{"date-parts":[["2024",7,1]]}}}],"schema":"https://github.com/citation-style-language/schema/raw/master/csl-citation.json"} </w:instrText>
      </w:r>
      <w:r w:rsidR="00EE563C" w:rsidRPr="00103457">
        <w:rPr>
          <w:rFonts w:ascii="Times New Roman" w:eastAsia="Aptos" w:hAnsi="Times New Roman"/>
          <w:color w:val="000000"/>
          <w:shd w:val="clear" w:color="auto" w:fill="FFFFFF"/>
          <w:lang w:bidi="ar-SA"/>
          <w14:ligatures w14:val="standardContextual"/>
        </w:rPr>
        <w:fldChar w:fldCharType="separate"/>
      </w:r>
      <w:r w:rsidR="00EE563C" w:rsidRPr="009C0011">
        <w:rPr>
          <w:rFonts w:ascii="Times New Roman" w:hAnsi="Times New Roman"/>
          <w:sz w:val="22"/>
        </w:rPr>
        <w:t>(Agyemang et al., 2019; Korah &amp; Wimberly, 2024c)</w:t>
      </w:r>
      <w:r w:rsidR="00EE563C" w:rsidRPr="00103457">
        <w:rPr>
          <w:rFonts w:ascii="Times New Roman" w:eastAsia="Aptos" w:hAnsi="Times New Roman"/>
          <w:color w:val="000000"/>
          <w:shd w:val="clear" w:color="auto" w:fill="FFFFFF"/>
          <w:lang w:bidi="ar-SA"/>
          <w14:ligatures w14:val="standardContextual"/>
        </w:rPr>
        <w:fldChar w:fldCharType="end"/>
      </w:r>
      <w:r w:rsidRPr="00103457">
        <w:rPr>
          <w:rFonts w:ascii="Times New Roman" w:eastAsia="Aptos" w:hAnsi="Times New Roman"/>
          <w:color w:val="000000"/>
          <w:shd w:val="clear" w:color="auto" w:fill="FFFFFF"/>
          <w:lang w:bidi="ar-SA"/>
          <w14:ligatures w14:val="standardContextual"/>
        </w:rPr>
        <w:t xml:space="preserve">. </w:t>
      </w:r>
      <w:r w:rsidR="004517A1">
        <w:rPr>
          <w:rFonts w:ascii="Times New Roman" w:eastAsia="Aptos" w:hAnsi="Times New Roman"/>
          <w:color w:val="000000"/>
          <w:shd w:val="clear" w:color="auto" w:fill="FFFFFF"/>
          <w:lang w:bidi="ar-SA"/>
          <w14:ligatures w14:val="standardContextual"/>
        </w:rPr>
        <w:t>Urban e</w:t>
      </w:r>
      <w:r w:rsidRPr="00103457">
        <w:rPr>
          <w:rFonts w:ascii="Times New Roman" w:eastAsia="Aptos" w:hAnsi="Times New Roman"/>
          <w:color w:val="000000"/>
          <w:shd w:val="clear" w:color="auto" w:fill="FFFFFF"/>
          <w:lang w:bidi="ar-SA"/>
          <w14:ligatures w14:val="standardContextual"/>
        </w:rPr>
        <w:t xml:space="preserve">xpansion </w:t>
      </w:r>
      <w:r w:rsidR="00661BCC">
        <w:rPr>
          <w:rFonts w:ascii="Times New Roman" w:eastAsia="Aptos" w:hAnsi="Times New Roman"/>
          <w:color w:val="000000"/>
          <w:shd w:val="clear" w:color="auto" w:fill="FFFFFF"/>
          <w:lang w:bidi="ar-SA"/>
          <w14:ligatures w14:val="standardContextual"/>
        </w:rPr>
        <w:t xml:space="preserve">infills </w:t>
      </w:r>
      <w:r w:rsidRPr="00103457">
        <w:rPr>
          <w:rFonts w:ascii="Times New Roman" w:eastAsia="Aptos" w:hAnsi="Times New Roman"/>
          <w:color w:val="000000"/>
          <w:shd w:val="clear" w:color="auto" w:fill="FFFFFF"/>
          <w:lang w:bidi="ar-SA"/>
          <w14:ligatures w14:val="standardContextual"/>
        </w:rPr>
        <w:t>open lands in cities and sprawl</w:t>
      </w:r>
      <w:r w:rsidR="00661BCC">
        <w:rPr>
          <w:rFonts w:ascii="Times New Roman" w:eastAsia="Aptos" w:hAnsi="Times New Roman"/>
          <w:color w:val="000000"/>
          <w:shd w:val="clear" w:color="auto" w:fill="FFFFFF"/>
          <w:lang w:bidi="ar-SA"/>
          <w14:ligatures w14:val="standardContextual"/>
        </w:rPr>
        <w:t>s</w:t>
      </w:r>
      <w:r w:rsidRPr="00103457">
        <w:rPr>
          <w:rFonts w:ascii="Times New Roman" w:eastAsia="Aptos" w:hAnsi="Times New Roman"/>
          <w:color w:val="000000"/>
          <w:shd w:val="clear" w:color="auto" w:fill="FFFFFF"/>
          <w:lang w:bidi="ar-SA"/>
          <w14:ligatures w14:val="standardContextual"/>
        </w:rPr>
        <w:t xml:space="preserve"> at the peripheries, yet comparative studies on rates and patterns of expansion are often lacking. Also, the number of urban centers in the country has grown, with few primary and numerous </w:t>
      </w:r>
      <w:r w:rsidRPr="00103457">
        <w:rPr>
          <w:rFonts w:ascii="Times New Roman" w:eastAsia="Aptos" w:hAnsi="Times New Roman"/>
          <w:color w:val="000000"/>
          <w:shd w:val="clear" w:color="auto" w:fill="FFFFFF"/>
          <w:lang w:bidi="ar-SA"/>
          <w14:ligatures w14:val="standardContextual"/>
        </w:rPr>
        <w:lastRenderedPageBreak/>
        <w:t xml:space="preserve">secondary cities. Urban population growth, increasingly numerous secondary cities, and their expansion largely have negative impacts, especially on vulnerable populations </w:t>
      </w:r>
      <w:r w:rsidRPr="00103457">
        <w:rPr>
          <w:rFonts w:ascii="Times New Roman" w:eastAsia="Aptos" w:hAnsi="Times New Roman"/>
          <w:color w:val="000000"/>
          <w:shd w:val="clear" w:color="auto" w:fill="FFFFFF"/>
          <w:lang w:bidi="ar-SA"/>
          <w14:ligatures w14:val="standardContextual"/>
        </w:rPr>
        <w:fldChar w:fldCharType="begin"/>
      </w:r>
      <w:r w:rsidRPr="00103457">
        <w:rPr>
          <w:rFonts w:ascii="Times New Roman" w:eastAsia="Aptos" w:hAnsi="Times New Roman"/>
          <w:color w:val="000000"/>
          <w:shd w:val="clear" w:color="auto" w:fill="FFFFFF"/>
          <w:lang w:bidi="ar-SA"/>
          <w14:ligatures w14:val="standardContextual"/>
        </w:rPr>
        <w:instrText xml:space="preserve"> ADDIN ZOTERO_ITEM CSL_CITATION {"citationID":"sG9cqmWu","properties":{"formattedCitation":"(Cobbinah et al., 2020)","plainCitation":"(Cobbinah et al., 2020)","noteIndex":0},"citationItems":[{"id":388,"uris":["http://zotero.org/users/8906743/items/UKAG4UMG"],"itemData":{"id":388,"type":"article-journal","abstract":"Global literature reporting on land governance indicates considerable differences between land ownership and land administration. Yet, in many Sub-Saharan African countries, particularly Ghana, this relationship is blurred in complex land governance regimes. An understanding of this relationship in Ghana’s customary land sector –the dominant land ownership type – is critical in advancing urban land use planning and promoting effective urban management in this era of rapid urbanisation across Africa. Unfortunately, little is known about this relationship in the context of land use planning. Using Kumasi, a rapidly growing city in Ghana as a case study, the purpose of this paper is threefold: (i) to discuss the relationship between customary land ownership and administration in the context of land use planning, (ii) to explore institutional perspectives on sustainable land use planning; and (iii) to examine the implications of customary land ownership and administration on sus­ tainable land use planning. Using a review of relevant land use planning documents on Ghana, and interviews with four urban planning agencies and four customary land owners (chiefs/traditional leaders) in Kumasi, findings indicate a demonstration of an unclear nature of legislative planning framework and a lack of focus on customary land ownership and administration system in urban land use planning. Despite planning laws (e.g., zoning guidelines) emphasising separation of ownership from administration, findings indicate no distinction between customary land ownership and land administration as the traditional leaders (the owners) administer the land via determination of land uses, arbitration of land disputes, and location determination of important community infrastructure and services. Evidence of repetitive and cumbersome nature of land administration by traditional owners and government planning agencies, weak agency framework and coordination challenges has contributed to limited progress of sustainable land use planning in the city.","container-title":"Land Use Policy","DOI":"10.1016/j.landusepol.2020.105054","ISSN":"02648377","journalAbbreviation":"Land Use Policy","language":"en","page":"105054","source":"DOI.org (Crossref)","title":"Urban land use planning in Ghana: Navigating complex coalescence of land ownership and administration","title-short":"Urban land use planning in Ghana","URL":"https://linkinghub.elsevier.com/retrieve/pii/S0264837719320034","volume":"99","author":[{"family":"Cobbinah","given":"Patrick Brandful"},{"family":"Asibey","given":"Michael Osei"},{"family":"Gyedu-Pensang","given":"Yaa Asuamah"}],"accessed":{"date-parts":[["2022",2,9]]},"issued":{"date-parts":[["2020",12]]}}}],"schema":"https://github.com/citation-style-language/schema/raw/master/csl-citation.json"} </w:instrText>
      </w:r>
      <w:r w:rsidRPr="00103457">
        <w:rPr>
          <w:rFonts w:ascii="Times New Roman" w:eastAsia="Aptos" w:hAnsi="Times New Roman"/>
          <w:color w:val="000000"/>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(Cobbinah et al., 2020)</w:t>
      </w:r>
      <w:r w:rsidRPr="00103457">
        <w:rPr>
          <w:rFonts w:ascii="Times New Roman" w:eastAsia="Aptos" w:hAnsi="Times New Roman"/>
          <w:color w:val="000000"/>
          <w:shd w:val="clear" w:color="auto" w:fill="FFFFFF"/>
          <w:lang w:bidi="ar-SA"/>
          <w14:ligatures w14:val="standardContextual"/>
        </w:rPr>
        <w:fldChar w:fldCharType="end"/>
      </w:r>
      <w:r w:rsidRPr="00103457">
        <w:rPr>
          <w:rFonts w:ascii="Times New Roman" w:eastAsia="Aptos" w:hAnsi="Times New Roman"/>
          <w:color w:val="000000"/>
          <w:shd w:val="clear" w:color="auto" w:fill="FFFFFF"/>
          <w:lang w:bidi="ar-SA"/>
          <w14:ligatures w14:val="standardContextual"/>
        </w:rPr>
        <w:t>. Urban expansion encroaches on agricultural lands, dispossessing vulnerable people of their livelihood sources. Land prices are held secret among landowners, with each landowner deciding the pricing of their lands with no regulations. Unregulated land markets create unequal access to urban land. Additionally, real estate investment has increased in Ghanaian cities, providing multiple housing options; however, new developments may cause unintended disenfranchisement. Understanding how these dynamics vary in secondary compared with primary cities can fortify the efforts of planners and policymakers to design and implement sustainable urban expansion policies.</w:t>
      </w:r>
    </w:p>
    <w:p w14:paraId="1A37FF83" w14:textId="77777777" w:rsid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Our main objective is to understand the factors influencing urban expansion in primary and secondary cities. We specifically asked three questions: How do secondary cities' expansion rates and patterns vary compared with primary cities? How have socio-cultural and economic factors influenced the spatial pattern of urban expansion in secondary compared to primary cities? How have different actors </w:t>
      </w:r>
      <w:r w:rsidRPr="00103457">
        <w:rPr>
          <w:rFonts w:ascii="Times New Roman" w:eastAsia="Aptos" w:hAnsi="Times New Roman"/>
          <w:bCs/>
          <w:lang w:bidi="ar-SA"/>
          <w14:ligatures w14:val="standardContextual"/>
        </w:rPr>
        <w:t xml:space="preserve">engaged and shaped </w:t>
      </w:r>
      <w:r w:rsidRPr="00103457">
        <w:rPr>
          <w:rFonts w:ascii="Times New Roman" w:eastAsia="Aptos" w:hAnsi="Times New Roman"/>
          <w:lang w:bidi="ar-SA"/>
          <w14:ligatures w14:val="standardContextual"/>
        </w:rPr>
        <w:t xml:space="preserve">urban expansion across secondary compared with primary cities? We used the West </w:t>
      </w:r>
      <w:r w:rsidRPr="00103457">
        <w:rPr>
          <w:rFonts w:ascii="Times New Roman" w:eastAsia="Aptos" w:hAnsi="Times New Roman"/>
          <w:shd w:val="clear" w:color="auto" w:fill="FFFFFF"/>
          <w:lang w:bidi="ar-SA"/>
          <w14:ligatures w14:val="standardContextual"/>
        </w:rPr>
        <w:t>Africa Dataset of Impervious Surface Cover (</w:t>
      </w:r>
      <w:r w:rsidRPr="00103457">
        <w:rPr>
          <w:rFonts w:ascii="Times New Roman" w:eastAsia="Aptos" w:hAnsi="Times New Roman"/>
          <w:lang w:bidi="ar-SA"/>
          <w14:ligatures w14:val="standardContextual"/>
        </w:rPr>
        <w:t xml:space="preserve">WADISC) data to quantify urban expansion rates, which we complemented with semi-structured interviews with knowledge-rich urban stakeholders. This mixed method enabled us to understand the difference in patterns of urban expansion and how multiple factors and actors influence urban expansion across primary and secondary cities. </w:t>
      </w:r>
    </w:p>
    <w:p w14:paraId="7F3D4EDA" w14:textId="77777777" w:rsidR="00CD05AF" w:rsidRPr="00103457" w:rsidRDefault="00CD05AF" w:rsidP="00B72C9C">
      <w:pPr>
        <w:spacing w:line="240" w:lineRule="auto"/>
        <w:ind w:firstLine="360"/>
        <w:rPr>
          <w:rFonts w:ascii="Times New Roman" w:eastAsia="Aptos" w:hAnsi="Times New Roman"/>
          <w:lang w:bidi="ar-SA"/>
          <w14:ligatures w14:val="standardContextual"/>
        </w:rPr>
      </w:pPr>
    </w:p>
    <w:p w14:paraId="7389349C" w14:textId="77777777" w:rsidR="00103457" w:rsidRPr="00103457" w:rsidRDefault="00103457" w:rsidP="00B72C9C">
      <w:pPr>
        <w:pStyle w:val="Heading2"/>
      </w:pPr>
      <w:bookmarkStart w:id="81" w:name="_Toc172288730"/>
      <w:r w:rsidRPr="00103457">
        <w:lastRenderedPageBreak/>
        <w:t>Materials and Methods</w:t>
      </w:r>
      <w:bookmarkEnd w:id="81"/>
    </w:p>
    <w:p w14:paraId="71B42D32" w14:textId="77777777" w:rsidR="00103457" w:rsidRPr="00103457" w:rsidRDefault="00103457" w:rsidP="00277F12">
      <w:pPr>
        <w:pStyle w:val="Heading3"/>
      </w:pPr>
      <w:bookmarkStart w:id="82" w:name="_Toc172288731"/>
      <w:r w:rsidRPr="00103457">
        <w:t>Study Area</w:t>
      </w:r>
      <w:bookmarkEnd w:id="82"/>
    </w:p>
    <w:p w14:paraId="2836BFFE" w14:textId="0CA07B4F" w:rsidR="00103457" w:rsidRDefault="00103457" w:rsidP="00B72C9C">
      <w:pPr>
        <w:ind w:firstLine="360"/>
        <w:rPr>
          <w:rFonts w:ascii="Times New Roman" w:eastAsia="Aptos" w:hAnsi="Times New Roman"/>
          <w:color w:val="000000"/>
          <w:shd w:val="clear" w:color="auto" w:fill="FFFFFF"/>
          <w:lang w:bidi="ar-SA"/>
          <w14:ligatures w14:val="standardContextual"/>
        </w:rPr>
      </w:pPr>
      <w:r w:rsidRPr="00103457">
        <w:rPr>
          <w:rFonts w:ascii="Times New Roman" w:eastAsia="Aptos" w:hAnsi="Times New Roman"/>
          <w:color w:val="000000"/>
          <w:shd w:val="clear" w:color="auto" w:fill="FFFFFF"/>
          <w:lang w:bidi="ar-SA"/>
          <w14:ligatures w14:val="standardContextual"/>
        </w:rPr>
        <w:t xml:space="preserve">In Ghana, the percentage of total population living in cities grew from 38.4% in 2000 to 50.4% in 2020, and the number of cities increased from 138 to 225 </w:t>
      </w:r>
      <w:r w:rsidRPr="00103457">
        <w:rPr>
          <w:rFonts w:ascii="Times New Roman" w:eastAsia="Aptos" w:hAnsi="Times New Roman"/>
          <w:color w:val="000000"/>
          <w:shd w:val="clear" w:color="auto" w:fill="FFFFFF"/>
          <w:lang w:bidi="ar-SA"/>
          <w14:ligatures w14:val="standardContextual"/>
        </w:rPr>
        <w:fldChar w:fldCharType="begin"/>
      </w:r>
      <w:r w:rsidRPr="00103457">
        <w:rPr>
          <w:rFonts w:ascii="Times New Roman" w:eastAsia="Aptos" w:hAnsi="Times New Roman"/>
          <w:color w:val="000000"/>
          <w:shd w:val="clear" w:color="auto" w:fill="FFFFFF"/>
          <w:lang w:bidi="ar-SA"/>
          <w14:ligatures w14:val="standardContextual"/>
        </w:rPr>
        <w:instrText xml:space="preserve"> ADDIN ZOTERO_ITEM CSL_CITATION {"citationID":"DSwix3s8","properties":{"formattedCitation":"(OECD/SWAC,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eastAsia="Aptos" w:hAnsi="Times New Roman"/>
          <w:color w:val="000000"/>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(OECD/SWAC, 2020)</w:t>
      </w:r>
      <w:r w:rsidRPr="00103457">
        <w:rPr>
          <w:rFonts w:ascii="Times New Roman" w:eastAsia="Aptos" w:hAnsi="Times New Roman"/>
          <w:color w:val="000000"/>
          <w:shd w:val="clear" w:color="auto" w:fill="FFFFFF"/>
          <w:lang w:bidi="ar-SA"/>
          <w14:ligatures w14:val="standardContextual"/>
        </w:rPr>
        <w:fldChar w:fldCharType="end"/>
      </w:r>
      <w:r w:rsidRPr="00103457">
        <w:rPr>
          <w:rFonts w:ascii="Times New Roman" w:eastAsia="Aptos" w:hAnsi="Times New Roman"/>
          <w:color w:val="000000"/>
          <w:shd w:val="clear" w:color="auto" w:fill="FFFFFF"/>
          <w:lang w:bidi="ar-SA"/>
          <w14:ligatures w14:val="standardContextual"/>
        </w:rPr>
        <w:t>. Of the 17 million urban residents in 2021, 53% live in secondary cities with populations between 10,000 and 1 million people and 47% in primary cities with over 1 million urban residents. We focused on the two primary (Accra and Kumasi) cities and four rapidly growing secondary cities: Takoradi, Tamale, Techiman, and Wa (</w:t>
      </w:r>
      <w:r w:rsidR="009A6B58" w:rsidRPr="009A6B58">
        <w:rPr>
          <w:rFonts w:ascii="Times New Roman" w:eastAsia="Aptos" w:hAnsi="Times New Roman"/>
          <w:color w:val="000000"/>
          <w:shd w:val="clear" w:color="auto" w:fill="FFFFFF"/>
          <w:lang w:bidi="ar-SA"/>
          <w14:ligatures w14:val="standardContextual"/>
        </w:rPr>
        <w:fldChar w:fldCharType="begin"/>
      </w:r>
      <w:r w:rsidR="009A6B58" w:rsidRPr="009A6B58">
        <w:rPr>
          <w:rFonts w:ascii="Times New Roman" w:eastAsia="Aptos" w:hAnsi="Times New Roman"/>
          <w:color w:val="000000"/>
          <w:shd w:val="clear" w:color="auto" w:fill="FFFFFF"/>
          <w:lang w:bidi="ar-SA"/>
          <w14:ligatures w14:val="standardContextual"/>
        </w:rPr>
        <w:instrText xml:space="preserve"> REF _Ref169279979 \h  \* MERGEFORMAT </w:instrText>
      </w:r>
      <w:r w:rsidR="009A6B58" w:rsidRPr="009A6B58">
        <w:rPr>
          <w:rFonts w:ascii="Times New Roman" w:eastAsia="Aptos" w:hAnsi="Times New Roman"/>
          <w:color w:val="000000"/>
          <w:shd w:val="clear" w:color="auto" w:fill="FFFFFF"/>
          <w:lang w:bidi="ar-SA"/>
          <w14:ligatures w14:val="standardContextual"/>
        </w:rPr>
      </w:r>
      <w:r w:rsidR="009A6B58" w:rsidRPr="009A6B58">
        <w:rPr>
          <w:rFonts w:ascii="Times New Roman" w:eastAsia="Aptos" w:hAnsi="Times New Roman"/>
          <w:color w:val="000000"/>
          <w:shd w:val="clear" w:color="auto" w:fill="FFFFFF"/>
          <w:lang w:bidi="ar-SA"/>
          <w14:ligatures w14:val="standardContextual"/>
        </w:rPr>
        <w:fldChar w:fldCharType="separate"/>
      </w:r>
      <w:r w:rsidR="00B129D9" w:rsidRPr="00B129D9">
        <w:rPr>
          <w:rFonts w:cstheme="minorHAnsi"/>
        </w:rPr>
        <w:t xml:space="preserve">Figure </w:t>
      </w:r>
      <w:r w:rsidR="00B129D9" w:rsidRPr="00B129D9">
        <w:rPr>
          <w:rFonts w:cstheme="minorHAnsi"/>
          <w:noProof/>
        </w:rPr>
        <w:t>9</w:t>
      </w:r>
      <w:r w:rsidR="009A6B58" w:rsidRPr="009A6B58">
        <w:rPr>
          <w:rFonts w:ascii="Times New Roman" w:eastAsia="Aptos" w:hAnsi="Times New Roman"/>
          <w:color w:val="000000"/>
          <w:shd w:val="clear" w:color="auto" w:fill="FFFFFF"/>
          <w:lang w:bidi="ar-SA"/>
          <w14:ligatures w14:val="standardContextual"/>
        </w:rPr>
        <w:fldChar w:fldCharType="end"/>
      </w:r>
      <w:r w:rsidRPr="00103457">
        <w:rPr>
          <w:rFonts w:ascii="Times New Roman" w:eastAsia="Aptos" w:hAnsi="Times New Roman"/>
          <w:color w:val="000000"/>
          <w:shd w:val="clear" w:color="auto" w:fill="FFFFFF"/>
          <w:lang w:bidi="ar-SA"/>
          <w14:ligatures w14:val="standardContextual"/>
        </w:rPr>
        <w:t xml:space="preserve">). Each city has a different share of Ghana’s urban population, with 30.8% in Accra, 16% in Kumasi, 3.4% in Takoradi, 3.0% in Tamale, 1.4% in Techiman, and 0.9% in Wa </w:t>
      </w:r>
      <w:r w:rsidRPr="00103457">
        <w:rPr>
          <w:rFonts w:ascii="Times New Roman" w:eastAsia="Aptos" w:hAnsi="Times New Roman"/>
          <w:color w:val="000000"/>
          <w:shd w:val="clear" w:color="auto" w:fill="FFFFFF"/>
          <w:lang w:bidi="ar-SA"/>
          <w14:ligatures w14:val="standardContextual"/>
        </w:rPr>
        <w:fldChar w:fldCharType="begin"/>
      </w:r>
      <w:r w:rsidRPr="00103457">
        <w:rPr>
          <w:rFonts w:ascii="Times New Roman" w:eastAsia="Aptos" w:hAnsi="Times New Roman"/>
          <w:color w:val="000000"/>
          <w:shd w:val="clear" w:color="auto" w:fill="FFFFFF"/>
          <w:lang w:bidi="ar-SA"/>
          <w14:ligatures w14:val="standardContextual"/>
        </w:rPr>
        <w:instrText xml:space="preserve"> ADDIN ZOTERO_ITEM CSL_CITATION {"citationID":"q7c5Bif1","properties":{"formattedCitation":"(OECD/SWAC,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eastAsia="Aptos" w:hAnsi="Times New Roman"/>
          <w:color w:val="000000"/>
          <w:shd w:val="clear" w:color="auto" w:fill="FFFFFF"/>
          <w:lang w:bidi="ar-SA"/>
          <w14:ligatures w14:val="standardContextual"/>
        </w:rPr>
        <w:fldChar w:fldCharType="separate"/>
      </w:r>
      <w:r w:rsidRPr="00103457">
        <w:rPr>
          <w:rFonts w:ascii="Times New Roman" w:eastAsia="Aptos" w:hAnsi="Times New Roman"/>
          <w:lang w:bidi="ar-SA"/>
          <w14:ligatures w14:val="standardContextual"/>
        </w:rPr>
        <w:t>(OECD/SWAC, 2020)</w:t>
      </w:r>
      <w:r w:rsidRPr="00103457">
        <w:rPr>
          <w:rFonts w:ascii="Times New Roman" w:eastAsia="Aptos" w:hAnsi="Times New Roman"/>
          <w:color w:val="000000"/>
          <w:shd w:val="clear" w:color="auto" w:fill="FFFFFF"/>
          <w:lang w:bidi="ar-SA"/>
          <w14:ligatures w14:val="standardContextual"/>
        </w:rPr>
        <w:fldChar w:fldCharType="end"/>
      </w:r>
      <w:r w:rsidRPr="00103457">
        <w:rPr>
          <w:rFonts w:ascii="Times New Roman" w:eastAsia="Aptos" w:hAnsi="Times New Roman"/>
          <w:color w:val="000000"/>
          <w:shd w:val="clear" w:color="auto" w:fill="FFFFFF"/>
          <w:lang w:bidi="ar-SA"/>
          <w14:ligatures w14:val="standardContextual"/>
        </w:rPr>
        <w:t xml:space="preserve">. </w:t>
      </w:r>
    </w:p>
    <w:p w14:paraId="02032F04" w14:textId="77777777" w:rsidR="0041573F" w:rsidRPr="00103457" w:rsidRDefault="0041573F" w:rsidP="0041573F">
      <w:pPr>
        <w:ind w:firstLine="360"/>
        <w:rPr>
          <w:rFonts w:ascii="Times New Roman" w:eastAsia="Aptos" w:hAnsi="Times New Roman"/>
          <w:color w:val="000000"/>
          <w:shd w:val="clear" w:color="auto" w:fill="FFFFFF"/>
          <w:lang w:bidi="ar-SA"/>
          <w14:ligatures w14:val="standardContextual"/>
        </w:rPr>
      </w:pPr>
      <w:r w:rsidRPr="00103457">
        <w:rPr>
          <w:rFonts w:ascii="Times New Roman" w:eastAsia="Aptos" w:hAnsi="Times New Roman"/>
          <w:color w:val="000000"/>
          <w:shd w:val="clear" w:color="auto" w:fill="FFFFFF"/>
          <w:lang w:bidi="ar-SA"/>
          <w14:ligatures w14:val="standardContextual"/>
        </w:rPr>
        <w:t>Historical development plans and global integration since structural adjustment programs have fostered disparities in urban population growth and development. While in the past, most infrastructure, service provision, and foreign direct investments have targeted Accra and Kumasi, current urban development plans seek to decentralize and redistribute populations to multiple economic growth poles</w:t>
      </w:r>
      <w:r w:rsidRPr="00103457">
        <w:rPr>
          <w:rFonts w:ascii="Times New Roman" w:eastAsia="Aptos" w:hAnsi="Times New Roman"/>
          <w:shd w:val="clear" w:color="auto" w:fill="FFFFFF"/>
          <w:lang w:bidi="ar-SA"/>
          <w14:ligatures w14:val="standardContextual"/>
        </w:rPr>
        <w:t xml:space="preserve">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{"citationID":"d5RehHOU","properties":{"formattedCitation":"(F. Agyemang et al., 2019)","plainCitation":"(F. Agyemang et al., 2019)","noteIndex":0},"citationItems":[{"id":485,"uris":["http://zotero.org/users/8906743/items/WFANKWUF"],"itemData":{"id":485,"type":"article-journal","archive_location":"WOS:000461265400003","container-title":"Habitat International","DOI":"10.1016/j.habitatint.2019.02.001","ISSN":"0197-3975","page":"21-33","title":"Understanding the urban spatial structure of Sub-Saharan African cities using the case of urban development patterns of a Ghanaian city-region","volume":"85","author":[{"family":"Agyemang","given":"FSK"},{"family":"Silva","given":"E"},{"family":"Poku-Boansi","given":"M"}],"issued":{"date-parts":[["2019",3]]}}}],"schema":"https://github.com/citation-style-language/schema/raw/master/csl-citation.json"}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szCs w:val="22"/>
          <w:lang w:bidi="ar-SA"/>
          <w14:ligatures w14:val="standardContextual"/>
        </w:rPr>
        <w:t>(Agyemang et al., 2019)</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bidi="ar-SA"/>
          <w14:ligatures w14:val="standardContextual"/>
        </w:rPr>
        <w:t xml:space="preserve">. </w:t>
      </w:r>
      <w:r w:rsidRPr="00103457">
        <w:rPr>
          <w:rFonts w:ascii="Times New Roman" w:eastAsia="Aptos" w:hAnsi="Times New Roman"/>
          <w:color w:val="000000"/>
          <w:shd w:val="clear" w:color="auto" w:fill="FFFFFF"/>
          <w:lang w:bidi="ar-SA"/>
          <w14:ligatures w14:val="standardContextual"/>
        </w:rPr>
        <w:t xml:space="preserve">These aims have potentially increased governmental infrastructure and service provision in smaller cities, increasing their developed area through time. However, most urban expansion studies largely focus on individual primary cities. Therefore, analysis of the urban patterns and factors influencing expansion across multiple secondary and primary cities offer lessons for decision-making, planning, and future research. </w:t>
      </w:r>
    </w:p>
    <w:p w14:paraId="067DB06D" w14:textId="77777777" w:rsidR="0041573F" w:rsidRDefault="0041573F" w:rsidP="00B72C9C">
      <w:pPr>
        <w:ind w:firstLine="360"/>
        <w:rPr>
          <w:rFonts w:ascii="Times New Roman" w:eastAsia="Aptos" w:hAnsi="Times New Roman"/>
          <w:color w:val="000000"/>
          <w:shd w:val="clear" w:color="auto" w:fill="FFFFFF"/>
          <w:lang w:bidi="ar-SA"/>
          <w14:ligatures w14:val="standardContextual"/>
        </w:rPr>
      </w:pPr>
    </w:p>
    <w:p w14:paraId="33897EFB" w14:textId="6E134447" w:rsidR="004E29B8" w:rsidRDefault="004E29B8" w:rsidP="00D409C1">
      <w:pPr>
        <w:spacing w:line="240" w:lineRule="auto"/>
        <w:rPr>
          <w:rFonts w:ascii="Times New Roman" w:eastAsia="Aptos" w:hAnsi="Times New Roman"/>
          <w:color w:val="000000"/>
          <w:shd w:val="clear" w:color="auto" w:fill="FFFFFF"/>
          <w:lang w:bidi="ar-SA"/>
          <w14:ligatures w14:val="standardContextual"/>
        </w:rPr>
      </w:pPr>
      <w:r>
        <w:rPr>
          <w:rFonts w:ascii="Times New Roman" w:eastAsia="Aptos" w:hAnsi="Times New Roman"/>
          <w:noProof/>
          <w:color w:val="000000"/>
          <w:shd w:val="clear" w:color="auto" w:fill="FFFFFF"/>
          <w:lang w:bidi="ar-SA"/>
        </w:rPr>
        <w:lastRenderedPageBreak/>
        <w:drawing>
          <wp:inline distT="0" distB="0" distL="0" distR="0" wp14:anchorId="1E76729C" wp14:editId="3EFF61F1">
            <wp:extent cx="5829545" cy="4635610"/>
            <wp:effectExtent l="0" t="0" r="0" b="0"/>
            <wp:docPr id="799246914" name="Picture 54"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46914" name="Picture 54" descr="A map of the country&#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38134" cy="4642440"/>
                    </a:xfrm>
                    <a:prstGeom prst="rect">
                      <a:avLst/>
                    </a:prstGeom>
                  </pic:spPr>
                </pic:pic>
              </a:graphicData>
            </a:graphic>
          </wp:inline>
        </w:drawing>
      </w:r>
    </w:p>
    <w:p w14:paraId="70BD7044" w14:textId="38B1426A" w:rsidR="00802400" w:rsidRPr="0079373A" w:rsidRDefault="00802400" w:rsidP="00D409C1">
      <w:pPr>
        <w:spacing w:line="240" w:lineRule="auto"/>
        <w:rPr>
          <w:b/>
          <w:bCs/>
        </w:rPr>
      </w:pPr>
      <w:bookmarkStart w:id="83" w:name="_Ref169279979"/>
      <w:bookmarkStart w:id="84" w:name="_Toc172233506"/>
      <w:r w:rsidRPr="00611EFA">
        <w:rPr>
          <w:b/>
          <w:bCs/>
        </w:rPr>
        <w:t xml:space="preserve">Figure </w:t>
      </w:r>
      <w:r w:rsidRPr="00611EFA">
        <w:rPr>
          <w:b/>
          <w:bCs/>
        </w:rPr>
        <w:fldChar w:fldCharType="begin"/>
      </w:r>
      <w:r w:rsidRPr="00611EFA">
        <w:rPr>
          <w:b/>
          <w:bCs/>
        </w:rPr>
        <w:instrText xml:space="preserve"> SEQ Figure \* ARABIC </w:instrText>
      </w:r>
      <w:r w:rsidRPr="00611EFA">
        <w:rPr>
          <w:b/>
          <w:bCs/>
        </w:rPr>
        <w:fldChar w:fldCharType="separate"/>
      </w:r>
      <w:r w:rsidR="00B129D9">
        <w:rPr>
          <w:b/>
          <w:bCs/>
          <w:noProof/>
        </w:rPr>
        <w:t>9</w:t>
      </w:r>
      <w:r w:rsidRPr="00611EFA">
        <w:rPr>
          <w:b/>
          <w:bCs/>
        </w:rPr>
        <w:fldChar w:fldCharType="end"/>
      </w:r>
      <w:bookmarkEnd w:id="83"/>
      <w:r w:rsidRPr="00611EFA">
        <w:rPr>
          <w:b/>
          <w:bCs/>
        </w:rPr>
        <w:t>:</w:t>
      </w:r>
      <w:r w:rsidRPr="0079373A">
        <w:t xml:space="preserve"> Locations of study cities in Ghana. The secondary cities are in </w:t>
      </w:r>
      <w:r w:rsidR="009230A8">
        <w:t>blue</w:t>
      </w:r>
      <w:r w:rsidR="00A871B3">
        <w:t xml:space="preserve"> dots</w:t>
      </w:r>
      <w:r w:rsidRPr="0079373A">
        <w:t xml:space="preserve">, and primary cities are in </w:t>
      </w:r>
      <w:r w:rsidR="009230A8">
        <w:t>red</w:t>
      </w:r>
      <w:r w:rsidR="00A871B3">
        <w:t xml:space="preserve"> dots</w:t>
      </w:r>
      <w:r w:rsidRPr="0079373A">
        <w:t>.</w:t>
      </w:r>
      <w:bookmarkEnd w:id="84"/>
    </w:p>
    <w:p w14:paraId="46939224" w14:textId="77777777" w:rsidR="00802400" w:rsidRPr="00103457" w:rsidRDefault="00802400" w:rsidP="00802400">
      <w:pPr>
        <w:spacing w:line="240" w:lineRule="auto"/>
        <w:ind w:firstLine="360"/>
        <w:rPr>
          <w:rFonts w:ascii="Times New Roman" w:eastAsia="Aptos" w:hAnsi="Times New Roman"/>
          <w:color w:val="000000"/>
          <w:shd w:val="clear" w:color="auto" w:fill="FFFFFF"/>
          <w:lang w:bidi="ar-SA"/>
          <w14:ligatures w14:val="standardContextual"/>
        </w:rPr>
      </w:pPr>
    </w:p>
    <w:p w14:paraId="4E4CA249" w14:textId="77777777" w:rsidR="0079373A" w:rsidRPr="00103457" w:rsidRDefault="0079373A" w:rsidP="00802400">
      <w:pPr>
        <w:spacing w:line="240" w:lineRule="auto"/>
        <w:rPr>
          <w:lang w:bidi="ar-SA"/>
        </w:rPr>
      </w:pPr>
    </w:p>
    <w:p w14:paraId="3B1C8324" w14:textId="77777777" w:rsidR="00103457" w:rsidRPr="00103457" w:rsidRDefault="00103457" w:rsidP="00277F12">
      <w:pPr>
        <w:pStyle w:val="Heading3"/>
      </w:pPr>
      <w:bookmarkStart w:id="85" w:name="_Toc172288732"/>
      <w:r w:rsidRPr="00103457">
        <w:t>Methods</w:t>
      </w:r>
      <w:bookmarkEnd w:id="85"/>
    </w:p>
    <w:p w14:paraId="4FDFDA43" w14:textId="348C550E"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Our comparative case study method afforded in-depth understanding of general and context-specific analyses among cases with a similar topic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{"citationID":"RpRpFm6N","properties":{"formattedCitation":"(Goodrick, 2014)","plainCitation":"(Goodrick, 2014)","noteIndex":0},"citationItems":[{"id":1964,"uris":["http://zotero.org/users/8906743/items/FZ9BVTQ8"],"itemData":{"id":1964,"type":"article-journal","abstract":"Comparative case studies involve the analysis and synthesis of the similarities, differences and patterns across two or more cases that share a common focus or goal in a way that produces knowledge that is easier to generalize about causal questions – how and why particular programmes or policies work or fail to work. They may be selected as an appropriate impact evaluation design when it is not feasible to undertake an experimental design, and/or when there is a need to explain how the context influences the success of programme or policy initiatives. Comparative case studies usually utilize both qualitative and quantitative methods and are particularly useful for understanding how the context influences the success of an intervention and how better to tailor the intervention to the specific context to achieve the intended outcomes.","collection-title":"Papers","container-title":"Papers","language":"en","note":"number: innpub754\npublisher: Methodological Briefs","source":"ideas.repec.org","title":"Comparative Case Studies: Methodological Briefs - Impact Evaluation No. 9","title-short":"Comparative Case Studies","URL":"https://ideas.repec.org//p/ucf/metbri/innpub754.html","author":[{"family":"Goodrick","given":"Delwyn"}],"accessed":{"date-parts":[["2024",2,27]]},"issued":{"date-parts":[["2014"]]}}}],"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(Goodrick, 2014)</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We purposively selected four secondary and two primary cities for our comparative analysis. Using a mixed-method research approach, we employed urban expansion data and semi-structured open-ended interviews with knowledge-rich urban stakeholders, including urban residents, developers, planners, and </w:t>
      </w:r>
      <w:r w:rsidRPr="00B01BE1">
        <w:rPr>
          <w:rFonts w:ascii="Times New Roman" w:eastAsia="Aptos" w:hAnsi="Times New Roman"/>
          <w:lang w:bidi="ar-SA"/>
          <w14:ligatures w14:val="standardContextual"/>
        </w:rPr>
        <w:t xml:space="preserve">landowners </w:t>
      </w:r>
      <w:r w:rsidR="00823EED" w:rsidRPr="00B01BE1">
        <w:rPr>
          <w:rFonts w:ascii="Times New Roman" w:eastAsia="Aptos" w:hAnsi="Times New Roman"/>
          <w:lang w:bidi="ar-SA"/>
          <w14:ligatures w14:val="standardContextual"/>
        </w:rPr>
        <w:t>(</w:t>
      </w:r>
      <w:r w:rsidR="00823EED" w:rsidRPr="00B01BE1">
        <w:rPr>
          <w:rFonts w:ascii="Times New Roman" w:eastAsia="Aptos" w:hAnsi="Times New Roman"/>
          <w:lang w:bidi="ar-SA"/>
          <w14:ligatures w14:val="standardContextual"/>
        </w:rPr>
        <w:fldChar w:fldCharType="begin"/>
      </w:r>
      <w:r w:rsidR="00823EED" w:rsidRPr="00B01BE1">
        <w:rPr>
          <w:rFonts w:ascii="Times New Roman" w:eastAsia="Aptos" w:hAnsi="Times New Roman"/>
          <w:lang w:bidi="ar-SA"/>
          <w14:ligatures w14:val="standardContextual"/>
        </w:rPr>
        <w:instrText xml:space="preserve"> REF _Ref162376555 \h </w:instrText>
      </w:r>
      <w:r w:rsidR="00B01BE1" w:rsidRPr="00B01BE1">
        <w:rPr>
          <w:rFonts w:ascii="Times New Roman" w:eastAsia="Aptos" w:hAnsi="Times New Roman"/>
          <w:lang w:bidi="ar-SA"/>
          <w14:ligatures w14:val="standardContextual"/>
        </w:rPr>
        <w:instrText xml:space="preserve"> \* MERGEFORMAT </w:instrText>
      </w:r>
      <w:r w:rsidR="00823EED" w:rsidRPr="00B01BE1">
        <w:rPr>
          <w:rFonts w:ascii="Times New Roman" w:eastAsia="Aptos" w:hAnsi="Times New Roman"/>
          <w:lang w:bidi="ar-SA"/>
          <w14:ligatures w14:val="standardContextual"/>
        </w:rPr>
      </w:r>
      <w:r w:rsidR="00823EED" w:rsidRPr="00B01BE1">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5</w:t>
      </w:r>
      <w:r w:rsidR="00823EED" w:rsidRPr="00B01BE1">
        <w:rPr>
          <w:rFonts w:ascii="Times New Roman" w:eastAsia="Aptos" w:hAnsi="Times New Roman"/>
          <w:lang w:bidi="ar-SA"/>
          <w14:ligatures w14:val="standardContextual"/>
        </w:rPr>
        <w:fldChar w:fldCharType="end"/>
      </w:r>
      <w:r w:rsidR="00823EED" w:rsidRPr="00B01BE1">
        <w:rPr>
          <w:rFonts w:ascii="Times New Roman" w:eastAsia="Aptos" w:hAnsi="Times New Roman"/>
          <w:lang w:bidi="ar-SA"/>
          <w14:ligatures w14:val="standardContextual"/>
        </w:rPr>
        <w:t>)</w:t>
      </w:r>
      <w:r w:rsidRPr="00B01BE1">
        <w:rPr>
          <w:rFonts w:ascii="Times New Roman" w:eastAsia="Aptos" w:hAnsi="Times New Roman"/>
          <w:lang w:bidi="ar-SA"/>
          <w14:ligatures w14:val="standardContextual"/>
        </w:rPr>
        <w:t>.</w:t>
      </w:r>
      <w:r w:rsidRPr="00103457">
        <w:rPr>
          <w:rFonts w:ascii="Times New Roman" w:eastAsia="Aptos" w:hAnsi="Times New Roman"/>
          <w:lang w:bidi="ar-SA"/>
          <w14:ligatures w14:val="standardContextual"/>
        </w:rPr>
        <w:t xml:space="preserve"> </w:t>
      </w:r>
    </w:p>
    <w:p w14:paraId="59C5228A" w14:textId="0E0A8F16"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lastRenderedPageBreak/>
        <w:t>We used the WADISC dataset, specifically developed for city- to regional-scale analysis of urban expansion across four countries in West Africa</w:t>
      </w:r>
      <w:r w:rsidR="00BC09DA">
        <w:rPr>
          <w:rFonts w:ascii="Times New Roman" w:eastAsia="Aptos" w:hAnsi="Times New Roman"/>
          <w:lang w:bidi="ar-SA"/>
          <w14:ligatures w14:val="standardContextual"/>
        </w:rPr>
        <w:t xml:space="preserve"> </w:t>
      </w:r>
      <w:r w:rsidR="00BC09DA">
        <w:rPr>
          <w:rFonts w:ascii="Times New Roman" w:eastAsia="Aptos" w:hAnsi="Times New Roman"/>
        </w:rPr>
        <w:fldChar w:fldCharType="begin"/>
      </w:r>
      <w:r w:rsidR="00BC09DA">
        <w:rPr>
          <w:rFonts w:ascii="Times New Roman" w:eastAsia="Aptos" w:hAnsi="Times New Roman"/>
        </w:rPr>
        <w:instrText xml:space="preserve"> ADDIN ZOTERO_ITEM CSL_CITATION {"citationID":"2F6xjlT0","properties":{"formattedCitation":"(Korah &amp; Wimberly, 2024a, 2024b)","plainCitation":"(Korah &amp; Wimberly, 2024a, 2024b)","noteIndex":0},"citationItems":[{"id":2032,"uris":["http://zotero.org/users/8906743/items/QJMXD7GI"],"itemData":{"id":2032,"type":"dataset","DOI":"10.6084/m9.figshare.24716481.v3","genre":"Dataset","publisher":"figshare","source":"figshare.com","title":"WADISC: Annual Impervious Surface Data for Ghana, Togo, Benin, and Nigeria from 2001 – 2020","URL":"https://doi.org/10.6084/m9.figshare.24716481.v3","author":[{"family":"Korah","given":"Andrews"},{"family":"Wimberly","given":"Michael"}],"issued":{"date-parts":[["2024"]]}}},{"id":2091,"uris":["http://zotero.org/users/8906743/items/ZYYWM79L"],"itemData":{"id":2091,"type":"article-journal","abstract":"Impervious surface data are increasingly important for research and planning. Despite the availability of global and local urban land cover maps, regional data are lacking in Africa. We generated annual 30 m impervious cover data from 2001–2020 for Ghana, Togo, Benin, and Nigeria using the Landsat archive. We used random forest to predict impervious cover using 11 spectral indices and applied pixel-level temporal segmentation with the LandTrendr algorithm. Processing with LandTrendr improved the accuracy of the random forest predictions, with higher predicted-observed r2 (0.81), and lower mean error (−0.03), mean absolute error (5.73%), and root mean squared error (9.93%). We classified pixels &gt;20% impervious as developed and &lt; = 20% impervious as undeveloped. This classification had 93% overall accuracy and similar producer’s (79%) and user’s (80%) accuracies for developed area. Our maps had higher accuracy and captured more developed areas than comparable global datasets. This is the first regionally calibrated 30 m resolution impervious dataset in West Africa, which can support research on drivers and impacts of urban expansion and planning for future growth.","container-title":"Scientific Data","DOI":"10.1038/s41597-024-03610-8","ISSN":"2052-4463","issue":"1","journalAbbreviation":"Sci Data","language":"en","license":"2024 The Author(s)","note":"publisher: Nature Publishing Group","page":"791","source":"www.nature.com","title":"Annual Impervious Surface Data from 2001–2020 for West African Countries: Ghana, Togo, Benin and Nigeria","title-short":"Annual Impervious Surface Data from 2001–2020 for West African Countries","URL":"https://www.nature.com/articles/s41597-024-03610-8","volume":"11","author":[{"family":"Korah","given":"Andrews"},{"family":"Wimberly","given":"Michael C."}],"accessed":{"date-parts":[["2024",7,18]]},"issued":{"date-parts":[["2024",7,18]]}}}],"schema":"https://github.com/citation-style-language/schema/raw/master/csl-citation.json"} </w:instrText>
      </w:r>
      <w:r w:rsidR="00BC09DA">
        <w:rPr>
          <w:rFonts w:ascii="Times New Roman" w:eastAsia="Aptos" w:hAnsi="Times New Roman"/>
        </w:rPr>
        <w:fldChar w:fldCharType="separate"/>
      </w:r>
      <w:r w:rsidR="00BC09DA" w:rsidRPr="009C0011">
        <w:rPr>
          <w:rFonts w:ascii="Times New Roman" w:hAnsi="Times New Roman"/>
          <w:sz w:val="22"/>
        </w:rPr>
        <w:t>(Korah &amp; Wimberly, 2024a, 2024b)</w:t>
      </w:r>
      <w:r w:rsidR="00BC09DA">
        <w:rPr>
          <w:rFonts w:ascii="Times New Roman" w:eastAsia="Aptos" w:hAnsi="Times New Roman"/>
        </w:rPr>
        <w:fldChar w:fldCharType="end"/>
      </w:r>
      <w:r w:rsidR="00BC09DA" w:rsidRPr="00103457">
        <w:rPr>
          <w:rFonts w:ascii="Times New Roman" w:eastAsia="Aptos" w:hAnsi="Times New Roman"/>
          <w:lang w:bidi="ar-SA"/>
          <w14:ligatures w14:val="standardContextual"/>
        </w:rPr>
        <w:t>.</w:t>
      </w:r>
      <w:r w:rsidRPr="00103457">
        <w:rPr>
          <w:rFonts w:ascii="Times New Roman" w:eastAsia="Aptos" w:hAnsi="Times New Roman"/>
          <w:lang w:bidi="ar-SA"/>
          <w14:ligatures w14:val="standardContextual"/>
        </w:rPr>
        <w:t xml:space="preserve"> This dataset classified developed lands as 30 m grid cells with &gt; 20% impervious cover with 93% overall accuracy</w:t>
      </w:r>
      <w:r w:rsidR="00087F49">
        <w:rPr>
          <w:rFonts w:ascii="Times New Roman" w:eastAsia="Aptos" w:hAnsi="Times New Roman"/>
          <w:lang w:bidi="ar-SA"/>
          <w14:ligatures w14:val="standardContextual"/>
        </w:rPr>
        <w:t xml:space="preserve"> </w:t>
      </w:r>
      <w:r w:rsidR="00087F49" w:rsidRPr="00087F49">
        <w:rPr>
          <w:rFonts w:ascii="Times New Roman" w:eastAsia="Aptos" w:hAnsi="Times New Roman"/>
        </w:rPr>
        <w:fldChar w:fldCharType="begin"/>
      </w:r>
      <w:r w:rsidR="00087F49" w:rsidRPr="00087F49">
        <w:rPr>
          <w:rFonts w:ascii="Times New Roman" w:eastAsia="Aptos" w:hAnsi="Times New Roman"/>
        </w:rPr>
        <w:instrText xml:space="preserve"> ADDIN ZOTERO_ITEM CSL_CITATION {"citationID":"zvrPqONT","properties":{"formattedCitation":"(Korah &amp; Wimberly, 2024b)","plainCitation":"(Korah &amp; Wimberly, 2024b)","noteIndex":0},"citationItems":[{"id":2091,"uris":["http://zotero.org/users/8906743/items/ZYYWM79L"],"itemData":{"id":2091,"type":"article-journal","abstract":"Impervious surface data are increasingly important for research and planning. Despite the availability of global and local urban land cover maps, regional data are lacking in Africa. We generated annual 30 m impervious cover data from 2001–2020 for Ghana, Togo, Benin, and Nigeria using the Landsat archive. We used random forest to predict impervious cover using 11 spectral indices and applied pixel-level temporal segmentation with the LandTrendr algorithm. Processing with LandTrendr improved the accuracy of the random forest predictions, with higher predicted-observed r2 (0.81), and lower mean error (−0.03), mean absolute error (5.73%), and root mean squared error (9.93%). We classified pixels &gt;20% impervious as developed and &lt; = 20% impervious as undeveloped. This classification had 93% overall accuracy and similar producer’s (79%) and user’s (80%) accuracies for developed area. Our maps had higher accuracy and captured more developed areas than comparable global datasets. This is the first regionally calibrated 30 m resolution impervious dataset in West Africa, which can support research on drivers and impacts of urban expansion and planning for future growth.","container-title":"Scientific Data","DOI":"10.1038/s41597-024-03610-8","ISSN":"2052-4463","issue":"1","journalAbbreviation":"Sci Data","language":"en","license":"2024 The Author(s)","note":"publisher: Nature Publishing Group","page":"791","source":"www.nature.com","title":"Annual Impervious Surface Data from 2001–2020 for West African Countries: Ghana, Togo, Benin and Nigeria","title-short":"Annual Impervious Surface Data from 2001–2020 for West African Countries","URL":"https://www.nature.com/articles/s41597-024-03610-8","volume":"11","author":[{"family":"Korah","given":"Andrews"},{"family":"Wimberly","given":"Michael C."}],"accessed":{"date-parts":[["2024",7,18]]},"issued":{"date-parts":[["2024",7,18]]}}}],"schema":"https://github.com/citation-style-language/schema/raw/master/csl-citation.json"} </w:instrText>
      </w:r>
      <w:r w:rsidR="00087F49" w:rsidRPr="00087F49">
        <w:rPr>
          <w:rFonts w:ascii="Times New Roman" w:eastAsia="Aptos" w:hAnsi="Times New Roman"/>
        </w:rPr>
        <w:fldChar w:fldCharType="separate"/>
      </w:r>
      <w:r w:rsidR="00087F49" w:rsidRPr="00087F49">
        <w:rPr>
          <w:rFonts w:ascii="Times New Roman" w:hAnsi="Times New Roman"/>
        </w:rPr>
        <w:t>(Korah &amp; Wimberly, 2024b)</w:t>
      </w:r>
      <w:r w:rsidR="00087F49" w:rsidRPr="00087F49">
        <w:rPr>
          <w:rFonts w:ascii="Times New Roman" w:eastAsia="Aptos" w:hAnsi="Times New Roman"/>
        </w:rPr>
        <w:fldChar w:fldCharType="end"/>
      </w:r>
      <w:r w:rsidRPr="00087F49">
        <w:rPr>
          <w:rFonts w:ascii="Times New Roman" w:eastAsia="Aptos" w:hAnsi="Times New Roman"/>
          <w:lang w:bidi="ar-SA"/>
          <w14:ligatures w14:val="standardContextual"/>
        </w:rPr>
        <w:t>.</w:t>
      </w:r>
      <w:r w:rsidRPr="00103457">
        <w:rPr>
          <w:rFonts w:ascii="Times New Roman" w:eastAsia="Aptos" w:hAnsi="Times New Roman"/>
          <w:lang w:bidi="ar-SA"/>
          <w14:ligatures w14:val="standardContextual"/>
        </w:rPr>
        <w:t xml:space="preserve"> We extracted the developed areas for the study areas using Africapolis city boundaries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{"citationID":"ChKTEwwB","properties":{"formattedCitation":"(OECD/SWAC,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(OECD/SWAC, 2020)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We then computed the total developed area, expansion patterns, and annual expansion rates from 2001-2020. We summarize the total developed area for each city and primary and secondary cities. We employed the urban landscape analysis tool (ULAT) to generate cities' infill and sprawl patterns. We generated the annual expansion rate as </w:t>
      </w:r>
    </w:p>
    <w:p w14:paraId="7ACAFF0A" w14:textId="6429A7AD" w:rsidR="00103457" w:rsidRPr="00103457" w:rsidRDefault="00103457" w:rsidP="00B72C9C">
      <w:pPr>
        <w:ind w:firstLine="360"/>
        <w:rPr>
          <w:rFonts w:ascii="Times New Roman" w:eastAsia="Aptos" w:hAnsi="Times New Roman"/>
          <w:lang w:bidi="ar-SA"/>
          <w14:ligatures w14:val="standardContextual"/>
        </w:rPr>
      </w:pPr>
      <m:oMath>
        <m:r>
          <w:rPr>
            <w:rFonts w:ascii="Cambria Math" w:eastAsia="Aptos" w:hAnsi="Cambria Math"/>
            <w:lang w:val="es-ES" w:bidi="ar-SA"/>
            <w14:ligatures w14:val="standardContextual"/>
          </w:rPr>
          <m:t>AER</m:t>
        </m:r>
        <m:r>
          <w:rPr>
            <w:rFonts w:ascii="Cambria Math" w:eastAsia="Aptos" w:hAnsi="Cambria Math"/>
            <w:lang w:bidi="ar-SA"/>
            <w14:ligatures w14:val="standardContextual"/>
          </w:rPr>
          <m:t>=100% ×</m:t>
        </m:r>
        <m:d>
          <m:dPr>
            <m:ctrlPr>
              <w:rPr>
                <w:rFonts w:ascii="Cambria Math" w:eastAsia="Aptos" w:hAnsi="Cambria Math"/>
                <w:i/>
                <w:lang w:bidi="ar-SA"/>
                <w14:ligatures w14:val="standardContextual"/>
              </w:rPr>
            </m:ctrlPr>
          </m:dPr>
          <m:e>
            <m:rad>
              <m:radPr>
                <m:ctrlPr>
                  <w:rPr>
                    <w:rFonts w:ascii="Cambria Math" w:eastAsia="Aptos" w:hAnsi="Cambria Math"/>
                    <w:i/>
                    <w:lang w:bidi="ar-SA"/>
                    <w14:ligatures w14:val="standardContextual"/>
                  </w:rPr>
                </m:ctrlPr>
              </m:radPr>
              <m:deg>
                <m:r>
                  <w:rPr>
                    <w:rFonts w:ascii="Cambria Math" w:eastAsia="Aptos" w:hAnsi="Cambria Math"/>
                    <w:lang w:bidi="ar-SA"/>
                    <w14:ligatures w14:val="standardContextual"/>
                  </w:rPr>
                  <m:t>n</m:t>
                </m:r>
              </m:deg>
              <m:e>
                <m:f>
                  <m:fPr>
                    <m:ctrlPr>
                      <w:rPr>
                        <w:rFonts w:ascii="Cambria Math" w:eastAsia="Aptos" w:hAnsi="Cambria Math"/>
                        <w:i/>
                        <w:lang w:bidi="ar-SA"/>
                        <w14:ligatures w14:val="standardContextual"/>
                      </w:rPr>
                    </m:ctrlPr>
                  </m:fPr>
                  <m:num>
                    <m:sSub>
                      <m:sSubPr>
                        <m:ctrlPr>
                          <w:rPr>
                            <w:rFonts w:ascii="Cambria Math" w:eastAsia="Aptos" w:hAnsi="Cambria Math"/>
                            <w:i/>
                            <w:lang w:bidi="ar-SA"/>
                            <w14:ligatures w14:val="standardContextual"/>
                          </w:rPr>
                        </m:ctrlPr>
                      </m:sSubPr>
                      <m:e>
                        <m:r>
                          <w:rPr>
                            <w:rFonts w:ascii="Cambria Math" w:eastAsia="Aptos" w:hAnsi="Cambria Math"/>
                            <w:lang w:bidi="ar-SA"/>
                            <w14:ligatures w14:val="standardContextual"/>
                          </w:rPr>
                          <m:t>TDA</m:t>
                        </m:r>
                      </m:e>
                      <m:sub>
                        <m:r>
                          <w:rPr>
                            <w:rFonts w:ascii="Cambria Math" w:eastAsia="Aptos" w:hAnsi="Cambria Math"/>
                            <w:lang w:bidi="ar-SA"/>
                            <w14:ligatures w14:val="standardContextual"/>
                          </w:rPr>
                          <m:t>e</m:t>
                        </m:r>
                      </m:sub>
                    </m:sSub>
                  </m:num>
                  <m:den>
                    <m:sSub>
                      <m:sSubPr>
                        <m:ctrlPr>
                          <w:rPr>
                            <w:rFonts w:ascii="Cambria Math" w:eastAsia="Aptos" w:hAnsi="Cambria Math"/>
                            <w:i/>
                            <w:lang w:bidi="ar-SA"/>
                            <w14:ligatures w14:val="standardContextual"/>
                          </w:rPr>
                        </m:ctrlPr>
                      </m:sSubPr>
                      <m:e>
                        <m:r>
                          <w:rPr>
                            <w:rFonts w:ascii="Cambria Math" w:eastAsia="Aptos" w:hAnsi="Cambria Math"/>
                            <w:lang w:bidi="ar-SA"/>
                            <w14:ligatures w14:val="standardContextual"/>
                          </w:rPr>
                          <m:t>TDA</m:t>
                        </m:r>
                      </m:e>
                      <m:sub>
                        <m:r>
                          <w:rPr>
                            <w:rFonts w:ascii="Cambria Math" w:eastAsia="Aptos" w:hAnsi="Cambria Math"/>
                            <w:lang w:bidi="ar-SA"/>
                            <w14:ligatures w14:val="standardContextual"/>
                          </w:rPr>
                          <m:t>s</m:t>
                        </m:r>
                      </m:sub>
                    </m:sSub>
                  </m:den>
                </m:f>
              </m:e>
            </m:rad>
            <m:r>
              <w:rPr>
                <w:rFonts w:ascii="Cambria Math" w:eastAsia="Aptos" w:hAnsi="Cambria Math"/>
                <w:lang w:bidi="ar-SA"/>
                <w14:ligatures w14:val="standardContextual"/>
              </w:rPr>
              <m:t>-1</m:t>
            </m:r>
          </m:e>
        </m:d>
        <m:r>
          <w:rPr>
            <w:rFonts w:ascii="Cambria Math" w:eastAsia="Aptos" w:hAnsi="Cambria Math"/>
            <w:lang w:bidi="ar-SA"/>
            <w14:ligatures w14:val="standardContextual"/>
          </w:rPr>
          <m:t>…………………(1)</m:t>
        </m:r>
      </m:oMath>
      <w:r w:rsidRPr="00103457">
        <w:rPr>
          <w:rFonts w:ascii="Times New Roman" w:eastAsia="Aptos" w:hAnsi="Times New Roman"/>
          <w:lang w:bidi="ar-SA"/>
          <w14:ligatures w14:val="standardContextual"/>
        </w:rPr>
        <w:t>.</w:t>
      </w:r>
    </w:p>
    <w:p w14:paraId="58A72CF3" w14:textId="77777777"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i/>
          <w:iCs/>
          <w:lang w:bidi="ar-SA"/>
          <w14:ligatures w14:val="standardContextual"/>
        </w:rPr>
        <w:t>TDA</w:t>
      </w:r>
      <w:r w:rsidRPr="00103457">
        <w:rPr>
          <w:rFonts w:ascii="Times New Roman" w:eastAsia="Aptos" w:hAnsi="Times New Roman"/>
          <w:i/>
          <w:iCs/>
          <w:vertAlign w:val="subscript"/>
          <w:lang w:bidi="ar-SA"/>
          <w14:ligatures w14:val="standardContextual"/>
        </w:rPr>
        <w:t>s</w:t>
      </w:r>
      <w:r w:rsidRPr="00103457">
        <w:rPr>
          <w:rFonts w:ascii="Times New Roman" w:eastAsia="Aptos" w:hAnsi="Times New Roman"/>
          <w:i/>
          <w:vertAlign w:val="subscript"/>
          <w:lang w:bidi="ar-SA"/>
          <w14:ligatures w14:val="standardContextual"/>
        </w:rPr>
        <w:t xml:space="preserve"> </w:t>
      </w:r>
      <w:r w:rsidRPr="00103457">
        <w:rPr>
          <w:rFonts w:ascii="Times New Roman" w:eastAsia="Aptos" w:hAnsi="Times New Roman"/>
          <w:lang w:bidi="ar-SA"/>
          <w14:ligatures w14:val="standardContextual"/>
        </w:rPr>
        <w:t xml:space="preserve">is the total developed area for the start year, </w:t>
      </w:r>
      <w:r w:rsidRPr="00103457">
        <w:rPr>
          <w:rFonts w:ascii="Times New Roman" w:eastAsia="Aptos" w:hAnsi="Times New Roman"/>
          <w:i/>
          <w:iCs/>
          <w:lang w:bidi="ar-SA"/>
          <w14:ligatures w14:val="standardContextual"/>
        </w:rPr>
        <w:t>TDA</w:t>
      </w:r>
      <w:r w:rsidRPr="00103457">
        <w:rPr>
          <w:rFonts w:ascii="Times New Roman" w:eastAsia="Aptos" w:hAnsi="Times New Roman"/>
          <w:i/>
          <w:iCs/>
          <w:vertAlign w:val="subscript"/>
          <w:lang w:bidi="ar-SA"/>
          <w14:ligatures w14:val="standardContextual"/>
        </w:rPr>
        <w:t>e</w:t>
      </w:r>
      <w:r w:rsidRPr="00103457">
        <w:rPr>
          <w:rFonts w:ascii="Times New Roman" w:eastAsia="Aptos" w:hAnsi="Times New Roman"/>
          <w:lang w:bidi="ar-SA"/>
          <w14:ligatures w14:val="standardContextual"/>
        </w:rPr>
        <w:t xml:space="preserve"> is the total developed area for the end year, and n is the time interval in years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{"citationID":"ucsRAjyg","properties":{"formattedCitation":"(Ning et al., 2022)","plainCitation":"(Ning et al., 2022)","noteIndex":0},"citationItems":[{"id":650,"uris":["http://zotero.org/users/8906743/items/76L9UXXR"],"itemData":{"id":650,"type":"article-journal","abstract":"It is undeniable that the process of urbanization in China is a massive phenomenon of scale and speed in hu­ manity history. The relentless march of urbanization poses a critical challenge for creating a comprehensive analysis of the integrated characteristics of contemporary cities. Here, we integrated 30 m continuous and consistent human settlement areas to quantify spatiotemporal dynamics of urban development in 344 prefectural-level cities of China from 1987 to 2017 via Gibrat's law. Results indicated that China had experienced a rapid urbanization process during the past three decades with annual expansion and annual growth rates of 3877.93 km2 and 5.84%, respectively. A key finding was that city growth rate was inversely proportional to initial city size, therefore contradicting Gibrat's law, whose performance was relevant to shifts in urbanization policies. Furthermore, results also highlighted interregional disparities between the southwest and northwest and other regions, as well as intra-regional differences within geographical, urban sizes, and administrative levels. Exploring the validity of Gibrat's law involving the links between city size and growth rate in China deepens our theoretical insights and, more importantly, will make policymakers aware of the need to adopt a holistic approach by considering the uneven nature of urbanization toward better sustainability.","container-title":"Cities","DOI":"10.1016/j.cities.2022.103717","ISSN":"02642751","journalAbbreviation":"Cities","language":"en","page":"103717","source":"DOI.org (Crossref)","title":"Urban growth rates, trajectories, and multi-dimensional disparities in China","URL":"https://linkinghub.elsevier.com/retrieve/pii/S0264275122001561","volume":"126","author":[{"family":"Ning","given":"Ying"},{"family":"Liu","given":"Shuguang"},{"family":"Zhao","given":"Shuqing"},{"family":"Liu","given":"Maochou"},{"family":"Gao","given":"Haiqiang"},{"family":"Gong","given":"Peng"}],"accessed":{"date-parts":[["2023",3,11]]},"issued":{"date-parts":[["2022",7]]}}}],"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(Ning et al., 2022)</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w:t>
      </w:r>
    </w:p>
    <w:p w14:paraId="20744C1B" w14:textId="3692D5C3"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For semi-structured interviews, we randomly and purposively identified most of our participants, but also identified others based on referrals. </w:t>
      </w:r>
      <w:r w:rsidRPr="00103457">
        <w:rPr>
          <w:rFonts w:ascii="Times New Roman" w:hAnsi="Times New Roman"/>
          <w:color w:val="000000"/>
          <w:lang w:bidi="ar-SA"/>
        </w:rPr>
        <w:t xml:space="preserve">Planners and real estate developers have public visibility on the websites of their institutions or associations; this makes it less challenging to identify and recruit them. Customary landowners, including chiefs, priests, and family heads, lack such public visibility, so identifying and recruiting them was far more difficult. Fortunately, identified participants recommended other potential participants. When possible, we recruited and consented research participants in person and via phone calls. Attentive to cultural differences, socio-economic positionalities, and uneven power relations, we also tailored our approach to identify and recruit participants through email and WhatsApp texts. </w:t>
      </w:r>
      <w:r w:rsidRPr="00103457">
        <w:rPr>
          <w:rFonts w:ascii="Times New Roman" w:eastAsia="Aptos" w:hAnsi="Times New Roman"/>
          <w:lang w:bidi="ar-SA"/>
          <w14:ligatures w14:val="standardContextual"/>
        </w:rPr>
        <w:t>Interviews with participants mostly focused on locational determinants for new developments, planning and zoning challenges, and managing urban expansion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REF _Ref162376555 \h  \* MERGEFORMAT </w:instrText>
      </w:r>
      <w:r w:rsidRPr="00103457">
        <w:rPr>
          <w:rFonts w:ascii="Times New Roman" w:eastAsia="Aptos" w:hAnsi="Times New Roman"/>
          <w:lang w:bidi="ar-SA"/>
          <w14:ligatures w14:val="standardContextual"/>
        </w:rPr>
      </w:r>
      <w:r w:rsidRPr="00103457">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5</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w:t>
      </w:r>
      <w:r w:rsidRPr="00103457">
        <w:rPr>
          <w:rFonts w:ascii="Times New Roman" w:hAnsi="Times New Roman"/>
          <w:color w:val="000000"/>
          <w:lang w:bidi="ar-SA"/>
        </w:rPr>
        <w:t xml:space="preserve">During in-person </w:t>
      </w:r>
      <w:r w:rsidRPr="00103457">
        <w:rPr>
          <w:rFonts w:ascii="Times New Roman" w:hAnsi="Times New Roman"/>
          <w:color w:val="000000"/>
          <w:lang w:bidi="ar-SA"/>
        </w:rPr>
        <w:lastRenderedPageBreak/>
        <w:t xml:space="preserve">interviews with participants, we took handwritten notes and, when possible, audio-recorded the conversation. Participants could see and immediately adjust their responses for interviews conducted through email and WhatsApp texts. Likewise, we sent transcripts of recorded audio to participants so they could confirm their consent and clarify or correct as needed. Verification with participants helped ensure the reliability of our interview responses. </w:t>
      </w:r>
    </w:p>
    <w:p w14:paraId="28987BE1" w14:textId="77777777" w:rsidR="00103457" w:rsidRPr="00103457" w:rsidRDefault="00103457" w:rsidP="00B72C9C">
      <w:pPr>
        <w:ind w:firstLine="360"/>
        <w:rPr>
          <w:rFonts w:ascii="Times New Roman" w:hAnsi="Times New Roman"/>
          <w:color w:val="000000"/>
          <w:lang w:bidi="ar-SA"/>
        </w:rPr>
      </w:pPr>
      <w:r w:rsidRPr="00103457">
        <w:rPr>
          <w:rFonts w:ascii="Times New Roman" w:hAnsi="Times New Roman"/>
          <w:color w:val="000000"/>
          <w:lang w:bidi="ar-SA"/>
        </w:rPr>
        <w:t xml:space="preserve">We employed inductive coding to organize interview transcripts using NVivo. We input audio recordings and transcripts based on city type to identify key factors influencing expansion. After identifying the main factors, we sifted systematically through our field notes to ensure consistency with summarized factors. </w:t>
      </w:r>
      <w:r w:rsidRPr="00103457">
        <w:rPr>
          <w:rFonts w:ascii="Times New Roman" w:eastAsia="Aptos" w:hAnsi="Times New Roman"/>
          <w:lang w:bidi="ar-SA"/>
          <w14:ligatures w14:val="standardContextual"/>
        </w:rPr>
        <w:t>The rich qualitative data we collected through interviews and analyzed by inductive coding provides detailed descriptions and narratives on diverse factors and stakeholders influencing urban expansion in secondary compared with primary cities</w:t>
      </w:r>
      <w:r w:rsidRPr="00103457">
        <w:rPr>
          <w:rFonts w:ascii="Times New Roman" w:hAnsi="Times New Roman"/>
          <w:color w:val="000000"/>
          <w:lang w:bidi="ar-SA"/>
        </w:rPr>
        <w:t xml:space="preserve">. </w:t>
      </w:r>
    </w:p>
    <w:p w14:paraId="1AF60CA2" w14:textId="65865820" w:rsidR="00103457" w:rsidRPr="00103457" w:rsidRDefault="00103457" w:rsidP="00B72C9C">
      <w:pPr>
        <w:keepNext/>
        <w:spacing w:line="240" w:lineRule="auto"/>
        <w:rPr>
          <w:rFonts w:ascii="Times New Roman" w:eastAsia="Aptos" w:hAnsi="Times New Roman"/>
          <w:lang w:bidi="ar-SA"/>
          <w14:ligatures w14:val="standardContextual"/>
        </w:rPr>
      </w:pPr>
      <w:bookmarkStart w:id="86" w:name="_Ref162376555"/>
      <w:bookmarkStart w:id="87" w:name="_Ref169280057"/>
      <w:bookmarkStart w:id="88" w:name="_Toc172233721"/>
      <w:r w:rsidRPr="007D7640">
        <w:rPr>
          <w:rFonts w:ascii="Times New Roman" w:eastAsia="Aptos" w:hAnsi="Times New Roman"/>
          <w:b/>
          <w:bCs/>
          <w:lang w:bidi="ar-SA"/>
          <w14:ligatures w14:val="standardContextual"/>
        </w:rPr>
        <w:t xml:space="preserve">Table </w:t>
      </w:r>
      <w:r w:rsidRPr="007D7640">
        <w:rPr>
          <w:rFonts w:ascii="Times New Roman" w:eastAsia="Aptos" w:hAnsi="Times New Roman"/>
          <w:b/>
          <w:bCs/>
          <w:lang w:bidi="ar-SA"/>
          <w14:ligatures w14:val="standardContextual"/>
        </w:rPr>
        <w:fldChar w:fldCharType="begin"/>
      </w:r>
      <w:r w:rsidRPr="007D7640">
        <w:rPr>
          <w:rFonts w:ascii="Times New Roman" w:eastAsia="Aptos" w:hAnsi="Times New Roman"/>
          <w:b/>
          <w:bCs/>
          <w:lang w:bidi="ar-SA"/>
          <w14:ligatures w14:val="standardContextual"/>
        </w:rPr>
        <w:instrText xml:space="preserve"> SEQ Table \* ARABIC </w:instrText>
      </w:r>
      <w:r w:rsidRPr="007D7640">
        <w:rPr>
          <w:rFonts w:ascii="Times New Roman" w:eastAsia="Aptos" w:hAnsi="Times New Roman"/>
          <w:b/>
          <w:bCs/>
          <w:lang w:bidi="ar-SA"/>
          <w14:ligatures w14:val="standardContextual"/>
        </w:rPr>
        <w:fldChar w:fldCharType="separate"/>
      </w:r>
      <w:r w:rsidR="00B129D9">
        <w:rPr>
          <w:rFonts w:ascii="Times New Roman" w:eastAsia="Aptos" w:hAnsi="Times New Roman"/>
          <w:b/>
          <w:bCs/>
          <w:noProof/>
          <w:lang w:bidi="ar-SA"/>
          <w14:ligatures w14:val="standardContextual"/>
        </w:rPr>
        <w:t>5</w:t>
      </w:r>
      <w:r w:rsidRPr="007D7640">
        <w:rPr>
          <w:rFonts w:ascii="Times New Roman" w:eastAsia="Aptos" w:hAnsi="Times New Roman"/>
          <w:b/>
          <w:bCs/>
          <w:lang w:bidi="ar-SA"/>
          <w14:ligatures w14:val="standardContextual"/>
        </w:rPr>
        <w:fldChar w:fldCharType="end"/>
      </w:r>
      <w:bookmarkEnd w:id="86"/>
      <w:r w:rsidRPr="00103457">
        <w:rPr>
          <w:rFonts w:ascii="Times New Roman" w:eastAsia="Aptos" w:hAnsi="Times New Roman"/>
          <w:lang w:bidi="ar-SA"/>
          <w14:ligatures w14:val="standardContextual"/>
        </w:rPr>
        <w:t>: Summary of research participants across cities in Ghana.</w:t>
      </w:r>
      <w:bookmarkEnd w:id="87"/>
      <w:bookmarkEnd w:id="88"/>
    </w:p>
    <w:p w14:paraId="39156021" w14:textId="28A53B12" w:rsidR="009A6B58" w:rsidRDefault="009A6B58" w:rsidP="009A6B58">
      <w:pPr>
        <w:pStyle w:val="Caption"/>
        <w:keepNext/>
      </w:pPr>
    </w:p>
    <w:tbl>
      <w:tblPr>
        <w:tblW w:w="8956" w:type="dxa"/>
        <w:tblLook w:val="04A0" w:firstRow="1" w:lastRow="0" w:firstColumn="1" w:lastColumn="0" w:noHBand="0" w:noVBand="1"/>
      </w:tblPr>
      <w:tblGrid>
        <w:gridCol w:w="1573"/>
        <w:gridCol w:w="4837"/>
        <w:gridCol w:w="1159"/>
        <w:gridCol w:w="1387"/>
      </w:tblGrid>
      <w:tr w:rsidR="00103457" w:rsidRPr="00103457" w14:paraId="704ADADF" w14:textId="77777777" w:rsidTr="00AA5DD3">
        <w:trPr>
          <w:trHeight w:val="247"/>
        </w:trPr>
        <w:tc>
          <w:tcPr>
            <w:tcW w:w="1573" w:type="dxa"/>
            <w:tcBorders>
              <w:top w:val="single" w:sz="4" w:space="0" w:color="auto"/>
              <w:left w:val="nil"/>
              <w:bottom w:val="single" w:sz="4" w:space="0" w:color="000000"/>
              <w:right w:val="nil"/>
            </w:tcBorders>
            <w:vAlign w:val="center"/>
            <w:hideMark/>
          </w:tcPr>
          <w:p w14:paraId="6C4F543A" w14:textId="77777777" w:rsidR="00103457" w:rsidRPr="00103457" w:rsidRDefault="00103457" w:rsidP="00CD05AF">
            <w:pPr>
              <w:spacing w:line="240" w:lineRule="auto"/>
              <w:rPr>
                <w:rFonts w:ascii="Times New Roman" w:hAnsi="Times New Roman"/>
                <w:b/>
                <w:bCs/>
                <w:color w:val="000000"/>
                <w:lang w:bidi="ar-SA"/>
                <w14:ligatures w14:val="standardContextual"/>
              </w:rPr>
            </w:pPr>
            <w:r w:rsidRPr="00103457">
              <w:rPr>
                <w:rFonts w:ascii="Times New Roman" w:hAnsi="Times New Roman"/>
                <w:b/>
                <w:bCs/>
                <w:color w:val="000000"/>
                <w:lang w:bidi="ar-SA"/>
                <w14:ligatures w14:val="standardContextual"/>
              </w:rPr>
              <w:t>Participants</w:t>
            </w:r>
          </w:p>
        </w:tc>
        <w:tc>
          <w:tcPr>
            <w:tcW w:w="4837" w:type="dxa"/>
            <w:tcBorders>
              <w:top w:val="single" w:sz="4" w:space="0" w:color="auto"/>
              <w:left w:val="nil"/>
              <w:bottom w:val="single" w:sz="4" w:space="0" w:color="auto"/>
              <w:right w:val="nil"/>
            </w:tcBorders>
          </w:tcPr>
          <w:p w14:paraId="3A5F29CF" w14:textId="77777777" w:rsidR="00103457" w:rsidRPr="00103457" w:rsidRDefault="00103457" w:rsidP="00CD05AF">
            <w:pPr>
              <w:spacing w:line="240" w:lineRule="auto"/>
              <w:jc w:val="center"/>
              <w:rPr>
                <w:rFonts w:ascii="Times New Roman" w:hAnsi="Times New Roman"/>
                <w:b/>
                <w:bCs/>
                <w:color w:val="000000"/>
                <w:lang w:bidi="ar-SA"/>
                <w14:ligatures w14:val="standardContextual"/>
              </w:rPr>
            </w:pPr>
            <w:r w:rsidRPr="00103457">
              <w:rPr>
                <w:rFonts w:ascii="Times New Roman" w:hAnsi="Times New Roman"/>
                <w:b/>
                <w:bCs/>
                <w:color w:val="000000"/>
                <w:lang w:bidi="ar-SA"/>
                <w14:ligatures w14:val="standardContextual"/>
              </w:rPr>
              <w:t>Interview Topics</w:t>
            </w:r>
          </w:p>
        </w:tc>
        <w:tc>
          <w:tcPr>
            <w:tcW w:w="1159" w:type="dxa"/>
            <w:tcBorders>
              <w:top w:val="single" w:sz="4" w:space="0" w:color="auto"/>
              <w:left w:val="nil"/>
              <w:bottom w:val="single" w:sz="4" w:space="0" w:color="auto"/>
              <w:right w:val="nil"/>
            </w:tcBorders>
            <w:shd w:val="clear" w:color="auto" w:fill="auto"/>
            <w:noWrap/>
            <w:vAlign w:val="bottom"/>
          </w:tcPr>
          <w:p w14:paraId="6FD3C409" w14:textId="77777777" w:rsidR="00103457" w:rsidRPr="00103457" w:rsidRDefault="00103457" w:rsidP="00CD05AF">
            <w:pPr>
              <w:spacing w:line="240" w:lineRule="auto"/>
              <w:jc w:val="center"/>
              <w:rPr>
                <w:rFonts w:ascii="Times New Roman" w:hAnsi="Times New Roman"/>
                <w:b/>
                <w:bCs/>
                <w:color w:val="000000"/>
                <w:lang w:bidi="ar-SA"/>
                <w14:ligatures w14:val="standardContextual"/>
              </w:rPr>
            </w:pPr>
            <w:r w:rsidRPr="00103457">
              <w:rPr>
                <w:rFonts w:ascii="Times New Roman" w:hAnsi="Times New Roman"/>
                <w:b/>
                <w:bCs/>
                <w:color w:val="000000"/>
                <w:lang w:bidi="ar-SA"/>
                <w14:ligatures w14:val="standardContextual"/>
              </w:rPr>
              <w:t>Primary</w:t>
            </w:r>
          </w:p>
        </w:tc>
        <w:tc>
          <w:tcPr>
            <w:tcW w:w="1387" w:type="dxa"/>
            <w:tcBorders>
              <w:top w:val="single" w:sz="4" w:space="0" w:color="auto"/>
              <w:left w:val="nil"/>
              <w:bottom w:val="single" w:sz="4" w:space="0" w:color="000000"/>
              <w:right w:val="nil"/>
            </w:tcBorders>
            <w:vAlign w:val="center"/>
          </w:tcPr>
          <w:p w14:paraId="2A14854E" w14:textId="77777777" w:rsidR="00103457" w:rsidRPr="00103457" w:rsidRDefault="00103457" w:rsidP="00CD05AF">
            <w:pPr>
              <w:spacing w:line="240" w:lineRule="auto"/>
              <w:jc w:val="center"/>
              <w:rPr>
                <w:rFonts w:ascii="Times New Roman" w:hAnsi="Times New Roman"/>
                <w:b/>
                <w:bCs/>
                <w:color w:val="000000"/>
                <w:lang w:bidi="ar-SA"/>
                <w14:ligatures w14:val="standardContextual"/>
              </w:rPr>
            </w:pPr>
            <w:r w:rsidRPr="00103457">
              <w:rPr>
                <w:rFonts w:ascii="Times New Roman" w:hAnsi="Times New Roman"/>
                <w:b/>
                <w:bCs/>
                <w:color w:val="000000"/>
                <w:lang w:bidi="ar-SA"/>
                <w14:ligatures w14:val="standardContextual"/>
              </w:rPr>
              <w:t>Secondary</w:t>
            </w:r>
          </w:p>
        </w:tc>
      </w:tr>
      <w:tr w:rsidR="00103457" w:rsidRPr="00103457" w14:paraId="19A8D69D" w14:textId="77777777" w:rsidTr="00AA5DD3">
        <w:trPr>
          <w:trHeight w:val="247"/>
        </w:trPr>
        <w:tc>
          <w:tcPr>
            <w:tcW w:w="1573" w:type="dxa"/>
            <w:tcBorders>
              <w:top w:val="nil"/>
              <w:left w:val="nil"/>
              <w:bottom w:val="nil"/>
              <w:right w:val="nil"/>
            </w:tcBorders>
            <w:shd w:val="clear" w:color="auto" w:fill="auto"/>
            <w:noWrap/>
            <w:vAlign w:val="bottom"/>
            <w:hideMark/>
          </w:tcPr>
          <w:p w14:paraId="02BB9F8A" w14:textId="77777777" w:rsidR="00103457" w:rsidRPr="00103457" w:rsidRDefault="00103457" w:rsidP="00CD05AF">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Planners</w:t>
            </w:r>
          </w:p>
        </w:tc>
        <w:tc>
          <w:tcPr>
            <w:tcW w:w="4837" w:type="dxa"/>
            <w:tcBorders>
              <w:top w:val="nil"/>
              <w:left w:val="nil"/>
              <w:bottom w:val="nil"/>
              <w:right w:val="nil"/>
            </w:tcBorders>
          </w:tcPr>
          <w:p w14:paraId="72E434CA" w14:textId="77777777" w:rsidR="00103457" w:rsidRPr="00103457" w:rsidRDefault="00103457" w:rsidP="00CD05AF">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Planning and zoning challenges, implications, and managing urban expansion.</w:t>
            </w:r>
          </w:p>
        </w:tc>
        <w:tc>
          <w:tcPr>
            <w:tcW w:w="1159" w:type="dxa"/>
            <w:tcBorders>
              <w:top w:val="nil"/>
              <w:left w:val="nil"/>
              <w:bottom w:val="nil"/>
              <w:right w:val="nil"/>
            </w:tcBorders>
            <w:shd w:val="clear" w:color="auto" w:fill="auto"/>
            <w:noWrap/>
            <w:vAlign w:val="bottom"/>
          </w:tcPr>
          <w:p w14:paraId="37CA2A6A" w14:textId="77777777" w:rsidR="00103457" w:rsidRPr="00103457" w:rsidRDefault="00103457" w:rsidP="00CD05AF">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3</w:t>
            </w:r>
          </w:p>
        </w:tc>
        <w:tc>
          <w:tcPr>
            <w:tcW w:w="1387" w:type="dxa"/>
            <w:tcBorders>
              <w:top w:val="nil"/>
              <w:left w:val="nil"/>
              <w:bottom w:val="nil"/>
              <w:right w:val="nil"/>
            </w:tcBorders>
            <w:shd w:val="clear" w:color="auto" w:fill="auto"/>
            <w:noWrap/>
            <w:vAlign w:val="bottom"/>
          </w:tcPr>
          <w:p w14:paraId="61C9E6D1" w14:textId="77777777" w:rsidR="00103457" w:rsidRPr="00103457" w:rsidRDefault="00103457" w:rsidP="00CD05AF">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5</w:t>
            </w:r>
          </w:p>
        </w:tc>
      </w:tr>
      <w:tr w:rsidR="00103457" w:rsidRPr="00103457" w14:paraId="3BEFA49E" w14:textId="77777777" w:rsidTr="00AA5DD3">
        <w:trPr>
          <w:trHeight w:val="247"/>
        </w:trPr>
        <w:tc>
          <w:tcPr>
            <w:tcW w:w="1573" w:type="dxa"/>
            <w:tcBorders>
              <w:top w:val="nil"/>
              <w:left w:val="nil"/>
              <w:bottom w:val="nil"/>
              <w:right w:val="nil"/>
            </w:tcBorders>
            <w:shd w:val="clear" w:color="auto" w:fill="auto"/>
            <w:noWrap/>
            <w:vAlign w:val="bottom"/>
            <w:hideMark/>
          </w:tcPr>
          <w:p w14:paraId="7D3E1415" w14:textId="77777777" w:rsidR="00103457" w:rsidRPr="00103457" w:rsidRDefault="00103457" w:rsidP="00CD05AF">
            <w:pPr>
              <w:spacing w:line="240" w:lineRule="auto"/>
              <w:rPr>
                <w:rFonts w:ascii="Times New Roman" w:hAnsi="Times New Roman"/>
                <w:color w:val="000000"/>
                <w:lang w:bidi="ar-SA"/>
                <w14:ligatures w14:val="standardContextual"/>
              </w:rPr>
            </w:pPr>
          </w:p>
          <w:p w14:paraId="51955BAB" w14:textId="77777777" w:rsidR="00103457" w:rsidRPr="00103457" w:rsidRDefault="00103457" w:rsidP="00CD05AF">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Landowners</w:t>
            </w:r>
          </w:p>
        </w:tc>
        <w:tc>
          <w:tcPr>
            <w:tcW w:w="4837" w:type="dxa"/>
            <w:tcBorders>
              <w:top w:val="nil"/>
              <w:left w:val="nil"/>
              <w:bottom w:val="nil"/>
              <w:right w:val="nil"/>
            </w:tcBorders>
          </w:tcPr>
          <w:p w14:paraId="69EA9AA4" w14:textId="77777777" w:rsidR="00103457" w:rsidRPr="00103457" w:rsidRDefault="00103457" w:rsidP="00CD05AF">
            <w:pPr>
              <w:spacing w:line="240" w:lineRule="auto"/>
              <w:rPr>
                <w:rFonts w:ascii="Times New Roman" w:hAnsi="Times New Roman"/>
                <w:color w:val="000000"/>
                <w:lang w:bidi="ar-SA"/>
                <w14:ligatures w14:val="standardContextual"/>
              </w:rPr>
            </w:pPr>
          </w:p>
          <w:p w14:paraId="683B7884" w14:textId="77777777" w:rsidR="00103457" w:rsidRPr="00103457" w:rsidRDefault="00103457" w:rsidP="00CD05AF">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Land costs in different locations and purpose of leasing lands.</w:t>
            </w:r>
          </w:p>
        </w:tc>
        <w:tc>
          <w:tcPr>
            <w:tcW w:w="1159" w:type="dxa"/>
            <w:tcBorders>
              <w:top w:val="nil"/>
              <w:left w:val="nil"/>
              <w:bottom w:val="nil"/>
              <w:right w:val="nil"/>
            </w:tcBorders>
            <w:shd w:val="clear" w:color="auto" w:fill="auto"/>
            <w:noWrap/>
            <w:vAlign w:val="bottom"/>
          </w:tcPr>
          <w:p w14:paraId="4C8B5238" w14:textId="77777777" w:rsidR="00103457" w:rsidRPr="00103457" w:rsidRDefault="00103457" w:rsidP="00CD05AF">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3</w:t>
            </w:r>
          </w:p>
        </w:tc>
        <w:tc>
          <w:tcPr>
            <w:tcW w:w="1387" w:type="dxa"/>
            <w:tcBorders>
              <w:top w:val="nil"/>
              <w:left w:val="nil"/>
              <w:bottom w:val="nil"/>
              <w:right w:val="nil"/>
            </w:tcBorders>
            <w:shd w:val="clear" w:color="auto" w:fill="auto"/>
            <w:noWrap/>
            <w:vAlign w:val="bottom"/>
          </w:tcPr>
          <w:p w14:paraId="17DE0843" w14:textId="77777777" w:rsidR="00103457" w:rsidRPr="00103457" w:rsidRDefault="00103457" w:rsidP="00CD05AF">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7</w:t>
            </w:r>
          </w:p>
        </w:tc>
      </w:tr>
      <w:tr w:rsidR="00103457" w:rsidRPr="00103457" w14:paraId="0AEB4B03" w14:textId="77777777" w:rsidTr="00AA5DD3">
        <w:trPr>
          <w:trHeight w:val="247"/>
        </w:trPr>
        <w:tc>
          <w:tcPr>
            <w:tcW w:w="1573" w:type="dxa"/>
            <w:tcBorders>
              <w:top w:val="nil"/>
              <w:left w:val="nil"/>
              <w:bottom w:val="nil"/>
              <w:right w:val="nil"/>
            </w:tcBorders>
            <w:shd w:val="clear" w:color="auto" w:fill="auto"/>
            <w:noWrap/>
            <w:vAlign w:val="bottom"/>
            <w:hideMark/>
          </w:tcPr>
          <w:p w14:paraId="738B16AA" w14:textId="77777777" w:rsidR="00103457" w:rsidRPr="00103457" w:rsidRDefault="00103457" w:rsidP="00CD05AF">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Developers</w:t>
            </w:r>
          </w:p>
          <w:p w14:paraId="39F16CB9" w14:textId="77777777" w:rsidR="00103457" w:rsidRPr="00103457" w:rsidRDefault="00103457" w:rsidP="00CD05AF">
            <w:pPr>
              <w:spacing w:line="240" w:lineRule="auto"/>
              <w:rPr>
                <w:rFonts w:ascii="Times New Roman" w:hAnsi="Times New Roman"/>
                <w:color w:val="000000"/>
                <w:lang w:bidi="ar-SA"/>
                <w14:ligatures w14:val="standardContextual"/>
              </w:rPr>
            </w:pPr>
          </w:p>
        </w:tc>
        <w:tc>
          <w:tcPr>
            <w:tcW w:w="4837" w:type="dxa"/>
            <w:tcBorders>
              <w:top w:val="nil"/>
              <w:left w:val="nil"/>
              <w:bottom w:val="nil"/>
              <w:right w:val="nil"/>
            </w:tcBorders>
          </w:tcPr>
          <w:p w14:paraId="4B472F4B" w14:textId="77777777" w:rsidR="00103457" w:rsidRPr="00103457" w:rsidRDefault="00103457" w:rsidP="00CD05AF">
            <w:pPr>
              <w:spacing w:line="240" w:lineRule="auto"/>
              <w:rPr>
                <w:rFonts w:ascii="Times New Roman" w:hAnsi="Times New Roman"/>
                <w:color w:val="000000"/>
                <w:lang w:bidi="ar-SA"/>
                <w14:ligatures w14:val="standardContextual"/>
              </w:rPr>
            </w:pPr>
          </w:p>
          <w:p w14:paraId="04EE2EE2" w14:textId="77777777" w:rsidR="00103457" w:rsidRPr="00103457" w:rsidRDefault="00103457" w:rsidP="00CD05AF">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Land access, the purpose of acquiring lands, building projects, and cost and benefit of locational choice for projects.</w:t>
            </w:r>
          </w:p>
        </w:tc>
        <w:tc>
          <w:tcPr>
            <w:tcW w:w="1159" w:type="dxa"/>
            <w:tcBorders>
              <w:top w:val="nil"/>
              <w:left w:val="nil"/>
              <w:bottom w:val="nil"/>
              <w:right w:val="nil"/>
            </w:tcBorders>
            <w:shd w:val="clear" w:color="auto" w:fill="auto"/>
            <w:noWrap/>
            <w:vAlign w:val="bottom"/>
          </w:tcPr>
          <w:p w14:paraId="40895763" w14:textId="77777777" w:rsidR="00103457" w:rsidRPr="00103457" w:rsidRDefault="00103457" w:rsidP="00CD05AF">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w:t>
            </w:r>
          </w:p>
        </w:tc>
        <w:tc>
          <w:tcPr>
            <w:tcW w:w="1387" w:type="dxa"/>
            <w:tcBorders>
              <w:top w:val="nil"/>
              <w:left w:val="nil"/>
              <w:bottom w:val="nil"/>
              <w:right w:val="nil"/>
            </w:tcBorders>
            <w:shd w:val="clear" w:color="auto" w:fill="auto"/>
            <w:noWrap/>
            <w:vAlign w:val="bottom"/>
          </w:tcPr>
          <w:p w14:paraId="6FEA4F26" w14:textId="77777777" w:rsidR="00103457" w:rsidRPr="00103457" w:rsidRDefault="00103457" w:rsidP="00CD05AF">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7</w:t>
            </w:r>
          </w:p>
        </w:tc>
      </w:tr>
      <w:tr w:rsidR="00103457" w:rsidRPr="00103457" w14:paraId="4263B040" w14:textId="77777777" w:rsidTr="00AA5DD3">
        <w:trPr>
          <w:trHeight w:val="247"/>
        </w:trPr>
        <w:tc>
          <w:tcPr>
            <w:tcW w:w="1573" w:type="dxa"/>
            <w:tcBorders>
              <w:top w:val="nil"/>
              <w:left w:val="nil"/>
              <w:bottom w:val="single" w:sz="4" w:space="0" w:color="auto"/>
              <w:right w:val="nil"/>
            </w:tcBorders>
            <w:shd w:val="clear" w:color="auto" w:fill="auto"/>
            <w:noWrap/>
            <w:vAlign w:val="bottom"/>
            <w:hideMark/>
          </w:tcPr>
          <w:p w14:paraId="7FA95C45" w14:textId="77777777" w:rsidR="00103457" w:rsidRPr="00103457" w:rsidRDefault="00103457" w:rsidP="00CD05AF">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Urban residents</w:t>
            </w:r>
          </w:p>
        </w:tc>
        <w:tc>
          <w:tcPr>
            <w:tcW w:w="4837" w:type="dxa"/>
            <w:tcBorders>
              <w:top w:val="nil"/>
              <w:left w:val="nil"/>
              <w:bottom w:val="single" w:sz="4" w:space="0" w:color="auto"/>
              <w:right w:val="nil"/>
            </w:tcBorders>
          </w:tcPr>
          <w:p w14:paraId="1F45CD63" w14:textId="77777777" w:rsidR="00103457" w:rsidRPr="00103457" w:rsidRDefault="00103457" w:rsidP="00CD05AF">
            <w:pPr>
              <w:spacing w:line="240" w:lineRule="auto"/>
              <w:rPr>
                <w:rFonts w:ascii="Times New Roman" w:hAnsi="Times New Roman"/>
                <w:color w:val="000000"/>
                <w:lang w:bidi="ar-SA"/>
                <w14:ligatures w14:val="standardContextual"/>
              </w:rPr>
            </w:pPr>
          </w:p>
          <w:p w14:paraId="53E50E6E" w14:textId="77777777" w:rsidR="00103457" w:rsidRPr="00103457" w:rsidRDefault="00103457" w:rsidP="00CD05AF">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Access to land, services, cost of living, and locational choice within the city.</w:t>
            </w:r>
          </w:p>
        </w:tc>
        <w:tc>
          <w:tcPr>
            <w:tcW w:w="1159" w:type="dxa"/>
            <w:tcBorders>
              <w:top w:val="nil"/>
              <w:left w:val="nil"/>
              <w:bottom w:val="single" w:sz="4" w:space="0" w:color="auto"/>
              <w:right w:val="nil"/>
            </w:tcBorders>
            <w:shd w:val="clear" w:color="auto" w:fill="auto"/>
            <w:noWrap/>
            <w:vAlign w:val="bottom"/>
          </w:tcPr>
          <w:p w14:paraId="15676609" w14:textId="77777777" w:rsidR="00103457" w:rsidRPr="00103457" w:rsidRDefault="00103457" w:rsidP="00CD05AF">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12</w:t>
            </w:r>
          </w:p>
        </w:tc>
        <w:tc>
          <w:tcPr>
            <w:tcW w:w="1387" w:type="dxa"/>
            <w:tcBorders>
              <w:top w:val="nil"/>
              <w:left w:val="nil"/>
              <w:bottom w:val="single" w:sz="4" w:space="0" w:color="auto"/>
              <w:right w:val="nil"/>
            </w:tcBorders>
            <w:shd w:val="clear" w:color="auto" w:fill="auto"/>
            <w:noWrap/>
            <w:vAlign w:val="bottom"/>
          </w:tcPr>
          <w:p w14:paraId="3AC2131A" w14:textId="77777777" w:rsidR="00103457" w:rsidRPr="00103457" w:rsidRDefault="00103457" w:rsidP="00CD05AF">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24</w:t>
            </w:r>
          </w:p>
        </w:tc>
      </w:tr>
    </w:tbl>
    <w:p w14:paraId="056D5EFF" w14:textId="77777777" w:rsidR="00103457" w:rsidRPr="00103457" w:rsidRDefault="00103457" w:rsidP="00103457">
      <w:pPr>
        <w:ind w:firstLine="360"/>
        <w:jc w:val="both"/>
        <w:rPr>
          <w:rFonts w:ascii="Times New Roman" w:eastAsia="Aptos" w:hAnsi="Times New Roman"/>
          <w:color w:val="000000"/>
          <w:shd w:val="clear" w:color="auto" w:fill="FFFFFF"/>
          <w:lang w:bidi="ar-SA"/>
          <w14:ligatures w14:val="standardContextual"/>
        </w:rPr>
      </w:pPr>
    </w:p>
    <w:p w14:paraId="4FE204A6" w14:textId="77777777" w:rsidR="00103457" w:rsidRPr="00103457" w:rsidRDefault="00103457" w:rsidP="005A1E7A">
      <w:pPr>
        <w:pStyle w:val="Heading2"/>
      </w:pPr>
      <w:bookmarkStart w:id="89" w:name="_Toc172288733"/>
      <w:r w:rsidRPr="00103457">
        <w:t>Results and Discussion</w:t>
      </w:r>
      <w:bookmarkEnd w:id="89"/>
    </w:p>
    <w:p w14:paraId="2CD92DFF" w14:textId="77777777" w:rsidR="00103457" w:rsidRPr="00103457" w:rsidRDefault="00103457" w:rsidP="00277F12">
      <w:pPr>
        <w:pStyle w:val="Heading3"/>
      </w:pPr>
      <w:bookmarkStart w:id="90" w:name="_Hlk159834291"/>
      <w:bookmarkStart w:id="91" w:name="_Toc172288734"/>
      <w:bookmarkStart w:id="92" w:name="_Hlk159834439"/>
      <w:r w:rsidRPr="00103457">
        <w:t>Urban expansion rates and patterns in cities</w:t>
      </w:r>
      <w:bookmarkEnd w:id="90"/>
      <w:bookmarkEnd w:id="91"/>
    </w:p>
    <w:bookmarkEnd w:id="92"/>
    <w:p w14:paraId="22C65360" w14:textId="2DCD237A" w:rsidR="00103457" w:rsidRDefault="00103457" w:rsidP="00B72C9C">
      <w:pPr>
        <w:rPr>
          <w:rFonts w:eastAsia="Aptos" w:cstheme="minorHAnsi"/>
          <w:lang w:bidi="ar-SA"/>
          <w14:ligatures w14:val="standardContextual"/>
        </w:rPr>
      </w:pPr>
      <w:r w:rsidRPr="00103457">
        <w:rPr>
          <w:rFonts w:ascii="Times New Roman" w:eastAsia="Aptos" w:hAnsi="Times New Roman"/>
          <w:lang w:bidi="ar-SA"/>
          <w14:ligatures w14:val="standardContextual"/>
        </w:rPr>
        <w:t xml:space="preserve">The total developed area across the six cities increased from 482 km² in 2001 to 1096 km² in 2020, representing 614 km² in urban expansion. Most of the expansion occurred in primary </w:t>
      </w:r>
      <w:r w:rsidRPr="00103457">
        <w:rPr>
          <w:rFonts w:ascii="Times New Roman" w:eastAsia="Aptos" w:hAnsi="Times New Roman"/>
          <w:lang w:bidi="ar-SA"/>
          <w14:ligatures w14:val="standardContextual"/>
        </w:rPr>
        <w:lastRenderedPageBreak/>
        <w:t xml:space="preserve">cities; secondary cities only contained 12% of the expanded area. However, the average expansion rate </w:t>
      </w:r>
      <w:r w:rsidRPr="00381518">
        <w:rPr>
          <w:rFonts w:eastAsia="Aptos" w:cstheme="minorHAnsi"/>
          <w:lang w:bidi="ar-SA"/>
          <w14:ligatures w14:val="standardContextual"/>
        </w:rPr>
        <w:t xml:space="preserve">was highest in secondary cities, which slightly increased the proportion of total developed area from 9% to 11%, while the primary cities decreased from 91% to 89%. Although the primary cities contain a larger proportion of the total developed area, the secondary cities are increasing their </w:t>
      </w:r>
      <w:r w:rsidRPr="00BE6432">
        <w:rPr>
          <w:rFonts w:eastAsia="Aptos" w:cstheme="minorHAnsi"/>
          <w:lang w:bidi="ar-SA"/>
          <w14:ligatures w14:val="standardContextual"/>
        </w:rPr>
        <w:t xml:space="preserve">footprint faster </w:t>
      </w:r>
      <w:r w:rsidR="00BE6432" w:rsidRPr="00BE6432">
        <w:rPr>
          <w:rFonts w:eastAsia="Aptos" w:cstheme="minorHAnsi"/>
          <w:lang w:bidi="ar-SA"/>
          <w14:ligatures w14:val="standardContextual"/>
        </w:rPr>
        <w:t>(</w:t>
      </w:r>
      <w:r w:rsidR="00BE6432" w:rsidRPr="00BE6432">
        <w:rPr>
          <w:rFonts w:eastAsia="Aptos" w:cstheme="minorHAnsi"/>
          <w:lang w:bidi="ar-SA"/>
          <w14:ligatures w14:val="standardContextual"/>
        </w:rPr>
        <w:fldChar w:fldCharType="begin"/>
      </w:r>
      <w:r w:rsidR="00BE6432" w:rsidRPr="00BE6432">
        <w:rPr>
          <w:rFonts w:eastAsia="Aptos" w:cstheme="minorHAnsi"/>
          <w:lang w:bidi="ar-SA"/>
          <w14:ligatures w14:val="standardContextual"/>
        </w:rPr>
        <w:instrText xml:space="preserve"> REF _Ref162376588 \h  \* MERGEFORMAT </w:instrText>
      </w:r>
      <w:r w:rsidR="00BE6432" w:rsidRPr="00BE6432">
        <w:rPr>
          <w:rFonts w:eastAsia="Aptos" w:cstheme="minorHAnsi"/>
          <w:lang w:bidi="ar-SA"/>
          <w14:ligatures w14:val="standardContextual"/>
        </w:rPr>
      </w:r>
      <w:r w:rsidR="00BE6432" w:rsidRPr="00BE6432">
        <w:rPr>
          <w:rFonts w:eastAsia="Aptos" w:cstheme="minorHAnsi"/>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6</w:t>
      </w:r>
      <w:r w:rsidR="00BE6432" w:rsidRPr="00BE6432">
        <w:rPr>
          <w:rFonts w:eastAsia="Aptos" w:cstheme="minorHAnsi"/>
          <w:lang w:bidi="ar-SA"/>
          <w14:ligatures w14:val="standardContextual"/>
        </w:rPr>
        <w:fldChar w:fldCharType="end"/>
      </w:r>
      <w:r w:rsidR="00BE6432" w:rsidRPr="00BE6432">
        <w:rPr>
          <w:rFonts w:eastAsia="Aptos" w:cstheme="minorHAnsi"/>
          <w:lang w:bidi="ar-SA"/>
          <w14:ligatures w14:val="standardContextual"/>
        </w:rPr>
        <w:t>)</w:t>
      </w:r>
      <w:r w:rsidRPr="00BE6432">
        <w:rPr>
          <w:rFonts w:eastAsia="Aptos" w:cstheme="minorHAnsi"/>
          <w:lang w:bidi="ar-SA"/>
          <w14:ligatures w14:val="standardContextual"/>
        </w:rPr>
        <w:t>.</w:t>
      </w:r>
      <w:r w:rsidRPr="00381518">
        <w:rPr>
          <w:rFonts w:eastAsia="Aptos" w:cstheme="minorHAnsi"/>
          <w:lang w:bidi="ar-SA"/>
          <w14:ligatures w14:val="standardContextual"/>
        </w:rPr>
        <w:t xml:space="preserve"> Additionally, the ratio of sprawl to infill was</w:t>
      </w:r>
      <w:r w:rsidR="00BE6432">
        <w:rPr>
          <w:rFonts w:eastAsia="Aptos" w:cstheme="minorHAnsi"/>
          <w:lang w:bidi="ar-SA"/>
          <w14:ligatures w14:val="standardContextual"/>
        </w:rPr>
        <w:t xml:space="preserve"> </w:t>
      </w:r>
      <w:r w:rsidRPr="00381518">
        <w:rPr>
          <w:rFonts w:eastAsia="Aptos" w:cstheme="minorHAnsi"/>
          <w:lang w:bidi="ar-SA"/>
          <w14:ligatures w14:val="standardContextual"/>
        </w:rPr>
        <w:t xml:space="preserve">consistently higher in the secondary than primary </w:t>
      </w:r>
      <w:r w:rsidRPr="00CD05AF">
        <w:rPr>
          <w:rFonts w:eastAsia="Aptos" w:cstheme="minorHAnsi"/>
          <w:lang w:bidi="ar-SA"/>
          <w14:ligatures w14:val="standardContextual"/>
        </w:rPr>
        <w:t>cities</w:t>
      </w:r>
      <w:r w:rsidR="00BE6432" w:rsidRPr="00CD05AF">
        <w:rPr>
          <w:rFonts w:eastAsia="Aptos" w:cstheme="minorHAnsi"/>
          <w:lang w:bidi="ar-SA"/>
          <w14:ligatures w14:val="standardContextual"/>
        </w:rPr>
        <w:t xml:space="preserve"> (</w:t>
      </w:r>
      <w:r w:rsidR="00E4136C" w:rsidRPr="00CD05AF">
        <w:rPr>
          <w:rFonts w:eastAsia="Aptos" w:cstheme="minorHAnsi"/>
          <w:lang w:bidi="ar-SA"/>
          <w14:ligatures w14:val="standardContextual"/>
        </w:rPr>
        <w:fldChar w:fldCharType="begin"/>
      </w:r>
      <w:r w:rsidR="00E4136C" w:rsidRPr="00CD05AF">
        <w:rPr>
          <w:rFonts w:eastAsia="Aptos" w:cstheme="minorHAnsi"/>
          <w:lang w:bidi="ar-SA"/>
          <w14:ligatures w14:val="standardContextual"/>
        </w:rPr>
        <w:instrText xml:space="preserve"> REF _Ref162376623 \h </w:instrText>
      </w:r>
      <w:r w:rsidR="00CD05AF" w:rsidRPr="00CD05AF">
        <w:rPr>
          <w:rFonts w:eastAsia="Aptos" w:cstheme="minorHAnsi"/>
          <w:lang w:bidi="ar-SA"/>
          <w14:ligatures w14:val="standardContextual"/>
        </w:rPr>
        <w:instrText xml:space="preserve"> \* MERGEFORMAT </w:instrText>
      </w:r>
      <w:r w:rsidR="00E4136C" w:rsidRPr="00CD05AF">
        <w:rPr>
          <w:rFonts w:eastAsia="Aptos" w:cstheme="minorHAnsi"/>
          <w:lang w:bidi="ar-SA"/>
          <w14:ligatures w14:val="standardContextual"/>
        </w:rPr>
      </w:r>
      <w:r w:rsidR="00E4136C" w:rsidRPr="00CD05AF">
        <w:rPr>
          <w:rFonts w:eastAsia="Aptos" w:cstheme="minorHAnsi"/>
          <w:lang w:bidi="ar-SA"/>
          <w14:ligatures w14:val="standardContextual"/>
        </w:rPr>
        <w:fldChar w:fldCharType="separate"/>
      </w:r>
      <w:r w:rsidR="00B129D9" w:rsidRPr="00B129D9">
        <w:rPr>
          <w:rFonts w:ascii="Times New Roman" w:eastAsia="Aptos" w:hAnsi="Times New Roman"/>
          <w:iCs/>
          <w:lang w:bidi="ar-SA"/>
          <w14:ligatures w14:val="standardContextual"/>
        </w:rPr>
        <w:t xml:space="preserve">Figure </w:t>
      </w:r>
      <w:r w:rsidR="00B129D9" w:rsidRPr="00B129D9">
        <w:rPr>
          <w:rFonts w:ascii="Times New Roman" w:eastAsia="Aptos" w:hAnsi="Times New Roman"/>
          <w:noProof/>
          <w:lang w:bidi="ar-SA"/>
          <w14:ligatures w14:val="standardContextual"/>
        </w:rPr>
        <w:t>10</w:t>
      </w:r>
      <w:r w:rsidR="00E4136C" w:rsidRPr="00CD05AF">
        <w:rPr>
          <w:rFonts w:eastAsia="Aptos" w:cstheme="minorHAnsi"/>
          <w:lang w:bidi="ar-SA"/>
          <w14:ligatures w14:val="standardContextual"/>
        </w:rPr>
        <w:fldChar w:fldCharType="end"/>
      </w:r>
      <w:r w:rsidR="00B01BE1" w:rsidRPr="00CD05AF">
        <w:rPr>
          <w:rFonts w:eastAsia="Aptos" w:cstheme="minorHAnsi"/>
          <w:lang w:bidi="ar-SA"/>
          <w14:ligatures w14:val="standardContextual"/>
        </w:rPr>
        <w:t xml:space="preserve"> -</w:t>
      </w:r>
      <w:r w:rsidR="00010512">
        <w:rPr>
          <w:rFonts w:eastAsia="Aptos" w:cstheme="minorHAnsi"/>
          <w:lang w:bidi="ar-SA"/>
          <w14:ligatures w14:val="standardContextual"/>
        </w:rPr>
        <w:t xml:space="preserve"> 11</w:t>
      </w:r>
      <w:r w:rsidR="00E4136C" w:rsidRPr="00CD05AF">
        <w:rPr>
          <w:rFonts w:eastAsia="Aptos" w:cstheme="minorHAnsi"/>
          <w:lang w:bidi="ar-SA"/>
          <w14:ligatures w14:val="standardContextual"/>
        </w:rPr>
        <w:t>)</w:t>
      </w:r>
      <w:r w:rsidR="00B01BE1" w:rsidRPr="00CD05AF">
        <w:rPr>
          <w:rFonts w:eastAsia="Aptos" w:cstheme="minorHAnsi"/>
          <w:lang w:bidi="ar-SA"/>
          <w14:ligatures w14:val="standardContextual"/>
        </w:rPr>
        <w:t>.</w:t>
      </w:r>
      <w:r w:rsidR="00B01BE1">
        <w:rPr>
          <w:rFonts w:eastAsia="Aptos" w:cstheme="minorHAnsi"/>
          <w:lang w:bidi="ar-SA"/>
          <w14:ligatures w14:val="standardContextual"/>
        </w:rPr>
        <w:t xml:space="preserve"> </w:t>
      </w:r>
      <w:r w:rsidRPr="00381518">
        <w:rPr>
          <w:rFonts w:eastAsia="Aptos" w:cstheme="minorHAnsi"/>
          <w:lang w:bidi="ar-SA"/>
          <w14:ligatures w14:val="standardContextual"/>
        </w:rPr>
        <w:t xml:space="preserve">Before 2005, the ratio of sprawl to infill in the most sprawling primary city (Kumasi) was generally equal to or lower than in the secondary cities. After 2005, the ratio was substantially higher in the secondary cities than either Kumasi or Accra. </w:t>
      </w:r>
    </w:p>
    <w:p w14:paraId="725CAF93" w14:textId="441B5AA7" w:rsidR="00B01BE1" w:rsidRPr="00B01BE1" w:rsidRDefault="00103457" w:rsidP="00B01BE1">
      <w:pPr>
        <w:keepNext/>
        <w:rPr>
          <w:rFonts w:ascii="Times New Roman" w:eastAsia="Aptos" w:hAnsi="Times New Roman"/>
          <w:lang w:bidi="ar-SA"/>
          <w14:ligatures w14:val="standardContextual"/>
        </w:rPr>
      </w:pPr>
      <w:bookmarkStart w:id="93" w:name="_Ref162376588"/>
      <w:bookmarkStart w:id="94" w:name="_Toc172233722"/>
      <w:r w:rsidRPr="007D7640">
        <w:rPr>
          <w:rFonts w:ascii="Times New Roman" w:eastAsia="Aptos" w:hAnsi="Times New Roman"/>
          <w:b/>
          <w:bCs/>
          <w:lang w:bidi="ar-SA"/>
          <w14:ligatures w14:val="standardContextual"/>
        </w:rPr>
        <w:t xml:space="preserve">Table </w:t>
      </w:r>
      <w:r w:rsidRPr="007D7640">
        <w:rPr>
          <w:rFonts w:ascii="Times New Roman" w:eastAsia="Aptos" w:hAnsi="Times New Roman"/>
          <w:b/>
          <w:bCs/>
          <w:lang w:bidi="ar-SA"/>
          <w14:ligatures w14:val="standardContextual"/>
        </w:rPr>
        <w:fldChar w:fldCharType="begin"/>
      </w:r>
      <w:r w:rsidRPr="007D7640">
        <w:rPr>
          <w:rFonts w:ascii="Times New Roman" w:eastAsia="Aptos" w:hAnsi="Times New Roman"/>
          <w:b/>
          <w:bCs/>
          <w:lang w:bidi="ar-SA"/>
          <w14:ligatures w14:val="standardContextual"/>
        </w:rPr>
        <w:instrText xml:space="preserve"> SEQ Table \* ARABIC </w:instrText>
      </w:r>
      <w:r w:rsidRPr="007D7640">
        <w:rPr>
          <w:rFonts w:ascii="Times New Roman" w:eastAsia="Aptos" w:hAnsi="Times New Roman"/>
          <w:b/>
          <w:bCs/>
          <w:lang w:bidi="ar-SA"/>
          <w14:ligatures w14:val="standardContextual"/>
        </w:rPr>
        <w:fldChar w:fldCharType="separate"/>
      </w:r>
      <w:r w:rsidR="00B129D9">
        <w:rPr>
          <w:rFonts w:ascii="Times New Roman" w:eastAsia="Aptos" w:hAnsi="Times New Roman"/>
          <w:b/>
          <w:bCs/>
          <w:noProof/>
          <w:lang w:bidi="ar-SA"/>
          <w14:ligatures w14:val="standardContextual"/>
        </w:rPr>
        <w:t>6</w:t>
      </w:r>
      <w:r w:rsidRPr="007D7640">
        <w:rPr>
          <w:rFonts w:ascii="Times New Roman" w:eastAsia="Aptos" w:hAnsi="Times New Roman"/>
          <w:b/>
          <w:bCs/>
          <w:lang w:bidi="ar-SA"/>
          <w14:ligatures w14:val="standardContextual"/>
        </w:rPr>
        <w:fldChar w:fldCharType="end"/>
      </w:r>
      <w:bookmarkEnd w:id="93"/>
      <w:r w:rsidRPr="00103457">
        <w:rPr>
          <w:rFonts w:ascii="Times New Roman" w:eastAsia="Aptos" w:hAnsi="Times New Roman"/>
          <w:lang w:bidi="ar-SA"/>
          <w14:ligatures w14:val="standardContextual"/>
        </w:rPr>
        <w:t>: Developed area and mean annual expansion rates of cities from 2001-2020.</w:t>
      </w:r>
      <w:bookmarkEnd w:id="94"/>
    </w:p>
    <w:tbl>
      <w:tblPr>
        <w:tblW w:w="9090" w:type="dxa"/>
        <w:tblLook w:val="04A0" w:firstRow="1" w:lastRow="0" w:firstColumn="1" w:lastColumn="0" w:noHBand="0" w:noVBand="1"/>
      </w:tblPr>
      <w:tblGrid>
        <w:gridCol w:w="1982"/>
        <w:gridCol w:w="1351"/>
        <w:gridCol w:w="1268"/>
        <w:gridCol w:w="1436"/>
        <w:gridCol w:w="1485"/>
        <w:gridCol w:w="1568"/>
      </w:tblGrid>
      <w:tr w:rsidR="00103457" w:rsidRPr="00CD05AF" w14:paraId="36B3361A" w14:textId="77777777" w:rsidTr="00AA5DD3">
        <w:trPr>
          <w:trHeight w:val="323"/>
        </w:trPr>
        <w:tc>
          <w:tcPr>
            <w:tcW w:w="1982"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61122F2A"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Cities</w:t>
            </w:r>
          </w:p>
        </w:tc>
        <w:tc>
          <w:tcPr>
            <w:tcW w:w="2619" w:type="dxa"/>
            <w:gridSpan w:val="2"/>
            <w:tcBorders>
              <w:top w:val="single" w:sz="4" w:space="0" w:color="auto"/>
              <w:left w:val="nil"/>
              <w:bottom w:val="nil"/>
              <w:right w:val="single" w:sz="4" w:space="0" w:color="000000"/>
            </w:tcBorders>
            <w:shd w:val="clear" w:color="auto" w:fill="auto"/>
            <w:noWrap/>
            <w:vAlign w:val="bottom"/>
            <w:hideMark/>
          </w:tcPr>
          <w:p w14:paraId="11A85373"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2001</w:t>
            </w:r>
          </w:p>
        </w:tc>
        <w:tc>
          <w:tcPr>
            <w:tcW w:w="2921" w:type="dxa"/>
            <w:gridSpan w:val="2"/>
            <w:tcBorders>
              <w:top w:val="single" w:sz="4" w:space="0" w:color="auto"/>
              <w:left w:val="nil"/>
              <w:bottom w:val="nil"/>
              <w:right w:val="single" w:sz="4" w:space="0" w:color="000000"/>
            </w:tcBorders>
            <w:shd w:val="clear" w:color="auto" w:fill="auto"/>
            <w:noWrap/>
            <w:vAlign w:val="bottom"/>
            <w:hideMark/>
          </w:tcPr>
          <w:p w14:paraId="0196198E"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2020</w:t>
            </w:r>
          </w:p>
        </w:tc>
        <w:tc>
          <w:tcPr>
            <w:tcW w:w="1568" w:type="dxa"/>
            <w:vMerge w:val="restart"/>
            <w:tcBorders>
              <w:top w:val="single" w:sz="4" w:space="0" w:color="auto"/>
              <w:left w:val="single" w:sz="4" w:space="0" w:color="auto"/>
              <w:bottom w:val="single" w:sz="4" w:space="0" w:color="000000"/>
              <w:right w:val="nil"/>
            </w:tcBorders>
            <w:shd w:val="clear" w:color="auto" w:fill="auto"/>
            <w:noWrap/>
            <w:vAlign w:val="bottom"/>
            <w:hideMark/>
          </w:tcPr>
          <w:p w14:paraId="765F0797"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Annual Expansion Rate (%)</w:t>
            </w:r>
          </w:p>
        </w:tc>
      </w:tr>
      <w:tr w:rsidR="00103457" w:rsidRPr="00CD05AF" w14:paraId="62CC9779" w14:textId="77777777" w:rsidTr="00AA5DD3">
        <w:trPr>
          <w:trHeight w:val="393"/>
        </w:trPr>
        <w:tc>
          <w:tcPr>
            <w:tcW w:w="1982" w:type="dxa"/>
            <w:vMerge/>
            <w:tcBorders>
              <w:top w:val="single" w:sz="4" w:space="0" w:color="auto"/>
              <w:left w:val="nil"/>
              <w:bottom w:val="single" w:sz="4" w:space="0" w:color="000000"/>
              <w:right w:val="single" w:sz="4" w:space="0" w:color="auto"/>
            </w:tcBorders>
            <w:vAlign w:val="center"/>
            <w:hideMark/>
          </w:tcPr>
          <w:p w14:paraId="142F4769" w14:textId="77777777" w:rsidR="00103457" w:rsidRPr="00CD05AF" w:rsidRDefault="00103457" w:rsidP="00CD05AF">
            <w:pPr>
              <w:spacing w:line="240" w:lineRule="auto"/>
              <w:rPr>
                <w:rFonts w:cstheme="minorHAnsi"/>
                <w:b/>
                <w:bCs/>
                <w:color w:val="000000"/>
                <w:lang w:bidi="ar-SA"/>
              </w:rPr>
            </w:pPr>
          </w:p>
        </w:tc>
        <w:tc>
          <w:tcPr>
            <w:tcW w:w="1351" w:type="dxa"/>
            <w:tcBorders>
              <w:top w:val="nil"/>
              <w:left w:val="nil"/>
              <w:bottom w:val="single" w:sz="4" w:space="0" w:color="auto"/>
              <w:right w:val="nil"/>
            </w:tcBorders>
            <w:shd w:val="clear" w:color="auto" w:fill="auto"/>
            <w:noWrap/>
            <w:vAlign w:val="bottom"/>
            <w:hideMark/>
          </w:tcPr>
          <w:p w14:paraId="74D330F4"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Developed (km²)</w:t>
            </w:r>
          </w:p>
        </w:tc>
        <w:tc>
          <w:tcPr>
            <w:tcW w:w="1268" w:type="dxa"/>
            <w:tcBorders>
              <w:top w:val="nil"/>
              <w:left w:val="nil"/>
              <w:bottom w:val="single" w:sz="4" w:space="0" w:color="auto"/>
              <w:right w:val="single" w:sz="4" w:space="0" w:color="auto"/>
            </w:tcBorders>
            <w:shd w:val="clear" w:color="auto" w:fill="auto"/>
            <w:noWrap/>
            <w:vAlign w:val="bottom"/>
            <w:hideMark/>
          </w:tcPr>
          <w:p w14:paraId="6509E81D"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Percent</w:t>
            </w:r>
          </w:p>
        </w:tc>
        <w:tc>
          <w:tcPr>
            <w:tcW w:w="1436" w:type="dxa"/>
            <w:tcBorders>
              <w:top w:val="nil"/>
              <w:left w:val="nil"/>
              <w:bottom w:val="single" w:sz="4" w:space="0" w:color="auto"/>
              <w:right w:val="nil"/>
            </w:tcBorders>
            <w:shd w:val="clear" w:color="auto" w:fill="auto"/>
            <w:noWrap/>
            <w:vAlign w:val="bottom"/>
            <w:hideMark/>
          </w:tcPr>
          <w:p w14:paraId="481A9AE5"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Developed (km²)</w:t>
            </w:r>
          </w:p>
        </w:tc>
        <w:tc>
          <w:tcPr>
            <w:tcW w:w="1485" w:type="dxa"/>
            <w:tcBorders>
              <w:top w:val="nil"/>
              <w:left w:val="nil"/>
              <w:bottom w:val="single" w:sz="4" w:space="0" w:color="auto"/>
              <w:right w:val="single" w:sz="4" w:space="0" w:color="auto"/>
            </w:tcBorders>
            <w:shd w:val="clear" w:color="auto" w:fill="auto"/>
            <w:noWrap/>
            <w:vAlign w:val="bottom"/>
            <w:hideMark/>
          </w:tcPr>
          <w:p w14:paraId="3FB50E6B"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Percent</w:t>
            </w:r>
          </w:p>
        </w:tc>
        <w:tc>
          <w:tcPr>
            <w:tcW w:w="1568" w:type="dxa"/>
            <w:vMerge/>
            <w:tcBorders>
              <w:top w:val="single" w:sz="4" w:space="0" w:color="auto"/>
              <w:left w:val="single" w:sz="4" w:space="0" w:color="auto"/>
              <w:bottom w:val="single" w:sz="4" w:space="0" w:color="000000"/>
              <w:right w:val="nil"/>
            </w:tcBorders>
            <w:vAlign w:val="center"/>
            <w:hideMark/>
          </w:tcPr>
          <w:p w14:paraId="1FF706CD" w14:textId="77777777" w:rsidR="00103457" w:rsidRPr="00CD05AF" w:rsidRDefault="00103457" w:rsidP="00CD05AF">
            <w:pPr>
              <w:spacing w:line="240" w:lineRule="auto"/>
              <w:rPr>
                <w:rFonts w:cstheme="minorHAnsi"/>
                <w:b/>
                <w:bCs/>
                <w:color w:val="000000"/>
                <w:lang w:bidi="ar-SA"/>
              </w:rPr>
            </w:pPr>
          </w:p>
        </w:tc>
      </w:tr>
      <w:tr w:rsidR="00103457" w:rsidRPr="00CD05AF" w14:paraId="2C4254A9" w14:textId="77777777" w:rsidTr="00AA5DD3">
        <w:trPr>
          <w:trHeight w:val="323"/>
        </w:trPr>
        <w:tc>
          <w:tcPr>
            <w:tcW w:w="1982" w:type="dxa"/>
            <w:tcBorders>
              <w:top w:val="single" w:sz="4" w:space="0" w:color="auto"/>
              <w:left w:val="nil"/>
              <w:bottom w:val="nil"/>
              <w:right w:val="single" w:sz="4" w:space="0" w:color="auto"/>
            </w:tcBorders>
            <w:shd w:val="clear" w:color="auto" w:fill="auto"/>
            <w:noWrap/>
            <w:vAlign w:val="bottom"/>
            <w:hideMark/>
          </w:tcPr>
          <w:p w14:paraId="5DDBF537" w14:textId="77777777" w:rsidR="00103457" w:rsidRPr="00CD05AF" w:rsidRDefault="00103457" w:rsidP="00CD05AF">
            <w:pPr>
              <w:spacing w:line="240" w:lineRule="auto"/>
              <w:rPr>
                <w:rFonts w:cstheme="minorHAnsi"/>
                <w:b/>
                <w:bCs/>
                <w:color w:val="000000"/>
                <w:lang w:bidi="ar-SA"/>
              </w:rPr>
            </w:pPr>
            <w:r w:rsidRPr="00CD05AF">
              <w:rPr>
                <w:rFonts w:cstheme="minorHAnsi"/>
                <w:b/>
                <w:bCs/>
                <w:color w:val="000000"/>
                <w:lang w:bidi="ar-SA"/>
              </w:rPr>
              <w:t>Primary Cities</w:t>
            </w:r>
          </w:p>
        </w:tc>
        <w:tc>
          <w:tcPr>
            <w:tcW w:w="1351" w:type="dxa"/>
            <w:tcBorders>
              <w:top w:val="single" w:sz="4" w:space="0" w:color="auto"/>
              <w:left w:val="nil"/>
              <w:bottom w:val="nil"/>
              <w:right w:val="nil"/>
            </w:tcBorders>
            <w:shd w:val="clear" w:color="auto" w:fill="auto"/>
            <w:noWrap/>
            <w:vAlign w:val="bottom"/>
            <w:hideMark/>
          </w:tcPr>
          <w:p w14:paraId="5A5B2D46"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438.22</w:t>
            </w:r>
          </w:p>
        </w:tc>
        <w:tc>
          <w:tcPr>
            <w:tcW w:w="1268" w:type="dxa"/>
            <w:tcBorders>
              <w:top w:val="single" w:sz="4" w:space="0" w:color="auto"/>
              <w:left w:val="nil"/>
              <w:bottom w:val="nil"/>
              <w:right w:val="single" w:sz="4" w:space="0" w:color="auto"/>
            </w:tcBorders>
            <w:shd w:val="clear" w:color="auto" w:fill="auto"/>
            <w:noWrap/>
            <w:vAlign w:val="bottom"/>
            <w:hideMark/>
          </w:tcPr>
          <w:p w14:paraId="76E4BEA7"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100</w:t>
            </w:r>
          </w:p>
        </w:tc>
        <w:tc>
          <w:tcPr>
            <w:tcW w:w="1436" w:type="dxa"/>
            <w:tcBorders>
              <w:top w:val="single" w:sz="4" w:space="0" w:color="auto"/>
              <w:left w:val="nil"/>
              <w:bottom w:val="nil"/>
              <w:right w:val="nil"/>
            </w:tcBorders>
            <w:shd w:val="clear" w:color="auto" w:fill="auto"/>
            <w:noWrap/>
            <w:vAlign w:val="bottom"/>
            <w:hideMark/>
          </w:tcPr>
          <w:p w14:paraId="4072FFE8"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979.61</w:t>
            </w:r>
          </w:p>
        </w:tc>
        <w:tc>
          <w:tcPr>
            <w:tcW w:w="1485" w:type="dxa"/>
            <w:tcBorders>
              <w:top w:val="single" w:sz="4" w:space="0" w:color="auto"/>
              <w:left w:val="nil"/>
              <w:bottom w:val="nil"/>
              <w:right w:val="single" w:sz="4" w:space="0" w:color="auto"/>
            </w:tcBorders>
            <w:shd w:val="clear" w:color="auto" w:fill="auto"/>
            <w:noWrap/>
            <w:vAlign w:val="bottom"/>
            <w:hideMark/>
          </w:tcPr>
          <w:p w14:paraId="16D04F36"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100</w:t>
            </w:r>
          </w:p>
        </w:tc>
        <w:tc>
          <w:tcPr>
            <w:tcW w:w="1568" w:type="dxa"/>
            <w:tcBorders>
              <w:top w:val="single" w:sz="4" w:space="0" w:color="auto"/>
              <w:left w:val="nil"/>
              <w:bottom w:val="nil"/>
              <w:right w:val="nil"/>
            </w:tcBorders>
            <w:shd w:val="clear" w:color="auto" w:fill="auto"/>
            <w:noWrap/>
            <w:vAlign w:val="bottom"/>
            <w:hideMark/>
          </w:tcPr>
          <w:p w14:paraId="507B7B9F"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4.32</w:t>
            </w:r>
          </w:p>
        </w:tc>
      </w:tr>
      <w:tr w:rsidR="00103457" w:rsidRPr="00CD05AF" w14:paraId="5877B230" w14:textId="77777777" w:rsidTr="00AA5DD3">
        <w:trPr>
          <w:trHeight w:val="323"/>
        </w:trPr>
        <w:tc>
          <w:tcPr>
            <w:tcW w:w="1982" w:type="dxa"/>
            <w:tcBorders>
              <w:top w:val="nil"/>
              <w:left w:val="nil"/>
              <w:bottom w:val="nil"/>
              <w:right w:val="single" w:sz="4" w:space="0" w:color="auto"/>
            </w:tcBorders>
            <w:shd w:val="clear" w:color="auto" w:fill="auto"/>
            <w:noWrap/>
            <w:vAlign w:val="bottom"/>
            <w:hideMark/>
          </w:tcPr>
          <w:p w14:paraId="07B69F54" w14:textId="77777777" w:rsidR="00103457" w:rsidRPr="00CD05AF" w:rsidRDefault="00103457" w:rsidP="00CD05AF">
            <w:pPr>
              <w:spacing w:line="240" w:lineRule="auto"/>
              <w:rPr>
                <w:rFonts w:cstheme="minorHAnsi"/>
                <w:color w:val="000000"/>
                <w:lang w:bidi="ar-SA"/>
              </w:rPr>
            </w:pPr>
            <w:r w:rsidRPr="00CD05AF">
              <w:rPr>
                <w:rFonts w:cstheme="minorHAnsi"/>
                <w:color w:val="000000"/>
                <w:lang w:bidi="ar-SA"/>
              </w:rPr>
              <w:t>Accra</w:t>
            </w:r>
          </w:p>
        </w:tc>
        <w:tc>
          <w:tcPr>
            <w:tcW w:w="1351" w:type="dxa"/>
            <w:tcBorders>
              <w:top w:val="nil"/>
              <w:left w:val="nil"/>
              <w:bottom w:val="nil"/>
              <w:right w:val="nil"/>
            </w:tcBorders>
            <w:shd w:val="clear" w:color="auto" w:fill="auto"/>
            <w:noWrap/>
            <w:vAlign w:val="bottom"/>
            <w:hideMark/>
          </w:tcPr>
          <w:p w14:paraId="040B1B62"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341.34</w:t>
            </w:r>
          </w:p>
        </w:tc>
        <w:tc>
          <w:tcPr>
            <w:tcW w:w="1268" w:type="dxa"/>
            <w:tcBorders>
              <w:top w:val="nil"/>
              <w:left w:val="nil"/>
              <w:bottom w:val="nil"/>
              <w:right w:val="single" w:sz="4" w:space="0" w:color="auto"/>
            </w:tcBorders>
            <w:shd w:val="clear" w:color="auto" w:fill="auto"/>
            <w:noWrap/>
            <w:vAlign w:val="bottom"/>
            <w:hideMark/>
          </w:tcPr>
          <w:p w14:paraId="3926251E"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77.89</w:t>
            </w:r>
          </w:p>
        </w:tc>
        <w:tc>
          <w:tcPr>
            <w:tcW w:w="1436" w:type="dxa"/>
            <w:tcBorders>
              <w:top w:val="nil"/>
              <w:left w:val="nil"/>
              <w:bottom w:val="nil"/>
              <w:right w:val="nil"/>
            </w:tcBorders>
            <w:shd w:val="clear" w:color="auto" w:fill="auto"/>
            <w:noWrap/>
            <w:vAlign w:val="bottom"/>
            <w:hideMark/>
          </w:tcPr>
          <w:p w14:paraId="076AB151"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690.35</w:t>
            </w:r>
          </w:p>
        </w:tc>
        <w:tc>
          <w:tcPr>
            <w:tcW w:w="1485" w:type="dxa"/>
            <w:tcBorders>
              <w:top w:val="nil"/>
              <w:left w:val="nil"/>
              <w:bottom w:val="nil"/>
              <w:right w:val="single" w:sz="4" w:space="0" w:color="auto"/>
            </w:tcBorders>
            <w:shd w:val="clear" w:color="auto" w:fill="auto"/>
            <w:noWrap/>
            <w:vAlign w:val="bottom"/>
            <w:hideMark/>
          </w:tcPr>
          <w:p w14:paraId="2321137F"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70.47</w:t>
            </w:r>
          </w:p>
        </w:tc>
        <w:tc>
          <w:tcPr>
            <w:tcW w:w="1568" w:type="dxa"/>
            <w:tcBorders>
              <w:top w:val="nil"/>
              <w:left w:val="nil"/>
              <w:bottom w:val="nil"/>
              <w:right w:val="nil"/>
            </w:tcBorders>
            <w:shd w:val="clear" w:color="auto" w:fill="auto"/>
            <w:noWrap/>
            <w:vAlign w:val="bottom"/>
            <w:hideMark/>
          </w:tcPr>
          <w:p w14:paraId="46F5A2E9"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3.78</w:t>
            </w:r>
          </w:p>
        </w:tc>
      </w:tr>
      <w:tr w:rsidR="00103457" w:rsidRPr="00CD05AF" w14:paraId="3147469B" w14:textId="77777777" w:rsidTr="00AA5DD3">
        <w:trPr>
          <w:trHeight w:val="197"/>
        </w:trPr>
        <w:tc>
          <w:tcPr>
            <w:tcW w:w="1982" w:type="dxa"/>
            <w:tcBorders>
              <w:top w:val="nil"/>
              <w:left w:val="nil"/>
              <w:bottom w:val="single" w:sz="4" w:space="0" w:color="auto"/>
              <w:right w:val="single" w:sz="4" w:space="0" w:color="auto"/>
            </w:tcBorders>
            <w:shd w:val="clear" w:color="auto" w:fill="auto"/>
            <w:noWrap/>
            <w:vAlign w:val="bottom"/>
            <w:hideMark/>
          </w:tcPr>
          <w:p w14:paraId="02FBCAB6" w14:textId="77777777" w:rsidR="00103457" w:rsidRPr="00CD05AF" w:rsidRDefault="00103457" w:rsidP="00CD05AF">
            <w:pPr>
              <w:spacing w:line="240" w:lineRule="auto"/>
              <w:rPr>
                <w:rFonts w:cstheme="minorHAnsi"/>
                <w:color w:val="000000"/>
                <w:lang w:bidi="ar-SA"/>
              </w:rPr>
            </w:pPr>
            <w:r w:rsidRPr="00CD05AF">
              <w:rPr>
                <w:rFonts w:cstheme="minorHAnsi"/>
                <w:color w:val="000000"/>
                <w:lang w:bidi="ar-SA"/>
              </w:rPr>
              <w:t>Kumasi</w:t>
            </w:r>
          </w:p>
        </w:tc>
        <w:tc>
          <w:tcPr>
            <w:tcW w:w="1351" w:type="dxa"/>
            <w:tcBorders>
              <w:top w:val="nil"/>
              <w:left w:val="nil"/>
              <w:bottom w:val="single" w:sz="4" w:space="0" w:color="auto"/>
              <w:right w:val="nil"/>
            </w:tcBorders>
            <w:shd w:val="clear" w:color="auto" w:fill="auto"/>
            <w:noWrap/>
            <w:vAlign w:val="bottom"/>
            <w:hideMark/>
          </w:tcPr>
          <w:p w14:paraId="109C517B"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96.88</w:t>
            </w:r>
          </w:p>
        </w:tc>
        <w:tc>
          <w:tcPr>
            <w:tcW w:w="1268" w:type="dxa"/>
            <w:tcBorders>
              <w:top w:val="nil"/>
              <w:left w:val="nil"/>
              <w:bottom w:val="single" w:sz="4" w:space="0" w:color="auto"/>
              <w:right w:val="single" w:sz="4" w:space="0" w:color="auto"/>
            </w:tcBorders>
            <w:shd w:val="clear" w:color="auto" w:fill="auto"/>
            <w:noWrap/>
            <w:vAlign w:val="bottom"/>
            <w:hideMark/>
          </w:tcPr>
          <w:p w14:paraId="57EE995A"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22.11</w:t>
            </w:r>
          </w:p>
        </w:tc>
        <w:tc>
          <w:tcPr>
            <w:tcW w:w="1436" w:type="dxa"/>
            <w:tcBorders>
              <w:top w:val="nil"/>
              <w:left w:val="nil"/>
              <w:bottom w:val="single" w:sz="4" w:space="0" w:color="auto"/>
              <w:right w:val="nil"/>
            </w:tcBorders>
            <w:shd w:val="clear" w:color="auto" w:fill="auto"/>
            <w:noWrap/>
            <w:vAlign w:val="bottom"/>
            <w:hideMark/>
          </w:tcPr>
          <w:p w14:paraId="777DEEFA"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289.26</w:t>
            </w:r>
          </w:p>
        </w:tc>
        <w:tc>
          <w:tcPr>
            <w:tcW w:w="1485" w:type="dxa"/>
            <w:tcBorders>
              <w:top w:val="nil"/>
              <w:left w:val="nil"/>
              <w:bottom w:val="single" w:sz="4" w:space="0" w:color="auto"/>
              <w:right w:val="single" w:sz="4" w:space="0" w:color="auto"/>
            </w:tcBorders>
            <w:shd w:val="clear" w:color="auto" w:fill="auto"/>
            <w:noWrap/>
            <w:vAlign w:val="bottom"/>
            <w:hideMark/>
          </w:tcPr>
          <w:p w14:paraId="3545F27E"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29.53</w:t>
            </w:r>
          </w:p>
        </w:tc>
        <w:tc>
          <w:tcPr>
            <w:tcW w:w="1568" w:type="dxa"/>
            <w:tcBorders>
              <w:top w:val="nil"/>
              <w:left w:val="nil"/>
              <w:bottom w:val="single" w:sz="4" w:space="0" w:color="auto"/>
              <w:right w:val="nil"/>
            </w:tcBorders>
            <w:shd w:val="clear" w:color="auto" w:fill="auto"/>
            <w:noWrap/>
            <w:vAlign w:val="bottom"/>
            <w:hideMark/>
          </w:tcPr>
          <w:p w14:paraId="5774A769"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5.93</w:t>
            </w:r>
          </w:p>
        </w:tc>
      </w:tr>
      <w:tr w:rsidR="00103457" w:rsidRPr="00CD05AF" w14:paraId="396DEF50" w14:textId="77777777" w:rsidTr="00AA5DD3">
        <w:trPr>
          <w:trHeight w:val="323"/>
        </w:trPr>
        <w:tc>
          <w:tcPr>
            <w:tcW w:w="1982" w:type="dxa"/>
            <w:tcBorders>
              <w:left w:val="nil"/>
              <w:right w:val="single" w:sz="4" w:space="0" w:color="auto"/>
            </w:tcBorders>
            <w:shd w:val="clear" w:color="auto" w:fill="auto"/>
            <w:noWrap/>
            <w:vAlign w:val="bottom"/>
          </w:tcPr>
          <w:p w14:paraId="166C6B86" w14:textId="77777777" w:rsidR="00103457" w:rsidRPr="00CD05AF" w:rsidRDefault="00103457" w:rsidP="00CD05AF">
            <w:pPr>
              <w:spacing w:line="240" w:lineRule="auto"/>
              <w:rPr>
                <w:rFonts w:cstheme="minorHAnsi"/>
                <w:b/>
                <w:bCs/>
                <w:color w:val="000000"/>
                <w:lang w:bidi="ar-SA"/>
              </w:rPr>
            </w:pPr>
            <w:r w:rsidRPr="00CD05AF">
              <w:rPr>
                <w:rFonts w:cstheme="minorHAnsi"/>
                <w:b/>
                <w:bCs/>
                <w:color w:val="000000"/>
                <w:lang w:bidi="ar-SA"/>
              </w:rPr>
              <w:t>Secondary Cities</w:t>
            </w:r>
          </w:p>
        </w:tc>
        <w:tc>
          <w:tcPr>
            <w:tcW w:w="1351" w:type="dxa"/>
            <w:tcBorders>
              <w:left w:val="nil"/>
              <w:right w:val="nil"/>
            </w:tcBorders>
            <w:shd w:val="clear" w:color="auto" w:fill="auto"/>
            <w:noWrap/>
            <w:vAlign w:val="bottom"/>
          </w:tcPr>
          <w:p w14:paraId="5865A488"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43.95</w:t>
            </w:r>
          </w:p>
        </w:tc>
        <w:tc>
          <w:tcPr>
            <w:tcW w:w="1268" w:type="dxa"/>
            <w:tcBorders>
              <w:left w:val="nil"/>
              <w:right w:val="single" w:sz="4" w:space="0" w:color="auto"/>
            </w:tcBorders>
            <w:shd w:val="clear" w:color="auto" w:fill="auto"/>
            <w:noWrap/>
            <w:vAlign w:val="bottom"/>
          </w:tcPr>
          <w:p w14:paraId="4E65DFBB"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100</w:t>
            </w:r>
          </w:p>
        </w:tc>
        <w:tc>
          <w:tcPr>
            <w:tcW w:w="1436" w:type="dxa"/>
            <w:tcBorders>
              <w:left w:val="nil"/>
              <w:right w:val="nil"/>
            </w:tcBorders>
            <w:shd w:val="clear" w:color="auto" w:fill="auto"/>
            <w:noWrap/>
            <w:vAlign w:val="bottom"/>
          </w:tcPr>
          <w:p w14:paraId="3544D91C"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116.79</w:t>
            </w:r>
          </w:p>
        </w:tc>
        <w:tc>
          <w:tcPr>
            <w:tcW w:w="1485" w:type="dxa"/>
            <w:tcBorders>
              <w:left w:val="nil"/>
              <w:right w:val="single" w:sz="4" w:space="0" w:color="auto"/>
            </w:tcBorders>
            <w:shd w:val="clear" w:color="auto" w:fill="auto"/>
            <w:noWrap/>
            <w:vAlign w:val="bottom"/>
          </w:tcPr>
          <w:p w14:paraId="2D49C849"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100</w:t>
            </w:r>
          </w:p>
        </w:tc>
        <w:tc>
          <w:tcPr>
            <w:tcW w:w="1568" w:type="dxa"/>
            <w:tcBorders>
              <w:left w:val="nil"/>
              <w:right w:val="nil"/>
            </w:tcBorders>
            <w:shd w:val="clear" w:color="auto" w:fill="auto"/>
            <w:noWrap/>
            <w:vAlign w:val="bottom"/>
          </w:tcPr>
          <w:p w14:paraId="02956C71" w14:textId="77777777" w:rsidR="00103457" w:rsidRPr="00CD05AF" w:rsidRDefault="00103457" w:rsidP="00CD05AF">
            <w:pPr>
              <w:spacing w:line="240" w:lineRule="auto"/>
              <w:jc w:val="center"/>
              <w:rPr>
                <w:rFonts w:cstheme="minorHAnsi"/>
                <w:b/>
                <w:bCs/>
                <w:color w:val="000000"/>
                <w:lang w:bidi="ar-SA"/>
              </w:rPr>
            </w:pPr>
            <w:r w:rsidRPr="00CD05AF">
              <w:rPr>
                <w:rFonts w:cstheme="minorHAnsi"/>
                <w:b/>
                <w:bCs/>
                <w:color w:val="000000"/>
                <w:lang w:bidi="ar-SA"/>
              </w:rPr>
              <w:t>5.28</w:t>
            </w:r>
          </w:p>
        </w:tc>
      </w:tr>
      <w:tr w:rsidR="00103457" w:rsidRPr="00CD05AF" w14:paraId="3708562F" w14:textId="77777777" w:rsidTr="00AA5DD3">
        <w:trPr>
          <w:trHeight w:val="323"/>
        </w:trPr>
        <w:tc>
          <w:tcPr>
            <w:tcW w:w="1982" w:type="dxa"/>
            <w:tcBorders>
              <w:left w:val="nil"/>
              <w:bottom w:val="nil"/>
              <w:right w:val="single" w:sz="4" w:space="0" w:color="auto"/>
            </w:tcBorders>
            <w:shd w:val="clear" w:color="auto" w:fill="auto"/>
            <w:noWrap/>
            <w:vAlign w:val="bottom"/>
            <w:hideMark/>
          </w:tcPr>
          <w:p w14:paraId="498295BF" w14:textId="77777777" w:rsidR="00103457" w:rsidRPr="00CD05AF" w:rsidRDefault="00103457" w:rsidP="00CD05AF">
            <w:pPr>
              <w:spacing w:line="240" w:lineRule="auto"/>
              <w:rPr>
                <w:rFonts w:cstheme="minorHAnsi"/>
                <w:color w:val="000000"/>
                <w:lang w:bidi="ar-SA"/>
              </w:rPr>
            </w:pPr>
            <w:r w:rsidRPr="00CD05AF">
              <w:rPr>
                <w:rFonts w:cstheme="minorHAnsi"/>
                <w:color w:val="000000"/>
                <w:lang w:bidi="ar-SA"/>
              </w:rPr>
              <w:t>Takoradi</w:t>
            </w:r>
          </w:p>
        </w:tc>
        <w:tc>
          <w:tcPr>
            <w:tcW w:w="1351" w:type="dxa"/>
            <w:tcBorders>
              <w:left w:val="nil"/>
              <w:bottom w:val="nil"/>
              <w:right w:val="nil"/>
            </w:tcBorders>
            <w:shd w:val="clear" w:color="auto" w:fill="auto"/>
            <w:noWrap/>
            <w:vAlign w:val="bottom"/>
            <w:hideMark/>
          </w:tcPr>
          <w:p w14:paraId="31B7AE62"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17.70</w:t>
            </w:r>
          </w:p>
        </w:tc>
        <w:tc>
          <w:tcPr>
            <w:tcW w:w="1268" w:type="dxa"/>
            <w:tcBorders>
              <w:left w:val="nil"/>
              <w:bottom w:val="nil"/>
              <w:right w:val="single" w:sz="4" w:space="0" w:color="auto"/>
            </w:tcBorders>
            <w:shd w:val="clear" w:color="auto" w:fill="auto"/>
            <w:noWrap/>
            <w:vAlign w:val="bottom"/>
            <w:hideMark/>
          </w:tcPr>
          <w:p w14:paraId="6EA9B1F3"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40.27</w:t>
            </w:r>
          </w:p>
        </w:tc>
        <w:tc>
          <w:tcPr>
            <w:tcW w:w="1436" w:type="dxa"/>
            <w:tcBorders>
              <w:left w:val="nil"/>
              <w:bottom w:val="nil"/>
              <w:right w:val="nil"/>
            </w:tcBorders>
            <w:shd w:val="clear" w:color="auto" w:fill="auto"/>
            <w:noWrap/>
            <w:vAlign w:val="bottom"/>
            <w:hideMark/>
          </w:tcPr>
          <w:p w14:paraId="7F1CBAFF"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37.66</w:t>
            </w:r>
          </w:p>
        </w:tc>
        <w:tc>
          <w:tcPr>
            <w:tcW w:w="1485" w:type="dxa"/>
            <w:tcBorders>
              <w:left w:val="nil"/>
              <w:bottom w:val="nil"/>
              <w:right w:val="single" w:sz="4" w:space="0" w:color="auto"/>
            </w:tcBorders>
            <w:shd w:val="clear" w:color="auto" w:fill="auto"/>
            <w:noWrap/>
            <w:vAlign w:val="bottom"/>
            <w:hideMark/>
          </w:tcPr>
          <w:p w14:paraId="0C3ED56E"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32.24</w:t>
            </w:r>
          </w:p>
        </w:tc>
        <w:tc>
          <w:tcPr>
            <w:tcW w:w="1568" w:type="dxa"/>
            <w:tcBorders>
              <w:left w:val="nil"/>
              <w:bottom w:val="nil"/>
              <w:right w:val="nil"/>
            </w:tcBorders>
            <w:shd w:val="clear" w:color="auto" w:fill="auto"/>
            <w:noWrap/>
            <w:vAlign w:val="bottom"/>
            <w:hideMark/>
          </w:tcPr>
          <w:p w14:paraId="618E9C20"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4.05</w:t>
            </w:r>
          </w:p>
        </w:tc>
      </w:tr>
      <w:tr w:rsidR="00103457" w:rsidRPr="00CD05AF" w14:paraId="23B0DD6B" w14:textId="77777777" w:rsidTr="00AA5DD3">
        <w:trPr>
          <w:trHeight w:val="323"/>
        </w:trPr>
        <w:tc>
          <w:tcPr>
            <w:tcW w:w="1982" w:type="dxa"/>
            <w:tcBorders>
              <w:top w:val="nil"/>
              <w:left w:val="nil"/>
              <w:bottom w:val="nil"/>
              <w:right w:val="single" w:sz="4" w:space="0" w:color="auto"/>
            </w:tcBorders>
            <w:shd w:val="clear" w:color="auto" w:fill="auto"/>
            <w:noWrap/>
            <w:vAlign w:val="bottom"/>
            <w:hideMark/>
          </w:tcPr>
          <w:p w14:paraId="55DF2BC1" w14:textId="77777777" w:rsidR="00103457" w:rsidRPr="00CD05AF" w:rsidRDefault="00103457" w:rsidP="00CD05AF">
            <w:pPr>
              <w:spacing w:line="240" w:lineRule="auto"/>
              <w:rPr>
                <w:rFonts w:cstheme="minorHAnsi"/>
                <w:color w:val="000000"/>
                <w:lang w:bidi="ar-SA"/>
              </w:rPr>
            </w:pPr>
            <w:r w:rsidRPr="00CD05AF">
              <w:rPr>
                <w:rFonts w:cstheme="minorHAnsi"/>
                <w:color w:val="000000"/>
                <w:lang w:bidi="ar-SA"/>
              </w:rPr>
              <w:t>Techiman</w:t>
            </w:r>
          </w:p>
        </w:tc>
        <w:tc>
          <w:tcPr>
            <w:tcW w:w="1351" w:type="dxa"/>
            <w:tcBorders>
              <w:top w:val="nil"/>
              <w:left w:val="nil"/>
              <w:bottom w:val="nil"/>
              <w:right w:val="nil"/>
            </w:tcBorders>
            <w:shd w:val="clear" w:color="auto" w:fill="auto"/>
            <w:noWrap/>
            <w:vAlign w:val="bottom"/>
            <w:hideMark/>
          </w:tcPr>
          <w:p w14:paraId="6D9E6D6B"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13.21</w:t>
            </w:r>
          </w:p>
        </w:tc>
        <w:tc>
          <w:tcPr>
            <w:tcW w:w="1268" w:type="dxa"/>
            <w:tcBorders>
              <w:top w:val="nil"/>
              <w:left w:val="nil"/>
              <w:bottom w:val="nil"/>
              <w:right w:val="single" w:sz="4" w:space="0" w:color="auto"/>
            </w:tcBorders>
            <w:shd w:val="clear" w:color="auto" w:fill="auto"/>
            <w:noWrap/>
            <w:vAlign w:val="bottom"/>
            <w:hideMark/>
          </w:tcPr>
          <w:p w14:paraId="71D887B2"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30.06</w:t>
            </w:r>
          </w:p>
        </w:tc>
        <w:tc>
          <w:tcPr>
            <w:tcW w:w="1436" w:type="dxa"/>
            <w:tcBorders>
              <w:top w:val="nil"/>
              <w:left w:val="nil"/>
              <w:bottom w:val="nil"/>
              <w:right w:val="nil"/>
            </w:tcBorders>
            <w:shd w:val="clear" w:color="auto" w:fill="auto"/>
            <w:noWrap/>
            <w:vAlign w:val="bottom"/>
            <w:hideMark/>
          </w:tcPr>
          <w:p w14:paraId="1ADAB22D"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41.89</w:t>
            </w:r>
          </w:p>
        </w:tc>
        <w:tc>
          <w:tcPr>
            <w:tcW w:w="1485" w:type="dxa"/>
            <w:tcBorders>
              <w:top w:val="nil"/>
              <w:left w:val="nil"/>
              <w:bottom w:val="nil"/>
              <w:right w:val="single" w:sz="4" w:space="0" w:color="auto"/>
            </w:tcBorders>
            <w:shd w:val="clear" w:color="auto" w:fill="auto"/>
            <w:noWrap/>
            <w:vAlign w:val="bottom"/>
            <w:hideMark/>
          </w:tcPr>
          <w:p w14:paraId="52F21B39"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35.87</w:t>
            </w:r>
          </w:p>
        </w:tc>
        <w:tc>
          <w:tcPr>
            <w:tcW w:w="1568" w:type="dxa"/>
            <w:tcBorders>
              <w:top w:val="nil"/>
              <w:left w:val="nil"/>
              <w:bottom w:val="nil"/>
              <w:right w:val="nil"/>
            </w:tcBorders>
            <w:shd w:val="clear" w:color="auto" w:fill="auto"/>
            <w:noWrap/>
            <w:vAlign w:val="bottom"/>
            <w:hideMark/>
          </w:tcPr>
          <w:p w14:paraId="2D0B405C"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6.26</w:t>
            </w:r>
          </w:p>
        </w:tc>
      </w:tr>
      <w:tr w:rsidR="00103457" w:rsidRPr="00CD05AF" w14:paraId="5B4DCEE6" w14:textId="77777777" w:rsidTr="00AA5DD3">
        <w:trPr>
          <w:trHeight w:val="323"/>
        </w:trPr>
        <w:tc>
          <w:tcPr>
            <w:tcW w:w="1982" w:type="dxa"/>
            <w:tcBorders>
              <w:top w:val="nil"/>
              <w:left w:val="nil"/>
              <w:bottom w:val="nil"/>
              <w:right w:val="single" w:sz="4" w:space="0" w:color="auto"/>
            </w:tcBorders>
            <w:shd w:val="clear" w:color="auto" w:fill="auto"/>
            <w:noWrap/>
            <w:vAlign w:val="bottom"/>
            <w:hideMark/>
          </w:tcPr>
          <w:p w14:paraId="532B1D19" w14:textId="77777777" w:rsidR="00103457" w:rsidRPr="00CD05AF" w:rsidRDefault="00103457" w:rsidP="00CD05AF">
            <w:pPr>
              <w:spacing w:line="240" w:lineRule="auto"/>
              <w:rPr>
                <w:rFonts w:cstheme="minorHAnsi"/>
                <w:color w:val="000000"/>
                <w:lang w:bidi="ar-SA"/>
              </w:rPr>
            </w:pPr>
            <w:r w:rsidRPr="00CD05AF">
              <w:rPr>
                <w:rFonts w:cstheme="minorHAnsi"/>
                <w:color w:val="000000"/>
                <w:lang w:bidi="ar-SA"/>
              </w:rPr>
              <w:t>Tamale</w:t>
            </w:r>
          </w:p>
        </w:tc>
        <w:tc>
          <w:tcPr>
            <w:tcW w:w="1351" w:type="dxa"/>
            <w:tcBorders>
              <w:top w:val="nil"/>
              <w:left w:val="nil"/>
              <w:bottom w:val="nil"/>
              <w:right w:val="nil"/>
            </w:tcBorders>
            <w:shd w:val="clear" w:color="auto" w:fill="auto"/>
            <w:noWrap/>
            <w:vAlign w:val="bottom"/>
            <w:hideMark/>
          </w:tcPr>
          <w:p w14:paraId="38083002"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7.19</w:t>
            </w:r>
          </w:p>
        </w:tc>
        <w:tc>
          <w:tcPr>
            <w:tcW w:w="1268" w:type="dxa"/>
            <w:tcBorders>
              <w:top w:val="nil"/>
              <w:left w:val="nil"/>
              <w:bottom w:val="nil"/>
              <w:right w:val="single" w:sz="4" w:space="0" w:color="auto"/>
            </w:tcBorders>
            <w:shd w:val="clear" w:color="auto" w:fill="auto"/>
            <w:noWrap/>
            <w:vAlign w:val="bottom"/>
            <w:hideMark/>
          </w:tcPr>
          <w:p w14:paraId="2D269418"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16.36</w:t>
            </w:r>
          </w:p>
        </w:tc>
        <w:tc>
          <w:tcPr>
            <w:tcW w:w="1436" w:type="dxa"/>
            <w:tcBorders>
              <w:top w:val="nil"/>
              <w:left w:val="nil"/>
              <w:bottom w:val="nil"/>
              <w:right w:val="nil"/>
            </w:tcBorders>
            <w:shd w:val="clear" w:color="auto" w:fill="auto"/>
            <w:noWrap/>
            <w:vAlign w:val="bottom"/>
            <w:hideMark/>
          </w:tcPr>
          <w:p w14:paraId="3C0C2E9E"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22.35</w:t>
            </w:r>
          </w:p>
        </w:tc>
        <w:tc>
          <w:tcPr>
            <w:tcW w:w="1485" w:type="dxa"/>
            <w:tcBorders>
              <w:top w:val="nil"/>
              <w:left w:val="nil"/>
              <w:bottom w:val="nil"/>
              <w:right w:val="single" w:sz="4" w:space="0" w:color="auto"/>
            </w:tcBorders>
            <w:shd w:val="clear" w:color="auto" w:fill="auto"/>
            <w:noWrap/>
            <w:vAlign w:val="bottom"/>
            <w:hideMark/>
          </w:tcPr>
          <w:p w14:paraId="3A652B55"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19.14</w:t>
            </w:r>
          </w:p>
        </w:tc>
        <w:tc>
          <w:tcPr>
            <w:tcW w:w="1568" w:type="dxa"/>
            <w:tcBorders>
              <w:top w:val="nil"/>
              <w:left w:val="nil"/>
              <w:bottom w:val="nil"/>
              <w:right w:val="nil"/>
            </w:tcBorders>
            <w:shd w:val="clear" w:color="auto" w:fill="auto"/>
            <w:noWrap/>
            <w:vAlign w:val="bottom"/>
            <w:hideMark/>
          </w:tcPr>
          <w:p w14:paraId="563C1DBD"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6.15</w:t>
            </w:r>
          </w:p>
        </w:tc>
      </w:tr>
      <w:tr w:rsidR="00103457" w:rsidRPr="00CD05AF" w14:paraId="78148DD6" w14:textId="77777777" w:rsidTr="00AA5DD3">
        <w:trPr>
          <w:trHeight w:val="103"/>
        </w:trPr>
        <w:tc>
          <w:tcPr>
            <w:tcW w:w="1982" w:type="dxa"/>
            <w:tcBorders>
              <w:top w:val="nil"/>
              <w:left w:val="nil"/>
              <w:bottom w:val="single" w:sz="4" w:space="0" w:color="auto"/>
              <w:right w:val="single" w:sz="4" w:space="0" w:color="auto"/>
            </w:tcBorders>
            <w:shd w:val="clear" w:color="auto" w:fill="auto"/>
            <w:noWrap/>
            <w:vAlign w:val="bottom"/>
            <w:hideMark/>
          </w:tcPr>
          <w:p w14:paraId="53073554" w14:textId="77777777" w:rsidR="00103457" w:rsidRPr="00CD05AF" w:rsidRDefault="00103457" w:rsidP="00CD05AF">
            <w:pPr>
              <w:spacing w:line="240" w:lineRule="auto"/>
              <w:rPr>
                <w:rFonts w:cstheme="minorHAnsi"/>
                <w:color w:val="000000"/>
                <w:lang w:bidi="ar-SA"/>
              </w:rPr>
            </w:pPr>
            <w:r w:rsidRPr="00CD05AF">
              <w:rPr>
                <w:rFonts w:cstheme="minorHAnsi"/>
                <w:color w:val="000000"/>
                <w:lang w:bidi="ar-SA"/>
              </w:rPr>
              <w:t>Wa</w:t>
            </w:r>
          </w:p>
        </w:tc>
        <w:tc>
          <w:tcPr>
            <w:tcW w:w="1351" w:type="dxa"/>
            <w:tcBorders>
              <w:top w:val="nil"/>
              <w:left w:val="nil"/>
              <w:bottom w:val="single" w:sz="4" w:space="0" w:color="auto"/>
              <w:right w:val="nil"/>
            </w:tcBorders>
            <w:shd w:val="clear" w:color="auto" w:fill="auto"/>
            <w:noWrap/>
            <w:vAlign w:val="bottom"/>
            <w:hideMark/>
          </w:tcPr>
          <w:p w14:paraId="5695C74F"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5.85</w:t>
            </w:r>
          </w:p>
        </w:tc>
        <w:tc>
          <w:tcPr>
            <w:tcW w:w="1268" w:type="dxa"/>
            <w:tcBorders>
              <w:top w:val="nil"/>
              <w:left w:val="nil"/>
              <w:bottom w:val="single" w:sz="4" w:space="0" w:color="auto"/>
              <w:right w:val="single" w:sz="4" w:space="0" w:color="auto"/>
            </w:tcBorders>
            <w:shd w:val="clear" w:color="auto" w:fill="auto"/>
            <w:noWrap/>
            <w:vAlign w:val="bottom"/>
            <w:hideMark/>
          </w:tcPr>
          <w:p w14:paraId="4B0BFBD6"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13.31</w:t>
            </w:r>
          </w:p>
        </w:tc>
        <w:tc>
          <w:tcPr>
            <w:tcW w:w="1436" w:type="dxa"/>
            <w:tcBorders>
              <w:top w:val="nil"/>
              <w:left w:val="nil"/>
              <w:bottom w:val="single" w:sz="4" w:space="0" w:color="auto"/>
              <w:right w:val="nil"/>
            </w:tcBorders>
            <w:shd w:val="clear" w:color="auto" w:fill="auto"/>
            <w:noWrap/>
            <w:vAlign w:val="bottom"/>
            <w:hideMark/>
          </w:tcPr>
          <w:p w14:paraId="25C92E4A"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14.89</w:t>
            </w:r>
          </w:p>
        </w:tc>
        <w:tc>
          <w:tcPr>
            <w:tcW w:w="1485" w:type="dxa"/>
            <w:tcBorders>
              <w:top w:val="nil"/>
              <w:left w:val="nil"/>
              <w:bottom w:val="single" w:sz="4" w:space="0" w:color="auto"/>
              <w:right w:val="single" w:sz="4" w:space="0" w:color="auto"/>
            </w:tcBorders>
            <w:shd w:val="clear" w:color="auto" w:fill="auto"/>
            <w:noWrap/>
            <w:vAlign w:val="bottom"/>
            <w:hideMark/>
          </w:tcPr>
          <w:p w14:paraId="320195CA"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12.75</w:t>
            </w:r>
          </w:p>
        </w:tc>
        <w:tc>
          <w:tcPr>
            <w:tcW w:w="1568" w:type="dxa"/>
            <w:tcBorders>
              <w:top w:val="nil"/>
              <w:left w:val="nil"/>
              <w:bottom w:val="single" w:sz="4" w:space="0" w:color="auto"/>
              <w:right w:val="nil"/>
            </w:tcBorders>
            <w:shd w:val="clear" w:color="auto" w:fill="auto"/>
            <w:noWrap/>
            <w:vAlign w:val="bottom"/>
            <w:hideMark/>
          </w:tcPr>
          <w:p w14:paraId="01DC361C" w14:textId="77777777" w:rsidR="00103457" w:rsidRPr="00CD05AF" w:rsidRDefault="00103457" w:rsidP="00CD05AF">
            <w:pPr>
              <w:spacing w:line="240" w:lineRule="auto"/>
              <w:jc w:val="center"/>
              <w:rPr>
                <w:rFonts w:cstheme="minorHAnsi"/>
                <w:color w:val="000000"/>
                <w:lang w:bidi="ar-SA"/>
              </w:rPr>
            </w:pPr>
            <w:r w:rsidRPr="00CD05AF">
              <w:rPr>
                <w:rFonts w:cstheme="minorHAnsi"/>
                <w:color w:val="000000"/>
                <w:lang w:bidi="ar-SA"/>
              </w:rPr>
              <w:t>5.04</w:t>
            </w:r>
          </w:p>
        </w:tc>
      </w:tr>
    </w:tbl>
    <w:p w14:paraId="71E8843C" w14:textId="49F5A4DB" w:rsidR="007F51B5" w:rsidRPr="00103457" w:rsidRDefault="007F51B5" w:rsidP="00103457">
      <w:pPr>
        <w:keepNext/>
        <w:spacing w:line="240" w:lineRule="auto"/>
        <w:rPr>
          <w:rFonts w:ascii="Times New Roman" w:eastAsia="Aptos" w:hAnsi="Times New Roman"/>
          <w:lang w:bidi="ar-SA"/>
          <w14:ligatures w14:val="standardContextual"/>
        </w:rPr>
      </w:pPr>
      <w:r>
        <w:rPr>
          <w:rFonts w:ascii="Times New Roman" w:eastAsia="Aptos" w:hAnsi="Times New Roman"/>
          <w:noProof/>
          <w:lang w:bidi="ar-SA"/>
        </w:rPr>
        <w:lastRenderedPageBreak/>
        <w:drawing>
          <wp:inline distT="0" distB="0" distL="0" distR="0" wp14:anchorId="6FC230A3" wp14:editId="56D8C2C6">
            <wp:extent cx="5724939" cy="2861858"/>
            <wp:effectExtent l="0" t="0" r="0" b="0"/>
            <wp:docPr id="889128479" name="Picture 53" descr="A graph of the number of people in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128479" name="Picture 53" descr="A graph of the number of people in the world&#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1964" cy="2875368"/>
                    </a:xfrm>
                    <a:prstGeom prst="rect">
                      <a:avLst/>
                    </a:prstGeom>
                  </pic:spPr>
                </pic:pic>
              </a:graphicData>
            </a:graphic>
          </wp:inline>
        </w:drawing>
      </w:r>
    </w:p>
    <w:p w14:paraId="433F7196" w14:textId="14A8F4CC" w:rsidR="00103457" w:rsidRPr="00103457" w:rsidRDefault="00103457" w:rsidP="00103457">
      <w:pPr>
        <w:spacing w:line="240" w:lineRule="auto"/>
        <w:rPr>
          <w:rFonts w:ascii="Times New Roman" w:eastAsia="Aptos" w:hAnsi="Times New Roman"/>
          <w:bCs/>
          <w:iCs/>
          <w:lang w:bidi="ar-SA"/>
          <w14:ligatures w14:val="standardContextual"/>
        </w:rPr>
      </w:pPr>
      <w:bookmarkStart w:id="95" w:name="_Ref162376623"/>
      <w:bookmarkStart w:id="96" w:name="_Toc172233507"/>
      <w:r w:rsidRPr="007D7640">
        <w:rPr>
          <w:rFonts w:ascii="Times New Roman" w:eastAsia="Aptos" w:hAnsi="Times New Roman"/>
          <w:b/>
          <w:iCs/>
          <w:lang w:bidi="ar-SA"/>
          <w14:ligatures w14:val="standardContextual"/>
        </w:rPr>
        <w:t xml:space="preserve">Figure </w:t>
      </w:r>
      <w:r w:rsidRPr="007D7640">
        <w:rPr>
          <w:rFonts w:ascii="Times New Roman" w:eastAsia="Aptos" w:hAnsi="Times New Roman"/>
          <w:b/>
          <w:lang w:bidi="ar-SA"/>
          <w14:ligatures w14:val="standardContextual"/>
        </w:rPr>
        <w:fldChar w:fldCharType="begin"/>
      </w:r>
      <w:r w:rsidRPr="007D7640">
        <w:rPr>
          <w:rFonts w:ascii="Times New Roman" w:eastAsia="Aptos" w:hAnsi="Times New Roman"/>
          <w:b/>
          <w:lang w:bidi="ar-SA"/>
          <w14:ligatures w14:val="standardContextual"/>
        </w:rPr>
        <w:instrText xml:space="preserve"> SEQ Figure \* ARABIC </w:instrText>
      </w:r>
      <w:r w:rsidRPr="007D7640">
        <w:rPr>
          <w:rFonts w:ascii="Times New Roman" w:eastAsia="Aptos" w:hAnsi="Times New Roman"/>
          <w:b/>
          <w:lang w:bidi="ar-SA"/>
          <w14:ligatures w14:val="standardContextual"/>
        </w:rPr>
        <w:fldChar w:fldCharType="separate"/>
      </w:r>
      <w:r w:rsidR="00B129D9">
        <w:rPr>
          <w:rFonts w:ascii="Times New Roman" w:eastAsia="Aptos" w:hAnsi="Times New Roman"/>
          <w:b/>
          <w:noProof/>
          <w:lang w:bidi="ar-SA"/>
          <w14:ligatures w14:val="standardContextual"/>
        </w:rPr>
        <w:t>10</w:t>
      </w:r>
      <w:r w:rsidRPr="007D7640">
        <w:rPr>
          <w:rFonts w:ascii="Times New Roman" w:eastAsia="Aptos" w:hAnsi="Times New Roman"/>
          <w:b/>
          <w:lang w:bidi="ar-SA"/>
          <w14:ligatures w14:val="standardContextual"/>
        </w:rPr>
        <w:fldChar w:fldCharType="end"/>
      </w:r>
      <w:bookmarkEnd w:id="95"/>
      <w:r w:rsidRPr="00103457">
        <w:rPr>
          <w:rFonts w:ascii="Times New Roman" w:eastAsia="Aptos" w:hAnsi="Times New Roman"/>
          <w:bCs/>
          <w:lang w:bidi="ar-SA"/>
          <w14:ligatures w14:val="standardContextual"/>
        </w:rPr>
        <w:t>:</w:t>
      </w:r>
      <w:r w:rsidRPr="00103457">
        <w:rPr>
          <w:rFonts w:ascii="Times New Roman" w:eastAsia="Aptos" w:hAnsi="Times New Roman"/>
          <w:bCs/>
          <w:iCs/>
          <w:lang w:bidi="ar-SA"/>
          <w14:ligatures w14:val="standardContextual"/>
        </w:rPr>
        <w:t xml:space="preserve"> Primary and secondary cities annual sprawl-infill ratios from 2001 </w:t>
      </w:r>
      <w:r w:rsidRPr="00103457">
        <w:rPr>
          <w:rFonts w:ascii="Times New Roman" w:eastAsia="Aptos" w:hAnsi="Times New Roman"/>
          <w:bCs/>
          <w:lang w:bidi="ar-SA"/>
          <w14:ligatures w14:val="standardContextual"/>
        </w:rPr>
        <w:t>–</w:t>
      </w:r>
      <w:r w:rsidRPr="00103457">
        <w:rPr>
          <w:rFonts w:ascii="Times New Roman" w:eastAsia="Aptos" w:hAnsi="Times New Roman"/>
          <w:bCs/>
          <w:iCs/>
          <w:lang w:bidi="ar-SA"/>
          <w14:ligatures w14:val="standardContextual"/>
        </w:rPr>
        <w:t xml:space="preserve"> 2020</w:t>
      </w:r>
      <w:r w:rsidRPr="00103457">
        <w:rPr>
          <w:rFonts w:ascii="Times New Roman" w:eastAsia="Aptos" w:hAnsi="Times New Roman"/>
          <w:bCs/>
          <w:lang w:bidi="ar-SA"/>
          <w14:ligatures w14:val="standardContextual"/>
        </w:rPr>
        <w:t>. Primary</w:t>
      </w:r>
      <w:r w:rsidRPr="00103457">
        <w:rPr>
          <w:rFonts w:ascii="Times New Roman" w:eastAsia="Aptos" w:hAnsi="Times New Roman"/>
          <w:bCs/>
          <w:iCs/>
          <w:lang w:bidi="ar-SA"/>
          <w14:ligatures w14:val="standardContextual"/>
        </w:rPr>
        <w:t xml:space="preserve"> cities are in </w:t>
      </w:r>
      <w:r w:rsidR="009230A8">
        <w:rPr>
          <w:rFonts w:ascii="Times New Roman" w:eastAsia="Aptos" w:hAnsi="Times New Roman"/>
          <w:bCs/>
          <w:iCs/>
          <w:lang w:bidi="ar-SA"/>
          <w14:ligatures w14:val="standardContextual"/>
        </w:rPr>
        <w:t>red</w:t>
      </w:r>
      <w:r w:rsidRPr="00103457">
        <w:rPr>
          <w:rFonts w:ascii="Times New Roman" w:eastAsia="Aptos" w:hAnsi="Times New Roman"/>
          <w:bCs/>
          <w:iCs/>
          <w:lang w:bidi="ar-SA"/>
          <w14:ligatures w14:val="standardContextual"/>
        </w:rPr>
        <w:t xml:space="preserve">, and secondary cities are in </w:t>
      </w:r>
      <w:r w:rsidR="009230A8">
        <w:rPr>
          <w:rFonts w:ascii="Times New Roman" w:eastAsia="Aptos" w:hAnsi="Times New Roman"/>
          <w:bCs/>
          <w:iCs/>
          <w:lang w:bidi="ar-SA"/>
          <w14:ligatures w14:val="standardContextual"/>
        </w:rPr>
        <w:t>blue</w:t>
      </w:r>
      <w:r w:rsidRPr="00103457">
        <w:rPr>
          <w:rFonts w:ascii="Times New Roman" w:eastAsia="Aptos" w:hAnsi="Times New Roman"/>
          <w:bCs/>
          <w:iCs/>
          <w:lang w:bidi="ar-SA"/>
          <w14:ligatures w14:val="standardContextual"/>
        </w:rPr>
        <w:t>.</w:t>
      </w:r>
      <w:bookmarkEnd w:id="96"/>
      <w:r w:rsidRPr="00103457">
        <w:rPr>
          <w:rFonts w:ascii="Times New Roman" w:eastAsia="Aptos" w:hAnsi="Times New Roman"/>
          <w:bCs/>
          <w:iCs/>
          <w:lang w:bidi="ar-SA"/>
          <w14:ligatures w14:val="standardContextual"/>
        </w:rPr>
        <w:t xml:space="preserve"> </w:t>
      </w:r>
    </w:p>
    <w:p w14:paraId="73F563BA" w14:textId="1A637410" w:rsidR="00103457" w:rsidRPr="00103457" w:rsidRDefault="00103457" w:rsidP="00103457">
      <w:pPr>
        <w:keepNext/>
        <w:spacing w:line="240" w:lineRule="auto"/>
        <w:rPr>
          <w:rFonts w:ascii="Times New Roman" w:eastAsia="Aptos" w:hAnsi="Times New Roman"/>
          <w:lang w:bidi="ar-SA"/>
          <w14:ligatures w14:val="standardContextual"/>
        </w:rPr>
      </w:pPr>
      <w:r w:rsidRPr="00103457">
        <w:rPr>
          <w:rFonts w:ascii="Times New Roman" w:eastAsia="Aptos" w:hAnsi="Times New Roman"/>
          <w:noProof/>
          <w:lang w:bidi="ar-SA"/>
          <w14:ligatures w14:val="standardContextual"/>
        </w:rPr>
        <w:lastRenderedPageBreak/>
        <w:drawing>
          <wp:inline distT="0" distB="0" distL="0" distR="0" wp14:anchorId="3D6D8AB3" wp14:editId="0C7046CB">
            <wp:extent cx="5443886" cy="7848789"/>
            <wp:effectExtent l="0" t="0" r="0" b="0"/>
            <wp:docPr id="290876709" name="Picture 290876709" descr="A collage of images of a map of a s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76709" name="Picture 2" descr="A collage of images of a map of a sea&#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43886" cy="7848789"/>
                    </a:xfrm>
                    <a:prstGeom prst="rect">
                      <a:avLst/>
                    </a:prstGeom>
                  </pic:spPr>
                </pic:pic>
              </a:graphicData>
            </a:graphic>
          </wp:inline>
        </w:drawing>
      </w:r>
    </w:p>
    <w:p w14:paraId="7A4E1108" w14:textId="77777777" w:rsidR="00CF4C27" w:rsidRDefault="00CF4C27" w:rsidP="00103457">
      <w:pPr>
        <w:spacing w:line="240" w:lineRule="auto"/>
        <w:rPr>
          <w:rFonts w:ascii="Times New Roman" w:eastAsia="Aptos" w:hAnsi="Times New Roman"/>
          <w:lang w:bidi="ar-SA"/>
          <w14:ligatures w14:val="standardContextual"/>
        </w:rPr>
      </w:pPr>
      <w:bookmarkStart w:id="97" w:name="_Ref162376626"/>
    </w:p>
    <w:p w14:paraId="27FFC76A" w14:textId="4E3F5BEA" w:rsidR="00103457" w:rsidRPr="00103457" w:rsidRDefault="00103457" w:rsidP="00103457">
      <w:pPr>
        <w:spacing w:line="240" w:lineRule="auto"/>
        <w:rPr>
          <w:rFonts w:ascii="Times New Roman" w:eastAsia="Aptos" w:hAnsi="Times New Roman"/>
          <w:iCs/>
          <w:lang w:bidi="ar-SA"/>
          <w14:ligatures w14:val="standardContextual"/>
        </w:rPr>
      </w:pPr>
      <w:bookmarkStart w:id="98" w:name="_Ref169888328"/>
      <w:bookmarkStart w:id="99" w:name="_Toc172233508"/>
      <w:r w:rsidRPr="007D7640">
        <w:rPr>
          <w:rFonts w:ascii="Times New Roman" w:eastAsia="Aptos" w:hAnsi="Times New Roman"/>
          <w:b/>
          <w:bCs/>
          <w:lang w:bidi="ar-SA"/>
          <w14:ligatures w14:val="standardContextual"/>
        </w:rPr>
        <w:t xml:space="preserve">Figure </w:t>
      </w:r>
      <w:r w:rsidRPr="007D7640">
        <w:rPr>
          <w:rFonts w:ascii="Times New Roman" w:eastAsia="Aptos" w:hAnsi="Times New Roman"/>
          <w:b/>
          <w:bCs/>
          <w:lang w:bidi="ar-SA"/>
          <w14:ligatures w14:val="standardContextual"/>
        </w:rPr>
        <w:fldChar w:fldCharType="begin"/>
      </w:r>
      <w:r w:rsidRPr="007D7640">
        <w:rPr>
          <w:rFonts w:ascii="Times New Roman" w:eastAsia="Aptos" w:hAnsi="Times New Roman"/>
          <w:b/>
          <w:bCs/>
          <w:lang w:bidi="ar-SA"/>
          <w14:ligatures w14:val="standardContextual"/>
        </w:rPr>
        <w:instrText xml:space="preserve"> SEQ Figure \* ARABIC </w:instrText>
      </w:r>
      <w:r w:rsidRPr="007D7640">
        <w:rPr>
          <w:rFonts w:ascii="Times New Roman" w:eastAsia="Aptos" w:hAnsi="Times New Roman"/>
          <w:b/>
          <w:bCs/>
          <w:lang w:bidi="ar-SA"/>
          <w14:ligatures w14:val="standardContextual"/>
        </w:rPr>
        <w:fldChar w:fldCharType="separate"/>
      </w:r>
      <w:r w:rsidR="00B129D9">
        <w:rPr>
          <w:rFonts w:ascii="Times New Roman" w:eastAsia="Aptos" w:hAnsi="Times New Roman"/>
          <w:b/>
          <w:bCs/>
          <w:noProof/>
          <w:lang w:bidi="ar-SA"/>
          <w14:ligatures w14:val="standardContextual"/>
        </w:rPr>
        <w:t>11</w:t>
      </w:r>
      <w:r w:rsidRPr="007D7640">
        <w:rPr>
          <w:rFonts w:ascii="Times New Roman" w:eastAsia="Aptos" w:hAnsi="Times New Roman"/>
          <w:b/>
          <w:bCs/>
          <w:lang w:bidi="ar-SA"/>
          <w14:ligatures w14:val="standardContextual"/>
        </w:rPr>
        <w:fldChar w:fldCharType="end"/>
      </w:r>
      <w:bookmarkEnd w:id="97"/>
      <w:bookmarkEnd w:id="98"/>
      <w:r w:rsidRPr="00103457">
        <w:rPr>
          <w:rFonts w:ascii="Times New Roman" w:eastAsia="Aptos" w:hAnsi="Times New Roman"/>
          <w:lang w:bidi="ar-SA"/>
          <w14:ligatures w14:val="standardContextual"/>
        </w:rPr>
        <w:t>: Primary and secondary cities expansion patterns in 2010 and 2020.</w:t>
      </w:r>
      <w:bookmarkEnd w:id="99"/>
    </w:p>
    <w:p w14:paraId="1A91F644" w14:textId="77777777" w:rsidR="00103457" w:rsidRPr="005A1E7A" w:rsidRDefault="00103457" w:rsidP="00277F12">
      <w:pPr>
        <w:pStyle w:val="Heading3"/>
      </w:pPr>
      <w:bookmarkStart w:id="100" w:name="_Toc172288735"/>
      <w:r w:rsidRPr="005A1E7A">
        <w:lastRenderedPageBreak/>
        <w:t>Sprawl and infill patterns: lessons learned from qualitative interviews</w:t>
      </w:r>
      <w:bookmarkEnd w:id="100"/>
    </w:p>
    <w:p w14:paraId="6CA1507D" w14:textId="238A65E6"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Interviews with planners, urban residents, landowners, and real estate developers indicate that several interconnected factors have influenced city expan</w:t>
      </w:r>
      <w:r w:rsidRPr="00DF1B5E">
        <w:rPr>
          <w:rFonts w:ascii="Times New Roman" w:eastAsia="Aptos" w:hAnsi="Times New Roman"/>
          <w:lang w:bidi="ar-SA"/>
          <w14:ligatures w14:val="standardContextual"/>
        </w:rPr>
        <w:t>sion rates and patterns</w:t>
      </w:r>
      <w:r w:rsidR="003E5EDB" w:rsidRPr="00DF1B5E">
        <w:rPr>
          <w:rFonts w:ascii="Times New Roman" w:eastAsia="Aptos" w:hAnsi="Times New Roman"/>
          <w:lang w:bidi="ar-SA"/>
          <w14:ligatures w14:val="standardContextual"/>
        </w:rPr>
        <w:t xml:space="preserve"> (</w:t>
      </w:r>
      <w:r w:rsidR="00C449A4" w:rsidRPr="00DF1B5E">
        <w:rPr>
          <w:rFonts w:ascii="Times New Roman" w:eastAsia="Aptos" w:hAnsi="Times New Roman"/>
          <w:lang w:bidi="ar-SA"/>
          <w14:ligatures w14:val="standardContextual"/>
        </w:rPr>
        <w:fldChar w:fldCharType="begin"/>
      </w:r>
      <w:r w:rsidR="00C449A4" w:rsidRPr="00DF1B5E">
        <w:rPr>
          <w:rFonts w:ascii="Times New Roman" w:eastAsia="Aptos" w:hAnsi="Times New Roman"/>
          <w:lang w:bidi="ar-SA"/>
          <w14:ligatures w14:val="standardContextual"/>
        </w:rPr>
        <w:instrText xml:space="preserve"> REF _Ref162376588 \h </w:instrText>
      </w:r>
      <w:r w:rsidR="00DF1B5E" w:rsidRPr="00DF1B5E">
        <w:rPr>
          <w:rFonts w:ascii="Times New Roman" w:eastAsia="Aptos" w:hAnsi="Times New Roman"/>
          <w:lang w:bidi="ar-SA"/>
          <w14:ligatures w14:val="standardContextual"/>
        </w:rPr>
        <w:instrText xml:space="preserve"> \* MERGEFORMAT </w:instrText>
      </w:r>
      <w:r w:rsidR="00C449A4" w:rsidRPr="00DF1B5E">
        <w:rPr>
          <w:rFonts w:ascii="Times New Roman" w:eastAsia="Aptos" w:hAnsi="Times New Roman"/>
          <w:lang w:bidi="ar-SA"/>
          <w14:ligatures w14:val="standardContextual"/>
        </w:rPr>
      </w:r>
      <w:r w:rsidR="00C449A4" w:rsidRPr="00DF1B5E">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6</w:t>
      </w:r>
      <w:r w:rsidR="00C449A4" w:rsidRPr="00DF1B5E">
        <w:rPr>
          <w:rFonts w:ascii="Times New Roman" w:eastAsia="Aptos" w:hAnsi="Times New Roman"/>
          <w:lang w:bidi="ar-SA"/>
          <w14:ligatures w14:val="standardContextual"/>
        </w:rPr>
        <w:fldChar w:fldCharType="end"/>
      </w:r>
      <w:r w:rsidR="00DF1B5E" w:rsidRPr="00DF1B5E">
        <w:rPr>
          <w:rFonts w:ascii="Times New Roman" w:eastAsia="Aptos" w:hAnsi="Times New Roman"/>
          <w:lang w:bidi="ar-SA"/>
          <w14:ligatures w14:val="standardContextual"/>
        </w:rPr>
        <w:t xml:space="preserve"> -</w:t>
      </w:r>
      <w:r w:rsidR="00010512">
        <w:rPr>
          <w:rFonts w:ascii="Times New Roman" w:eastAsia="Aptos" w:hAnsi="Times New Roman"/>
          <w:lang w:bidi="ar-SA"/>
          <w14:ligatures w14:val="standardContextual"/>
        </w:rPr>
        <w:t xml:space="preserve"> 8</w:t>
      </w:r>
      <w:r w:rsidR="00DF1B5E" w:rsidRPr="00DF1B5E">
        <w:rPr>
          <w:rFonts w:ascii="Times New Roman" w:eastAsia="Aptos" w:hAnsi="Times New Roman"/>
          <w:lang w:bidi="ar-SA"/>
          <w14:ligatures w14:val="standardContextual"/>
        </w:rPr>
        <w:t xml:space="preserve">) </w:t>
      </w:r>
      <w:r w:rsidR="00A93DB2" w:rsidRPr="00DF1B5E">
        <w:rPr>
          <w:rFonts w:ascii="Times New Roman" w:eastAsia="Aptos" w:hAnsi="Times New Roman"/>
          <w:lang w:bidi="ar-SA"/>
          <w14:ligatures w14:val="standardContextual"/>
        </w:rPr>
        <w:t>and</w:t>
      </w:r>
      <w:r w:rsidR="00DF1B5E" w:rsidRPr="00DF1B5E">
        <w:rPr>
          <w:rFonts w:ascii="Times New Roman" w:eastAsia="Aptos" w:hAnsi="Times New Roman"/>
          <w:lang w:bidi="ar-SA"/>
          <w14:ligatures w14:val="standardContextual"/>
        </w:rPr>
        <w:t xml:space="preserve"> (</w:t>
      </w:r>
      <w:r w:rsidR="009B3B45" w:rsidRPr="00DF1B5E">
        <w:rPr>
          <w:rFonts w:ascii="Times New Roman" w:eastAsia="Aptos" w:hAnsi="Times New Roman"/>
          <w:lang w:bidi="ar-SA"/>
          <w14:ligatures w14:val="standardContextual"/>
        </w:rPr>
        <w:fldChar w:fldCharType="begin"/>
      </w:r>
      <w:r w:rsidR="009B3B45" w:rsidRPr="00DF1B5E">
        <w:rPr>
          <w:rFonts w:ascii="Times New Roman" w:eastAsia="Aptos" w:hAnsi="Times New Roman"/>
          <w:lang w:bidi="ar-SA"/>
          <w14:ligatures w14:val="standardContextual"/>
        </w:rPr>
        <w:instrText xml:space="preserve"> REF _Ref162376623 \h </w:instrText>
      </w:r>
      <w:r w:rsidR="00DF1B5E" w:rsidRPr="00DF1B5E">
        <w:rPr>
          <w:rFonts w:ascii="Times New Roman" w:eastAsia="Aptos" w:hAnsi="Times New Roman"/>
          <w:lang w:bidi="ar-SA"/>
          <w14:ligatures w14:val="standardContextual"/>
        </w:rPr>
        <w:instrText xml:space="preserve"> \* MERGEFORMAT </w:instrText>
      </w:r>
      <w:r w:rsidR="009B3B45" w:rsidRPr="00DF1B5E">
        <w:rPr>
          <w:rFonts w:ascii="Times New Roman" w:eastAsia="Aptos" w:hAnsi="Times New Roman"/>
          <w:lang w:bidi="ar-SA"/>
          <w14:ligatures w14:val="standardContextual"/>
        </w:rPr>
      </w:r>
      <w:r w:rsidR="009B3B45" w:rsidRPr="00DF1B5E">
        <w:rPr>
          <w:rFonts w:ascii="Times New Roman" w:eastAsia="Aptos" w:hAnsi="Times New Roman"/>
          <w:lang w:bidi="ar-SA"/>
          <w14:ligatures w14:val="standardContextual"/>
        </w:rPr>
        <w:fldChar w:fldCharType="separate"/>
      </w:r>
      <w:r w:rsidR="00B129D9" w:rsidRPr="00B129D9">
        <w:rPr>
          <w:rFonts w:ascii="Times New Roman" w:eastAsia="Aptos" w:hAnsi="Times New Roman"/>
          <w:iCs/>
          <w:lang w:bidi="ar-SA"/>
          <w14:ligatures w14:val="standardContextual"/>
        </w:rPr>
        <w:t xml:space="preserve">Figure </w:t>
      </w:r>
      <w:r w:rsidR="00B129D9" w:rsidRPr="00B129D9">
        <w:rPr>
          <w:rFonts w:ascii="Times New Roman" w:eastAsia="Aptos" w:hAnsi="Times New Roman"/>
          <w:noProof/>
          <w:lang w:bidi="ar-SA"/>
          <w14:ligatures w14:val="standardContextual"/>
        </w:rPr>
        <w:t>10</w:t>
      </w:r>
      <w:r w:rsidR="009B3B45" w:rsidRPr="00DF1B5E">
        <w:rPr>
          <w:rFonts w:ascii="Times New Roman" w:eastAsia="Aptos" w:hAnsi="Times New Roman"/>
          <w:lang w:bidi="ar-SA"/>
          <w14:ligatures w14:val="standardContextual"/>
        </w:rPr>
        <w:fldChar w:fldCharType="end"/>
      </w:r>
      <w:r w:rsidR="00DF1B5E" w:rsidRPr="00DF1B5E">
        <w:rPr>
          <w:rFonts w:ascii="Times New Roman" w:eastAsia="Aptos" w:hAnsi="Times New Roman"/>
          <w:lang w:bidi="ar-SA"/>
          <w14:ligatures w14:val="standardContextual"/>
        </w:rPr>
        <w:t xml:space="preserve"> -</w:t>
      </w:r>
      <w:r w:rsidR="00B42D2C">
        <w:rPr>
          <w:rFonts w:ascii="Times New Roman" w:eastAsia="Aptos" w:hAnsi="Times New Roman"/>
          <w:lang w:bidi="ar-SA"/>
          <w14:ligatures w14:val="standardContextual"/>
        </w:rPr>
        <w:t xml:space="preserve"> 12</w:t>
      </w:r>
      <w:r w:rsidR="003E5EDB" w:rsidRPr="00DF1B5E">
        <w:rPr>
          <w:rFonts w:ascii="Times New Roman" w:eastAsia="Aptos" w:hAnsi="Times New Roman"/>
          <w:lang w:bidi="ar-SA"/>
          <w14:ligatures w14:val="standardContextual"/>
        </w:rPr>
        <w:t>)</w:t>
      </w:r>
      <w:r w:rsidRPr="00DF1B5E">
        <w:rPr>
          <w:rFonts w:ascii="Times New Roman" w:eastAsia="Aptos" w:hAnsi="Times New Roman"/>
          <w:lang w:bidi="ar-SA"/>
          <w14:ligatures w14:val="standardContextual"/>
        </w:rPr>
        <w:t xml:space="preserve">. </w:t>
      </w:r>
      <w:r w:rsidRPr="00103457">
        <w:rPr>
          <w:rFonts w:ascii="Times New Roman" w:eastAsia="Aptos" w:hAnsi="Times New Roman"/>
          <w:lang w:bidi="ar-SA"/>
          <w14:ligatures w14:val="standardContextual"/>
        </w:rPr>
        <w:t>These include land and rent costs, proximity to infrastructures and services, land tenure arrangements, nature of neighborhoods, and speculative developments, all of which influence demand for housing in specific locations. These dynamics vary across primary and secondary cities</w:t>
      </w:r>
      <w:r w:rsidR="00B42D2C">
        <w:rPr>
          <w:rFonts w:ascii="Times New Roman" w:eastAsia="Aptos" w:hAnsi="Times New Roman"/>
          <w:lang w:bidi="ar-SA"/>
          <w14:ligatures w14:val="standardContextual"/>
        </w:rPr>
        <w:t xml:space="preserve"> </w:t>
      </w:r>
      <w:r w:rsidR="00B42D2C" w:rsidRPr="00F343BC">
        <w:rPr>
          <w:rFonts w:ascii="Times New Roman" w:eastAsia="Aptos" w:hAnsi="Times New Roman"/>
          <w:lang w:bidi="ar-SA"/>
          <w14:ligatures w14:val="standardContextual"/>
        </w:rPr>
        <w:t>(</w:t>
      </w:r>
      <w:r w:rsidR="00F343BC" w:rsidRPr="00F343BC">
        <w:rPr>
          <w:rFonts w:ascii="Times New Roman" w:eastAsia="Aptos" w:hAnsi="Times New Roman"/>
          <w:lang w:bidi="ar-SA"/>
          <w14:ligatures w14:val="standardContextual"/>
        </w:rPr>
        <w:fldChar w:fldCharType="begin"/>
      </w:r>
      <w:r w:rsidR="00F343BC" w:rsidRPr="00F343BC">
        <w:rPr>
          <w:rFonts w:ascii="Times New Roman" w:eastAsia="Aptos" w:hAnsi="Times New Roman"/>
          <w:lang w:bidi="ar-SA"/>
          <w14:ligatures w14:val="standardContextual"/>
        </w:rPr>
        <w:instrText xml:space="preserve"> REF _Ref169889808 \h  \* MERGEFORMAT </w:instrText>
      </w:r>
      <w:r w:rsidR="00F343BC" w:rsidRPr="00F343BC">
        <w:rPr>
          <w:rFonts w:ascii="Times New Roman" w:eastAsia="Aptos" w:hAnsi="Times New Roman"/>
          <w:lang w:bidi="ar-SA"/>
          <w14:ligatures w14:val="standardContextual"/>
        </w:rPr>
      </w:r>
      <w:r w:rsidR="00F343BC" w:rsidRPr="00F343BC">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7</w:t>
      </w:r>
      <w:r w:rsidR="00F343BC" w:rsidRPr="00F343BC">
        <w:rPr>
          <w:rFonts w:ascii="Times New Roman" w:eastAsia="Aptos" w:hAnsi="Times New Roman"/>
          <w:lang w:bidi="ar-SA"/>
          <w14:ligatures w14:val="standardContextual"/>
        </w:rPr>
        <w:fldChar w:fldCharType="end"/>
      </w:r>
      <w:r w:rsidR="00B42D2C" w:rsidRPr="00F343BC">
        <w:rPr>
          <w:rFonts w:ascii="Times New Roman" w:eastAsia="Aptos" w:hAnsi="Times New Roman"/>
          <w:lang w:bidi="ar-SA"/>
          <w14:ligatures w14:val="standardContextual"/>
        </w:rPr>
        <w:t>)</w:t>
      </w:r>
      <w:r w:rsidRPr="00F343BC">
        <w:rPr>
          <w:rFonts w:ascii="Times New Roman" w:eastAsia="Aptos" w:hAnsi="Times New Roman"/>
          <w:lang w:bidi="ar-SA"/>
          <w14:ligatures w14:val="standardContextual"/>
        </w:rPr>
        <w:t>.</w:t>
      </w:r>
      <w:r w:rsidRPr="00103457">
        <w:rPr>
          <w:rFonts w:ascii="Times New Roman" w:eastAsia="Aptos" w:hAnsi="Times New Roman"/>
          <w:lang w:bidi="ar-SA"/>
          <w14:ligatures w14:val="standardContextual"/>
        </w:rPr>
        <w:t xml:space="preserve"> In some cases, uneven power relations among urban stakeholders also (re)enforce inequalities and (re)shape the housing ambitions and aspirations of vulnerable populations across cities.</w:t>
      </w:r>
    </w:p>
    <w:p w14:paraId="3CE62BA5" w14:textId="6FAE27CA" w:rsidR="00103457" w:rsidRPr="00103457" w:rsidRDefault="00103457" w:rsidP="00103457">
      <w:pPr>
        <w:spacing w:line="240" w:lineRule="auto"/>
        <w:rPr>
          <w:rFonts w:ascii="Times New Roman" w:eastAsia="Aptos" w:hAnsi="Times New Roman"/>
          <w:lang w:bidi="ar-SA"/>
          <w14:ligatures w14:val="standardContextual"/>
        </w:rPr>
      </w:pPr>
      <w:r w:rsidRPr="00103457">
        <w:rPr>
          <w:rFonts w:ascii="Times New Roman" w:eastAsia="Aptos" w:hAnsi="Times New Roman"/>
          <w:noProof/>
          <w:lang w:bidi="ar-SA"/>
          <w14:ligatures w14:val="standardContextual"/>
        </w:rPr>
        <w:drawing>
          <wp:inline distT="0" distB="0" distL="0" distR="0" wp14:anchorId="6D41FDF6" wp14:editId="477E60CA">
            <wp:extent cx="2840315" cy="2359495"/>
            <wp:effectExtent l="0" t="0" r="0" b="3175"/>
            <wp:docPr id="5" name="Picture 4" descr="A picture containing outdoor&#10;&#10;Description automatically generated">
              <a:extLst xmlns:a="http://schemas.openxmlformats.org/drawingml/2006/main">
                <a:ext uri="{FF2B5EF4-FFF2-40B4-BE49-F238E27FC236}">
                  <a16:creationId xmlns:a16="http://schemas.microsoft.com/office/drawing/2014/main" id="{2EE058F3-FEEE-764A-06E4-5499290EBA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outdoor&#10;&#10;Description automatically generated">
                      <a:extLst>
                        <a:ext uri="{FF2B5EF4-FFF2-40B4-BE49-F238E27FC236}">
                          <a16:creationId xmlns:a16="http://schemas.microsoft.com/office/drawing/2014/main" id="{2EE058F3-FEEE-764A-06E4-5499290EBA0D}"/>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893" t="2813" r="53932" b="24185"/>
                    <a:stretch/>
                  </pic:blipFill>
                  <pic:spPr>
                    <a:xfrm>
                      <a:off x="0" y="0"/>
                      <a:ext cx="2852960" cy="2369999"/>
                    </a:xfrm>
                    <a:prstGeom prst="rect">
                      <a:avLst/>
                    </a:prstGeom>
                  </pic:spPr>
                </pic:pic>
              </a:graphicData>
            </a:graphic>
          </wp:inline>
        </w:drawing>
      </w:r>
      <w:r w:rsidR="00876953">
        <w:rPr>
          <w:rFonts w:ascii="Times New Roman" w:eastAsia="Aptos" w:hAnsi="Times New Roman"/>
          <w:noProof/>
          <w:lang w:bidi="ar-SA"/>
          <w14:ligatures w14:val="standardContextual"/>
        </w:rPr>
        <w:t xml:space="preserve"> </w:t>
      </w:r>
      <w:r w:rsidRPr="00103457">
        <w:rPr>
          <w:rFonts w:ascii="Times New Roman" w:eastAsia="Aptos" w:hAnsi="Times New Roman"/>
          <w:noProof/>
          <w:lang w:bidi="ar-SA"/>
          <w14:ligatures w14:val="standardContextual"/>
        </w:rPr>
        <w:t xml:space="preserve"> </w:t>
      </w:r>
      <w:r w:rsidRPr="00103457">
        <w:rPr>
          <w:rFonts w:ascii="Times New Roman" w:eastAsia="Aptos" w:hAnsi="Times New Roman"/>
          <w:noProof/>
          <w:lang w:bidi="ar-SA"/>
          <w14:ligatures w14:val="standardContextual"/>
        </w:rPr>
        <w:drawing>
          <wp:inline distT="0" distB="0" distL="0" distR="0" wp14:anchorId="27057C72" wp14:editId="68260F61">
            <wp:extent cx="2755265" cy="2360295"/>
            <wp:effectExtent l="0" t="0" r="6985" b="1905"/>
            <wp:docPr id="6" name="Content Placeholder 5" descr="A picture containing people, crowd&#10;&#10;Description automatically generated">
              <a:extLst xmlns:a="http://schemas.openxmlformats.org/drawingml/2006/main">
                <a:ext uri="{FF2B5EF4-FFF2-40B4-BE49-F238E27FC236}">
                  <a16:creationId xmlns:a16="http://schemas.microsoft.com/office/drawing/2014/main" id="{776B2064-4A83-0492-3C9F-D9E416E7788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picture containing people, crowd&#10;&#10;Description automatically generated">
                      <a:extLst>
                        <a:ext uri="{FF2B5EF4-FFF2-40B4-BE49-F238E27FC236}">
                          <a16:creationId xmlns:a16="http://schemas.microsoft.com/office/drawing/2014/main" id="{776B2064-4A83-0492-3C9F-D9E416E77882}"/>
                        </a:ext>
                      </a:extLst>
                    </pic:cNvPr>
                    <pic:cNvPicPr>
                      <a:picLocks noGrp="1" noChangeAspect="1"/>
                    </pic:cNvPicPr>
                  </pic:nvPicPr>
                  <pic:blipFill rotWithShape="1">
                    <a:blip r:embed="rId25" cstate="print">
                      <a:extLst>
                        <a:ext uri="{28A0092B-C50C-407E-A947-70E740481C1C}">
                          <a14:useLocalDpi xmlns:a14="http://schemas.microsoft.com/office/drawing/2010/main" val="0"/>
                        </a:ext>
                      </a:extLst>
                    </a:blip>
                    <a:srcRect l="5286" r="13128"/>
                    <a:stretch/>
                  </pic:blipFill>
                  <pic:spPr>
                    <a:xfrm>
                      <a:off x="0" y="0"/>
                      <a:ext cx="2761585" cy="2365709"/>
                    </a:xfrm>
                    <a:prstGeom prst="rect">
                      <a:avLst/>
                    </a:prstGeom>
                  </pic:spPr>
                </pic:pic>
              </a:graphicData>
            </a:graphic>
          </wp:inline>
        </w:drawing>
      </w:r>
      <w:r w:rsidRPr="00103457">
        <w:rPr>
          <w:rFonts w:ascii="Times New Roman" w:eastAsia="Aptos" w:hAnsi="Times New Roman"/>
          <w:noProof/>
          <w:lang w:bidi="ar-SA"/>
          <w14:ligatures w14:val="standardContextual"/>
        </w:rPr>
        <w:t xml:space="preserve">                                                               </w:t>
      </w:r>
    </w:p>
    <w:p w14:paraId="6525322E" w14:textId="22824DD6" w:rsidR="00103457" w:rsidRPr="00103457" w:rsidRDefault="00103457" w:rsidP="00103457">
      <w:pPr>
        <w:spacing w:line="240" w:lineRule="auto"/>
        <w:jc w:val="both"/>
        <w:rPr>
          <w:rFonts w:ascii="Times New Roman" w:eastAsia="Aptos" w:hAnsi="Times New Roman"/>
          <w:color w:val="000000"/>
          <w:shd w:val="clear" w:color="auto" w:fill="FFFFFF"/>
          <w:lang w:bidi="ar-SA"/>
          <w14:ligatures w14:val="standardContextual"/>
        </w:rPr>
      </w:pPr>
      <w:r w:rsidRPr="00103457">
        <w:rPr>
          <w:rFonts w:ascii="Times New Roman" w:eastAsia="Aptos" w:hAnsi="Times New Roman"/>
          <w:noProof/>
          <w:color w:val="000000"/>
          <w:shd w:val="clear" w:color="auto" w:fill="FFFFFF"/>
          <w:lang w:bidi="ar-SA"/>
          <w14:ligatures w14:val="standardContextual"/>
        </w:rPr>
        <w:drawing>
          <wp:inline distT="0" distB="0" distL="0" distR="0" wp14:anchorId="17178325" wp14:editId="2F26727E">
            <wp:extent cx="2839720" cy="2134633"/>
            <wp:effectExtent l="0" t="0" r="0" b="0"/>
            <wp:docPr id="526493621" name="Picture 526493621" descr="A group of houses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93621" name="Picture 1" descr="A group of houses in a field&#10;&#10;Description automatically generated"/>
                    <pic:cNvPicPr/>
                  </pic:nvPicPr>
                  <pic:blipFill rotWithShape="1">
                    <a:blip r:embed="rId26" cstate="print">
                      <a:extLst>
                        <a:ext uri="{28A0092B-C50C-407E-A947-70E740481C1C}">
                          <a14:useLocalDpi xmlns:a14="http://schemas.microsoft.com/office/drawing/2010/main" val="0"/>
                        </a:ext>
                      </a:extLst>
                    </a:blip>
                    <a:srcRect l="641" t="854" r="-1" b="1"/>
                    <a:stretch/>
                  </pic:blipFill>
                  <pic:spPr bwMode="auto">
                    <a:xfrm>
                      <a:off x="0" y="0"/>
                      <a:ext cx="2845417" cy="2138916"/>
                    </a:xfrm>
                    <a:prstGeom prst="rect">
                      <a:avLst/>
                    </a:prstGeom>
                    <a:ln>
                      <a:noFill/>
                    </a:ln>
                    <a:extLst>
                      <a:ext uri="{53640926-AAD7-44D8-BBD7-CCE9431645EC}">
                        <a14:shadowObscured xmlns:a14="http://schemas.microsoft.com/office/drawing/2010/main"/>
                      </a:ext>
                    </a:extLst>
                  </pic:spPr>
                </pic:pic>
              </a:graphicData>
            </a:graphic>
          </wp:inline>
        </w:drawing>
      </w:r>
      <w:r w:rsidR="00876953">
        <w:rPr>
          <w:rFonts w:ascii="Times New Roman" w:eastAsia="Aptos" w:hAnsi="Times New Roman"/>
          <w:color w:val="000000"/>
          <w:shd w:val="clear" w:color="auto" w:fill="FFFFFF"/>
          <w:lang w:bidi="ar-SA"/>
          <w14:ligatures w14:val="standardContextual"/>
        </w:rPr>
        <w:t xml:space="preserve"> </w:t>
      </w:r>
      <w:r w:rsidRPr="00103457">
        <w:rPr>
          <w:rFonts w:ascii="Times New Roman" w:eastAsia="Aptos" w:hAnsi="Times New Roman"/>
          <w:color w:val="000000"/>
          <w:shd w:val="clear" w:color="auto" w:fill="FFFFFF"/>
          <w:lang w:bidi="ar-SA"/>
          <w14:ligatures w14:val="standardContextual"/>
        </w:rPr>
        <w:t xml:space="preserve"> </w:t>
      </w:r>
      <w:r w:rsidRPr="00103457">
        <w:rPr>
          <w:rFonts w:ascii="Times New Roman" w:eastAsia="Aptos" w:hAnsi="Times New Roman"/>
          <w:noProof/>
          <w:color w:val="000000"/>
          <w:shd w:val="clear" w:color="auto" w:fill="FFFFFF"/>
          <w:lang w:bidi="ar-SA"/>
          <w14:ligatures w14:val="standardContextual"/>
        </w:rPr>
        <w:drawing>
          <wp:inline distT="0" distB="0" distL="0" distR="0" wp14:anchorId="63A9A214" wp14:editId="5AEB1A29">
            <wp:extent cx="2755265" cy="2139315"/>
            <wp:effectExtent l="0" t="0" r="6985" b="0"/>
            <wp:docPr id="1044439788" name="Picture 1044439788" descr="A building next to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39788" name="Picture 2" descr="A building next to a road&#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66398" cy="2147959"/>
                    </a:xfrm>
                    <a:prstGeom prst="rect">
                      <a:avLst/>
                    </a:prstGeom>
                  </pic:spPr>
                </pic:pic>
              </a:graphicData>
            </a:graphic>
          </wp:inline>
        </w:drawing>
      </w:r>
    </w:p>
    <w:p w14:paraId="3EA2F19F" w14:textId="16B3CB14" w:rsidR="00103457" w:rsidRDefault="00103457" w:rsidP="001E4091">
      <w:pPr>
        <w:spacing w:line="240" w:lineRule="auto"/>
        <w:rPr>
          <w:rFonts w:ascii="Times New Roman" w:eastAsia="Aptos" w:hAnsi="Times New Roman"/>
          <w:lang w:bidi="ar-SA"/>
          <w14:ligatures w14:val="standardContextual"/>
        </w:rPr>
      </w:pPr>
      <w:bookmarkStart w:id="101" w:name="_Ref162377052"/>
      <w:bookmarkStart w:id="102" w:name="_Toc172233509"/>
      <w:r w:rsidRPr="007D7640">
        <w:rPr>
          <w:rFonts w:ascii="Times New Roman" w:eastAsia="Aptos" w:hAnsi="Times New Roman"/>
          <w:b/>
          <w:bCs/>
          <w:lang w:bidi="ar-SA"/>
          <w14:ligatures w14:val="standardContextual"/>
        </w:rPr>
        <w:t xml:space="preserve">Figure </w:t>
      </w:r>
      <w:r w:rsidRPr="007D7640">
        <w:rPr>
          <w:rFonts w:ascii="Times New Roman" w:eastAsia="Aptos" w:hAnsi="Times New Roman"/>
          <w:b/>
          <w:bCs/>
          <w:lang w:bidi="ar-SA"/>
          <w14:ligatures w14:val="standardContextual"/>
        </w:rPr>
        <w:fldChar w:fldCharType="begin"/>
      </w:r>
      <w:r w:rsidRPr="007D7640">
        <w:rPr>
          <w:rFonts w:ascii="Times New Roman" w:eastAsia="Aptos" w:hAnsi="Times New Roman"/>
          <w:b/>
          <w:bCs/>
          <w:lang w:bidi="ar-SA"/>
          <w14:ligatures w14:val="standardContextual"/>
        </w:rPr>
        <w:instrText xml:space="preserve"> SEQ Figure \* ARABIC </w:instrText>
      </w:r>
      <w:r w:rsidRPr="007D7640">
        <w:rPr>
          <w:rFonts w:ascii="Times New Roman" w:eastAsia="Aptos" w:hAnsi="Times New Roman"/>
          <w:b/>
          <w:bCs/>
          <w:lang w:bidi="ar-SA"/>
          <w14:ligatures w14:val="standardContextual"/>
        </w:rPr>
        <w:fldChar w:fldCharType="separate"/>
      </w:r>
      <w:r w:rsidR="00B129D9">
        <w:rPr>
          <w:rFonts w:ascii="Times New Roman" w:eastAsia="Aptos" w:hAnsi="Times New Roman"/>
          <w:b/>
          <w:bCs/>
          <w:noProof/>
          <w:lang w:bidi="ar-SA"/>
          <w14:ligatures w14:val="standardContextual"/>
        </w:rPr>
        <w:t>12</w:t>
      </w:r>
      <w:r w:rsidRPr="007D7640">
        <w:rPr>
          <w:rFonts w:ascii="Times New Roman" w:eastAsia="Aptos" w:hAnsi="Times New Roman"/>
          <w:b/>
          <w:bCs/>
          <w:lang w:bidi="ar-SA"/>
          <w14:ligatures w14:val="standardContextual"/>
        </w:rPr>
        <w:fldChar w:fldCharType="end"/>
      </w:r>
      <w:bookmarkEnd w:id="101"/>
      <w:r w:rsidRPr="00103457">
        <w:rPr>
          <w:rFonts w:ascii="Times New Roman" w:eastAsia="Aptos" w:hAnsi="Times New Roman"/>
          <w:lang w:bidi="ar-SA"/>
          <w14:ligatures w14:val="standardContextual"/>
        </w:rPr>
        <w:t xml:space="preserve">: Development patterns observed in Ghana. </w:t>
      </w:r>
      <w:r w:rsidRPr="00103457">
        <w:rPr>
          <w:rFonts w:ascii="Times New Roman" w:eastAsia="Aptos" w:hAnsi="Times New Roman"/>
          <w:shd w:val="clear" w:color="auto" w:fill="FFFFFF"/>
          <w:lang w:bidi="ar-SA"/>
          <w14:ligatures w14:val="standardContextual"/>
        </w:rPr>
        <w:t>The images on the left show sprawl, and the right show infill expansion</w:t>
      </w:r>
      <w:r w:rsidRPr="00103457">
        <w:rPr>
          <w:rFonts w:ascii="Times New Roman" w:eastAsia="Aptos" w:hAnsi="Times New Roman"/>
          <w:lang w:bidi="ar-SA"/>
          <w14:ligatures w14:val="standardContextual"/>
        </w:rPr>
        <w:t>. The top row images are from very high-resolution images in Google Earth Pro, and the bottom row images are from field observations in 2023.</w:t>
      </w:r>
      <w:bookmarkEnd w:id="102"/>
    </w:p>
    <w:p w14:paraId="44AF1466" w14:textId="3AE25D67" w:rsidR="00103457" w:rsidRDefault="00103457" w:rsidP="001E4091">
      <w:pPr>
        <w:keepNext/>
        <w:spacing w:line="240" w:lineRule="auto"/>
        <w:jc w:val="both"/>
        <w:rPr>
          <w:rFonts w:ascii="Times New Roman" w:eastAsia="Aptos" w:hAnsi="Times New Roman"/>
          <w:lang w:bidi="ar-SA"/>
          <w14:ligatures w14:val="standardContextual"/>
        </w:rPr>
      </w:pPr>
      <w:bookmarkStart w:id="103" w:name="_Ref162427761"/>
      <w:bookmarkStart w:id="104" w:name="_Ref169889808"/>
      <w:bookmarkStart w:id="105" w:name="_Toc172233723"/>
      <w:r w:rsidRPr="007D7640">
        <w:rPr>
          <w:rFonts w:ascii="Times New Roman" w:eastAsia="Aptos" w:hAnsi="Times New Roman"/>
          <w:b/>
          <w:bCs/>
          <w:lang w:bidi="ar-SA"/>
          <w14:ligatures w14:val="standardContextual"/>
        </w:rPr>
        <w:lastRenderedPageBreak/>
        <w:t xml:space="preserve">Table </w:t>
      </w:r>
      <w:r w:rsidRPr="007D7640">
        <w:rPr>
          <w:rFonts w:ascii="Times New Roman" w:eastAsia="Aptos" w:hAnsi="Times New Roman"/>
          <w:b/>
          <w:bCs/>
          <w:lang w:bidi="ar-SA"/>
          <w14:ligatures w14:val="standardContextual"/>
        </w:rPr>
        <w:fldChar w:fldCharType="begin"/>
      </w:r>
      <w:r w:rsidRPr="007D7640">
        <w:rPr>
          <w:rFonts w:ascii="Times New Roman" w:eastAsia="Aptos" w:hAnsi="Times New Roman"/>
          <w:b/>
          <w:bCs/>
          <w:lang w:bidi="ar-SA"/>
          <w14:ligatures w14:val="standardContextual"/>
        </w:rPr>
        <w:instrText xml:space="preserve"> SEQ Table \* ARABIC </w:instrText>
      </w:r>
      <w:r w:rsidRPr="007D7640">
        <w:rPr>
          <w:rFonts w:ascii="Times New Roman" w:eastAsia="Aptos" w:hAnsi="Times New Roman"/>
          <w:b/>
          <w:bCs/>
          <w:lang w:bidi="ar-SA"/>
          <w14:ligatures w14:val="standardContextual"/>
        </w:rPr>
        <w:fldChar w:fldCharType="separate"/>
      </w:r>
      <w:r w:rsidR="00B129D9">
        <w:rPr>
          <w:rFonts w:ascii="Times New Roman" w:eastAsia="Aptos" w:hAnsi="Times New Roman"/>
          <w:b/>
          <w:bCs/>
          <w:noProof/>
          <w:lang w:bidi="ar-SA"/>
          <w14:ligatures w14:val="standardContextual"/>
        </w:rPr>
        <w:t>7</w:t>
      </w:r>
      <w:r w:rsidRPr="007D7640">
        <w:rPr>
          <w:rFonts w:ascii="Times New Roman" w:eastAsia="Aptos" w:hAnsi="Times New Roman"/>
          <w:b/>
          <w:bCs/>
          <w:lang w:bidi="ar-SA"/>
          <w14:ligatures w14:val="standardContextual"/>
        </w:rPr>
        <w:fldChar w:fldCharType="end"/>
      </w:r>
      <w:bookmarkEnd w:id="103"/>
      <w:bookmarkEnd w:id="104"/>
      <w:r w:rsidRPr="00103457">
        <w:rPr>
          <w:rFonts w:ascii="Times New Roman" w:eastAsia="Aptos" w:hAnsi="Times New Roman"/>
          <w:lang w:bidi="ar-SA"/>
          <w14:ligatures w14:val="standardContextual"/>
        </w:rPr>
        <w:t>: Summary of participants’ preferences for infill or sprawl in primary compared to secondary cities.</w:t>
      </w:r>
      <w:bookmarkEnd w:id="105"/>
    </w:p>
    <w:p w14:paraId="0B60F7A0" w14:textId="77777777" w:rsidR="001E4091" w:rsidRPr="00103457" w:rsidRDefault="001E4091" w:rsidP="001E4091">
      <w:pPr>
        <w:keepNext/>
        <w:spacing w:line="240" w:lineRule="auto"/>
        <w:jc w:val="both"/>
        <w:rPr>
          <w:rFonts w:ascii="Times New Roman" w:eastAsia="Aptos" w:hAnsi="Times New Roman"/>
          <w:lang w:bidi="ar-SA"/>
          <w14:ligatures w14:val="standardContextual"/>
        </w:rPr>
      </w:pPr>
    </w:p>
    <w:tbl>
      <w:tblPr>
        <w:tblW w:w="9176" w:type="dxa"/>
        <w:tblInd w:w="113" w:type="dxa"/>
        <w:tblLook w:val="04A0" w:firstRow="1" w:lastRow="0" w:firstColumn="1" w:lastColumn="0" w:noHBand="0" w:noVBand="1"/>
      </w:tblPr>
      <w:tblGrid>
        <w:gridCol w:w="2758"/>
        <w:gridCol w:w="1782"/>
        <w:gridCol w:w="1605"/>
        <w:gridCol w:w="1515"/>
        <w:gridCol w:w="1516"/>
      </w:tblGrid>
      <w:tr w:rsidR="00103457" w:rsidRPr="00103457" w14:paraId="5BB72612" w14:textId="77777777" w:rsidTr="007630B8">
        <w:trPr>
          <w:trHeight w:val="190"/>
        </w:trPr>
        <w:tc>
          <w:tcPr>
            <w:tcW w:w="27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E66E6" w14:textId="77777777" w:rsidR="00103457" w:rsidRPr="00103457" w:rsidRDefault="00103457" w:rsidP="001E4091">
            <w:pPr>
              <w:spacing w:line="240" w:lineRule="auto"/>
              <w:rPr>
                <w:rFonts w:ascii="Times New Roman" w:hAnsi="Times New Roman"/>
                <w:b/>
                <w:bCs/>
                <w:color w:val="000000"/>
                <w:lang w:bidi="ar-SA"/>
              </w:rPr>
            </w:pPr>
            <w:r w:rsidRPr="00103457">
              <w:rPr>
                <w:rFonts w:ascii="Times New Roman" w:hAnsi="Times New Roman"/>
                <w:b/>
                <w:bCs/>
                <w:color w:val="000000"/>
                <w:lang w:bidi="ar-SA"/>
              </w:rPr>
              <w:t>City</w:t>
            </w:r>
          </w:p>
        </w:tc>
        <w:tc>
          <w:tcPr>
            <w:tcW w:w="3387" w:type="dxa"/>
            <w:gridSpan w:val="2"/>
            <w:tcBorders>
              <w:top w:val="single" w:sz="4" w:space="0" w:color="auto"/>
              <w:left w:val="nil"/>
              <w:bottom w:val="single" w:sz="4" w:space="0" w:color="auto"/>
              <w:right w:val="single" w:sz="4" w:space="0" w:color="auto"/>
            </w:tcBorders>
            <w:shd w:val="clear" w:color="auto" w:fill="auto"/>
            <w:noWrap/>
            <w:vAlign w:val="bottom"/>
          </w:tcPr>
          <w:p w14:paraId="3CAE30DD" w14:textId="77777777" w:rsidR="00103457" w:rsidRPr="00103457" w:rsidRDefault="00103457" w:rsidP="001E4091">
            <w:pPr>
              <w:spacing w:line="240" w:lineRule="auto"/>
              <w:jc w:val="center"/>
              <w:rPr>
                <w:rFonts w:ascii="Times New Roman" w:hAnsi="Times New Roman"/>
                <w:b/>
                <w:bCs/>
                <w:color w:val="000000"/>
                <w:lang w:bidi="ar-SA"/>
              </w:rPr>
            </w:pPr>
            <w:r w:rsidRPr="00103457">
              <w:rPr>
                <w:rFonts w:ascii="Times New Roman" w:hAnsi="Times New Roman"/>
                <w:b/>
                <w:bCs/>
                <w:color w:val="000000"/>
                <w:lang w:bidi="ar-SA"/>
              </w:rPr>
              <w:t>Primary</w:t>
            </w:r>
          </w:p>
        </w:tc>
        <w:tc>
          <w:tcPr>
            <w:tcW w:w="3031" w:type="dxa"/>
            <w:gridSpan w:val="2"/>
            <w:tcBorders>
              <w:top w:val="single" w:sz="4" w:space="0" w:color="auto"/>
              <w:left w:val="nil"/>
              <w:bottom w:val="single" w:sz="4" w:space="0" w:color="auto"/>
              <w:right w:val="single" w:sz="4" w:space="0" w:color="auto"/>
            </w:tcBorders>
            <w:shd w:val="clear" w:color="auto" w:fill="auto"/>
            <w:noWrap/>
            <w:vAlign w:val="bottom"/>
          </w:tcPr>
          <w:p w14:paraId="019567AE" w14:textId="77777777" w:rsidR="00103457" w:rsidRPr="00103457" w:rsidRDefault="00103457" w:rsidP="001E4091">
            <w:pPr>
              <w:spacing w:line="240" w:lineRule="auto"/>
              <w:jc w:val="center"/>
              <w:rPr>
                <w:rFonts w:ascii="Times New Roman" w:hAnsi="Times New Roman"/>
                <w:b/>
                <w:bCs/>
                <w:color w:val="000000"/>
                <w:lang w:bidi="ar-SA"/>
              </w:rPr>
            </w:pPr>
            <w:r w:rsidRPr="00103457">
              <w:rPr>
                <w:rFonts w:ascii="Times New Roman" w:hAnsi="Times New Roman"/>
                <w:b/>
                <w:bCs/>
                <w:color w:val="000000"/>
                <w:lang w:bidi="ar-SA"/>
              </w:rPr>
              <w:t>Secondary</w:t>
            </w:r>
          </w:p>
        </w:tc>
      </w:tr>
      <w:tr w:rsidR="00103457" w:rsidRPr="00103457" w14:paraId="7A1921D1" w14:textId="77777777" w:rsidTr="007630B8">
        <w:trPr>
          <w:trHeight w:val="190"/>
        </w:trPr>
        <w:tc>
          <w:tcPr>
            <w:tcW w:w="2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72A9" w14:textId="77777777" w:rsidR="00103457" w:rsidRPr="00103457" w:rsidRDefault="00103457" w:rsidP="001E4091">
            <w:pPr>
              <w:spacing w:line="240" w:lineRule="auto"/>
              <w:rPr>
                <w:rFonts w:ascii="Times New Roman" w:hAnsi="Times New Roman"/>
                <w:b/>
                <w:bCs/>
                <w:color w:val="000000"/>
                <w:lang w:bidi="ar-SA"/>
              </w:rPr>
            </w:pPr>
            <w:r w:rsidRPr="00103457">
              <w:rPr>
                <w:rFonts w:ascii="Times New Roman" w:hAnsi="Times New Roman"/>
                <w:b/>
                <w:bCs/>
                <w:color w:val="000000"/>
                <w:lang w:bidi="ar-SA"/>
              </w:rPr>
              <w:t>Enabling factors in cities</w:t>
            </w:r>
          </w:p>
        </w:tc>
        <w:tc>
          <w:tcPr>
            <w:tcW w:w="1782" w:type="dxa"/>
            <w:tcBorders>
              <w:top w:val="single" w:sz="4" w:space="0" w:color="auto"/>
              <w:left w:val="nil"/>
              <w:bottom w:val="single" w:sz="4" w:space="0" w:color="auto"/>
              <w:right w:val="nil"/>
            </w:tcBorders>
            <w:shd w:val="clear" w:color="auto" w:fill="auto"/>
            <w:noWrap/>
            <w:vAlign w:val="bottom"/>
            <w:hideMark/>
          </w:tcPr>
          <w:p w14:paraId="56076E79" w14:textId="77777777" w:rsidR="00103457" w:rsidRPr="00103457" w:rsidRDefault="00103457" w:rsidP="001E4091">
            <w:pPr>
              <w:spacing w:line="240" w:lineRule="auto"/>
              <w:jc w:val="center"/>
              <w:rPr>
                <w:rFonts w:ascii="Times New Roman" w:hAnsi="Times New Roman"/>
                <w:b/>
                <w:bCs/>
                <w:color w:val="000000"/>
                <w:lang w:bidi="ar-SA"/>
              </w:rPr>
            </w:pPr>
            <w:r w:rsidRPr="00103457">
              <w:rPr>
                <w:rFonts w:ascii="Times New Roman" w:hAnsi="Times New Roman"/>
                <w:b/>
                <w:bCs/>
                <w:color w:val="000000"/>
                <w:lang w:bidi="ar-SA"/>
              </w:rPr>
              <w:t>Infill</w:t>
            </w:r>
          </w:p>
        </w:tc>
        <w:tc>
          <w:tcPr>
            <w:tcW w:w="16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5F0D2" w14:textId="77777777" w:rsidR="00103457" w:rsidRPr="00103457" w:rsidRDefault="00103457" w:rsidP="001E4091">
            <w:pPr>
              <w:spacing w:line="240" w:lineRule="auto"/>
              <w:jc w:val="center"/>
              <w:rPr>
                <w:rFonts w:ascii="Times New Roman" w:hAnsi="Times New Roman"/>
                <w:b/>
                <w:bCs/>
                <w:color w:val="000000"/>
                <w:lang w:bidi="ar-SA"/>
              </w:rPr>
            </w:pPr>
            <w:r w:rsidRPr="00103457">
              <w:rPr>
                <w:rFonts w:ascii="Times New Roman" w:hAnsi="Times New Roman"/>
                <w:b/>
                <w:bCs/>
                <w:color w:val="000000"/>
                <w:lang w:bidi="ar-SA"/>
              </w:rPr>
              <w:t>Sprawl</w:t>
            </w:r>
          </w:p>
        </w:tc>
        <w:tc>
          <w:tcPr>
            <w:tcW w:w="1515" w:type="dxa"/>
            <w:tcBorders>
              <w:top w:val="single" w:sz="4" w:space="0" w:color="auto"/>
              <w:left w:val="nil"/>
              <w:bottom w:val="single" w:sz="4" w:space="0" w:color="auto"/>
              <w:right w:val="nil"/>
            </w:tcBorders>
            <w:shd w:val="clear" w:color="auto" w:fill="auto"/>
            <w:noWrap/>
            <w:vAlign w:val="bottom"/>
            <w:hideMark/>
          </w:tcPr>
          <w:p w14:paraId="28949277" w14:textId="77777777" w:rsidR="00103457" w:rsidRPr="00103457" w:rsidRDefault="00103457" w:rsidP="001E4091">
            <w:pPr>
              <w:spacing w:line="240" w:lineRule="auto"/>
              <w:jc w:val="center"/>
              <w:rPr>
                <w:rFonts w:ascii="Times New Roman" w:hAnsi="Times New Roman"/>
                <w:b/>
                <w:bCs/>
                <w:color w:val="000000"/>
                <w:lang w:bidi="ar-SA"/>
              </w:rPr>
            </w:pPr>
            <w:r w:rsidRPr="00103457">
              <w:rPr>
                <w:rFonts w:ascii="Times New Roman" w:hAnsi="Times New Roman"/>
                <w:b/>
                <w:bCs/>
                <w:color w:val="000000"/>
                <w:lang w:bidi="ar-SA"/>
              </w:rPr>
              <w:t>Infill</w:t>
            </w:r>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3A18A" w14:textId="77777777" w:rsidR="00103457" w:rsidRPr="00103457" w:rsidRDefault="00103457" w:rsidP="001E4091">
            <w:pPr>
              <w:spacing w:line="240" w:lineRule="auto"/>
              <w:jc w:val="center"/>
              <w:rPr>
                <w:rFonts w:ascii="Times New Roman" w:hAnsi="Times New Roman"/>
                <w:b/>
                <w:bCs/>
                <w:color w:val="000000"/>
                <w:lang w:bidi="ar-SA"/>
              </w:rPr>
            </w:pPr>
            <w:r w:rsidRPr="00103457">
              <w:rPr>
                <w:rFonts w:ascii="Times New Roman" w:hAnsi="Times New Roman"/>
                <w:b/>
                <w:bCs/>
                <w:color w:val="000000"/>
                <w:lang w:bidi="ar-SA"/>
              </w:rPr>
              <w:t>Sprawl</w:t>
            </w:r>
          </w:p>
        </w:tc>
      </w:tr>
      <w:tr w:rsidR="00103457" w:rsidRPr="00103457" w14:paraId="0E848745" w14:textId="77777777" w:rsidTr="007630B8">
        <w:trPr>
          <w:trHeight w:val="208"/>
        </w:trPr>
        <w:tc>
          <w:tcPr>
            <w:tcW w:w="2758" w:type="dxa"/>
            <w:tcBorders>
              <w:top w:val="nil"/>
              <w:left w:val="single" w:sz="4" w:space="0" w:color="auto"/>
              <w:bottom w:val="single" w:sz="4" w:space="0" w:color="auto"/>
              <w:right w:val="single" w:sz="4" w:space="0" w:color="auto"/>
            </w:tcBorders>
            <w:shd w:val="clear" w:color="auto" w:fill="auto"/>
            <w:noWrap/>
            <w:vAlign w:val="bottom"/>
            <w:hideMark/>
          </w:tcPr>
          <w:p w14:paraId="31334457"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Land/rent cost</w:t>
            </w:r>
          </w:p>
        </w:tc>
        <w:tc>
          <w:tcPr>
            <w:tcW w:w="1782" w:type="dxa"/>
            <w:tcBorders>
              <w:top w:val="nil"/>
              <w:left w:val="nil"/>
              <w:bottom w:val="single" w:sz="4" w:space="0" w:color="auto"/>
              <w:right w:val="single" w:sz="4" w:space="0" w:color="auto"/>
            </w:tcBorders>
            <w:shd w:val="clear" w:color="auto" w:fill="auto"/>
            <w:noWrap/>
            <w:vAlign w:val="bottom"/>
            <w:hideMark/>
          </w:tcPr>
          <w:p w14:paraId="16D1895C"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Higher cost</w:t>
            </w:r>
          </w:p>
        </w:tc>
        <w:tc>
          <w:tcPr>
            <w:tcW w:w="1604" w:type="dxa"/>
            <w:tcBorders>
              <w:top w:val="nil"/>
              <w:left w:val="nil"/>
              <w:bottom w:val="single" w:sz="4" w:space="0" w:color="auto"/>
              <w:right w:val="single" w:sz="4" w:space="0" w:color="auto"/>
            </w:tcBorders>
            <w:shd w:val="clear" w:color="auto" w:fill="auto"/>
            <w:noWrap/>
            <w:vAlign w:val="bottom"/>
            <w:hideMark/>
          </w:tcPr>
          <w:p w14:paraId="7F8F5A65"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High cost</w:t>
            </w:r>
          </w:p>
        </w:tc>
        <w:tc>
          <w:tcPr>
            <w:tcW w:w="1515" w:type="dxa"/>
            <w:tcBorders>
              <w:top w:val="nil"/>
              <w:left w:val="nil"/>
              <w:bottom w:val="single" w:sz="4" w:space="0" w:color="auto"/>
              <w:right w:val="single" w:sz="4" w:space="0" w:color="auto"/>
            </w:tcBorders>
            <w:shd w:val="clear" w:color="auto" w:fill="auto"/>
            <w:noWrap/>
            <w:vAlign w:val="bottom"/>
            <w:hideMark/>
          </w:tcPr>
          <w:p w14:paraId="398BDBF0"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Low cost</w:t>
            </w:r>
          </w:p>
        </w:tc>
        <w:tc>
          <w:tcPr>
            <w:tcW w:w="1515" w:type="dxa"/>
            <w:tcBorders>
              <w:top w:val="nil"/>
              <w:left w:val="nil"/>
              <w:bottom w:val="single" w:sz="4" w:space="0" w:color="auto"/>
              <w:right w:val="single" w:sz="4" w:space="0" w:color="auto"/>
            </w:tcBorders>
            <w:shd w:val="clear" w:color="auto" w:fill="auto"/>
            <w:noWrap/>
            <w:vAlign w:val="bottom"/>
            <w:hideMark/>
          </w:tcPr>
          <w:p w14:paraId="45815AC8"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Lower cost</w:t>
            </w:r>
          </w:p>
        </w:tc>
      </w:tr>
      <w:tr w:rsidR="00103457" w:rsidRPr="00103457" w14:paraId="1665EE71" w14:textId="77777777" w:rsidTr="007630B8">
        <w:trPr>
          <w:trHeight w:val="190"/>
        </w:trPr>
        <w:tc>
          <w:tcPr>
            <w:tcW w:w="2758" w:type="dxa"/>
            <w:tcBorders>
              <w:top w:val="nil"/>
              <w:left w:val="single" w:sz="4" w:space="0" w:color="auto"/>
              <w:bottom w:val="single" w:sz="4" w:space="0" w:color="auto"/>
              <w:right w:val="single" w:sz="4" w:space="0" w:color="auto"/>
            </w:tcBorders>
            <w:shd w:val="clear" w:color="auto" w:fill="auto"/>
            <w:noWrap/>
            <w:vAlign w:val="bottom"/>
            <w:hideMark/>
          </w:tcPr>
          <w:p w14:paraId="0D462907"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Proximity to services</w:t>
            </w:r>
          </w:p>
        </w:tc>
        <w:tc>
          <w:tcPr>
            <w:tcW w:w="1782" w:type="dxa"/>
            <w:tcBorders>
              <w:top w:val="nil"/>
              <w:left w:val="nil"/>
              <w:bottom w:val="single" w:sz="4" w:space="0" w:color="auto"/>
              <w:right w:val="single" w:sz="4" w:space="0" w:color="auto"/>
            </w:tcBorders>
            <w:shd w:val="clear" w:color="auto" w:fill="auto"/>
            <w:noWrap/>
            <w:vAlign w:val="bottom"/>
            <w:hideMark/>
          </w:tcPr>
          <w:p w14:paraId="57A0A58B"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Less concern</w:t>
            </w:r>
          </w:p>
        </w:tc>
        <w:tc>
          <w:tcPr>
            <w:tcW w:w="1604" w:type="dxa"/>
            <w:tcBorders>
              <w:top w:val="nil"/>
              <w:left w:val="nil"/>
              <w:bottom w:val="single" w:sz="4" w:space="0" w:color="auto"/>
              <w:right w:val="single" w:sz="4" w:space="0" w:color="auto"/>
            </w:tcBorders>
            <w:shd w:val="clear" w:color="auto" w:fill="auto"/>
            <w:noWrap/>
            <w:vAlign w:val="bottom"/>
            <w:hideMark/>
          </w:tcPr>
          <w:p w14:paraId="48FBA195"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More travel time and cost</w:t>
            </w:r>
          </w:p>
        </w:tc>
        <w:tc>
          <w:tcPr>
            <w:tcW w:w="1515" w:type="dxa"/>
            <w:tcBorders>
              <w:top w:val="nil"/>
              <w:left w:val="nil"/>
              <w:bottom w:val="single" w:sz="4" w:space="0" w:color="auto"/>
              <w:right w:val="single" w:sz="4" w:space="0" w:color="auto"/>
            </w:tcBorders>
            <w:shd w:val="clear" w:color="auto" w:fill="auto"/>
            <w:noWrap/>
            <w:vAlign w:val="bottom"/>
            <w:hideMark/>
          </w:tcPr>
          <w:p w14:paraId="7872B408"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Less concern</w:t>
            </w:r>
          </w:p>
        </w:tc>
        <w:tc>
          <w:tcPr>
            <w:tcW w:w="1515" w:type="dxa"/>
            <w:tcBorders>
              <w:top w:val="nil"/>
              <w:left w:val="nil"/>
              <w:bottom w:val="single" w:sz="4" w:space="0" w:color="auto"/>
              <w:right w:val="single" w:sz="4" w:space="0" w:color="auto"/>
            </w:tcBorders>
            <w:shd w:val="clear" w:color="auto" w:fill="auto"/>
            <w:noWrap/>
            <w:vAlign w:val="bottom"/>
            <w:hideMark/>
          </w:tcPr>
          <w:p w14:paraId="63718E1E"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Less travel time and cost</w:t>
            </w:r>
          </w:p>
        </w:tc>
      </w:tr>
      <w:tr w:rsidR="00103457" w:rsidRPr="00103457" w14:paraId="65A1C7F4" w14:textId="77777777" w:rsidTr="007630B8">
        <w:trPr>
          <w:trHeight w:val="263"/>
        </w:trPr>
        <w:tc>
          <w:tcPr>
            <w:tcW w:w="2758" w:type="dxa"/>
            <w:tcBorders>
              <w:top w:val="nil"/>
              <w:left w:val="single" w:sz="4" w:space="0" w:color="auto"/>
              <w:bottom w:val="single" w:sz="4" w:space="0" w:color="auto"/>
              <w:right w:val="single" w:sz="4" w:space="0" w:color="auto"/>
            </w:tcBorders>
            <w:shd w:val="clear" w:color="auto" w:fill="auto"/>
            <w:noWrap/>
            <w:vAlign w:val="bottom"/>
            <w:hideMark/>
          </w:tcPr>
          <w:p w14:paraId="5F791AD9"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Land tenure security and allocation regimes</w:t>
            </w:r>
          </w:p>
        </w:tc>
        <w:tc>
          <w:tcPr>
            <w:tcW w:w="1782" w:type="dxa"/>
            <w:tcBorders>
              <w:top w:val="nil"/>
              <w:left w:val="nil"/>
              <w:bottom w:val="single" w:sz="4" w:space="0" w:color="auto"/>
              <w:right w:val="single" w:sz="4" w:space="0" w:color="auto"/>
            </w:tcBorders>
            <w:shd w:val="clear" w:color="auto" w:fill="auto"/>
            <w:noWrap/>
            <w:vAlign w:val="bottom"/>
            <w:hideMark/>
          </w:tcPr>
          <w:p w14:paraId="4407E0B5"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Frequent land litigations and less diverse allocation regimes</w:t>
            </w:r>
          </w:p>
        </w:tc>
        <w:tc>
          <w:tcPr>
            <w:tcW w:w="1604" w:type="dxa"/>
            <w:tcBorders>
              <w:top w:val="nil"/>
              <w:left w:val="nil"/>
              <w:bottom w:val="single" w:sz="4" w:space="0" w:color="auto"/>
              <w:right w:val="single" w:sz="4" w:space="0" w:color="auto"/>
            </w:tcBorders>
            <w:shd w:val="clear" w:color="auto" w:fill="auto"/>
            <w:noWrap/>
            <w:vAlign w:val="bottom"/>
            <w:hideMark/>
          </w:tcPr>
          <w:p w14:paraId="7D444C7A"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Fewer land allocation regimes</w:t>
            </w:r>
          </w:p>
        </w:tc>
        <w:tc>
          <w:tcPr>
            <w:tcW w:w="1515" w:type="dxa"/>
            <w:tcBorders>
              <w:top w:val="nil"/>
              <w:left w:val="nil"/>
              <w:bottom w:val="single" w:sz="4" w:space="0" w:color="auto"/>
              <w:right w:val="single" w:sz="4" w:space="0" w:color="auto"/>
            </w:tcBorders>
            <w:shd w:val="clear" w:color="auto" w:fill="auto"/>
            <w:noWrap/>
            <w:vAlign w:val="bottom"/>
            <w:hideMark/>
          </w:tcPr>
          <w:p w14:paraId="4036E486"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Infrequent land litigations and more diverse allocation regimes</w:t>
            </w:r>
          </w:p>
        </w:tc>
        <w:tc>
          <w:tcPr>
            <w:tcW w:w="1515" w:type="dxa"/>
            <w:tcBorders>
              <w:top w:val="nil"/>
              <w:left w:val="nil"/>
              <w:bottom w:val="single" w:sz="4" w:space="0" w:color="auto"/>
              <w:right w:val="single" w:sz="4" w:space="0" w:color="auto"/>
            </w:tcBorders>
            <w:shd w:val="clear" w:color="auto" w:fill="auto"/>
            <w:noWrap/>
            <w:vAlign w:val="bottom"/>
            <w:hideMark/>
          </w:tcPr>
          <w:p w14:paraId="14E9BA6E"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More diverse land allocation regimes </w:t>
            </w:r>
          </w:p>
        </w:tc>
      </w:tr>
      <w:tr w:rsidR="00103457" w:rsidRPr="00103457" w14:paraId="190CF95D" w14:textId="77777777" w:rsidTr="007630B8">
        <w:trPr>
          <w:trHeight w:val="254"/>
        </w:trPr>
        <w:tc>
          <w:tcPr>
            <w:tcW w:w="2758" w:type="dxa"/>
            <w:tcBorders>
              <w:top w:val="nil"/>
              <w:left w:val="single" w:sz="4" w:space="0" w:color="auto"/>
              <w:bottom w:val="single" w:sz="4" w:space="0" w:color="auto"/>
              <w:right w:val="single" w:sz="4" w:space="0" w:color="auto"/>
            </w:tcBorders>
            <w:shd w:val="clear" w:color="auto" w:fill="auto"/>
            <w:noWrap/>
            <w:vAlign w:val="bottom"/>
            <w:hideMark/>
          </w:tcPr>
          <w:p w14:paraId="0A80CC1D"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Nature of neighborhoods</w:t>
            </w:r>
          </w:p>
        </w:tc>
        <w:tc>
          <w:tcPr>
            <w:tcW w:w="1782" w:type="dxa"/>
            <w:tcBorders>
              <w:top w:val="nil"/>
              <w:left w:val="nil"/>
              <w:bottom w:val="single" w:sz="4" w:space="0" w:color="auto"/>
              <w:right w:val="single" w:sz="4" w:space="0" w:color="auto"/>
            </w:tcBorders>
            <w:shd w:val="clear" w:color="auto" w:fill="auto"/>
            <w:noWrap/>
            <w:vAlign w:val="bottom"/>
            <w:hideMark/>
          </w:tcPr>
          <w:p w14:paraId="0A231A4D"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More noise and frequent crimes, less green spaces</w:t>
            </w:r>
          </w:p>
        </w:tc>
        <w:tc>
          <w:tcPr>
            <w:tcW w:w="1604" w:type="dxa"/>
            <w:tcBorders>
              <w:top w:val="nil"/>
              <w:left w:val="nil"/>
              <w:bottom w:val="single" w:sz="4" w:space="0" w:color="auto"/>
              <w:right w:val="single" w:sz="4" w:space="0" w:color="auto"/>
            </w:tcBorders>
            <w:shd w:val="clear" w:color="auto" w:fill="auto"/>
            <w:noWrap/>
            <w:vAlign w:val="bottom"/>
            <w:hideMark/>
          </w:tcPr>
          <w:p w14:paraId="7FB4C46D"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Less noise, crimes, and more green spaces</w:t>
            </w:r>
          </w:p>
        </w:tc>
        <w:tc>
          <w:tcPr>
            <w:tcW w:w="1515" w:type="dxa"/>
            <w:tcBorders>
              <w:top w:val="nil"/>
              <w:left w:val="nil"/>
              <w:bottom w:val="single" w:sz="4" w:space="0" w:color="auto"/>
              <w:right w:val="single" w:sz="4" w:space="0" w:color="auto"/>
            </w:tcBorders>
            <w:shd w:val="clear" w:color="auto" w:fill="auto"/>
            <w:noWrap/>
            <w:vAlign w:val="bottom"/>
            <w:hideMark/>
          </w:tcPr>
          <w:p w14:paraId="54E07C3D"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Less noise and crime, more green spaces</w:t>
            </w:r>
          </w:p>
        </w:tc>
        <w:tc>
          <w:tcPr>
            <w:tcW w:w="1515" w:type="dxa"/>
            <w:tcBorders>
              <w:top w:val="nil"/>
              <w:left w:val="nil"/>
              <w:bottom w:val="single" w:sz="4" w:space="0" w:color="auto"/>
              <w:right w:val="single" w:sz="4" w:space="0" w:color="auto"/>
            </w:tcBorders>
            <w:shd w:val="clear" w:color="auto" w:fill="auto"/>
            <w:noWrap/>
            <w:vAlign w:val="bottom"/>
            <w:hideMark/>
          </w:tcPr>
          <w:p w14:paraId="430B06B4"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xml:space="preserve"> Less noise, crimes, more green spaces </w:t>
            </w:r>
          </w:p>
        </w:tc>
      </w:tr>
      <w:tr w:rsidR="00103457" w:rsidRPr="00103457" w14:paraId="4982B0AE" w14:textId="77777777" w:rsidTr="007630B8">
        <w:trPr>
          <w:trHeight w:val="144"/>
        </w:trPr>
        <w:tc>
          <w:tcPr>
            <w:tcW w:w="2758" w:type="dxa"/>
            <w:tcBorders>
              <w:top w:val="nil"/>
              <w:left w:val="single" w:sz="4" w:space="0" w:color="auto"/>
              <w:bottom w:val="single" w:sz="4" w:space="0" w:color="auto"/>
              <w:right w:val="single" w:sz="4" w:space="0" w:color="auto"/>
            </w:tcBorders>
            <w:shd w:val="clear" w:color="auto" w:fill="auto"/>
            <w:noWrap/>
            <w:vAlign w:val="bottom"/>
            <w:hideMark/>
          </w:tcPr>
          <w:p w14:paraId="21C733B0"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Speculative development</w:t>
            </w:r>
          </w:p>
        </w:tc>
        <w:tc>
          <w:tcPr>
            <w:tcW w:w="1782" w:type="dxa"/>
            <w:tcBorders>
              <w:top w:val="nil"/>
              <w:left w:val="nil"/>
              <w:bottom w:val="single" w:sz="4" w:space="0" w:color="auto"/>
              <w:right w:val="single" w:sz="4" w:space="0" w:color="auto"/>
            </w:tcBorders>
            <w:shd w:val="clear" w:color="auto" w:fill="auto"/>
            <w:noWrap/>
            <w:vAlign w:val="bottom"/>
            <w:hideMark/>
          </w:tcPr>
          <w:p w14:paraId="7216A4AD"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Lower speculation</w:t>
            </w:r>
          </w:p>
        </w:tc>
        <w:tc>
          <w:tcPr>
            <w:tcW w:w="1604" w:type="dxa"/>
            <w:tcBorders>
              <w:top w:val="nil"/>
              <w:left w:val="nil"/>
              <w:bottom w:val="single" w:sz="4" w:space="0" w:color="auto"/>
              <w:right w:val="single" w:sz="4" w:space="0" w:color="auto"/>
            </w:tcBorders>
            <w:shd w:val="clear" w:color="auto" w:fill="auto"/>
            <w:noWrap/>
            <w:vAlign w:val="bottom"/>
            <w:hideMark/>
          </w:tcPr>
          <w:p w14:paraId="69B87476"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More speculation, motivated by long-run profitability</w:t>
            </w:r>
          </w:p>
        </w:tc>
        <w:tc>
          <w:tcPr>
            <w:tcW w:w="1515" w:type="dxa"/>
            <w:tcBorders>
              <w:top w:val="nil"/>
              <w:left w:val="nil"/>
              <w:bottom w:val="single" w:sz="4" w:space="0" w:color="auto"/>
              <w:right w:val="single" w:sz="4" w:space="0" w:color="auto"/>
            </w:tcBorders>
            <w:shd w:val="clear" w:color="auto" w:fill="auto"/>
            <w:noWrap/>
            <w:vAlign w:val="bottom"/>
            <w:hideMark/>
          </w:tcPr>
          <w:p w14:paraId="6458B732"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Lower speculation</w:t>
            </w:r>
          </w:p>
        </w:tc>
        <w:tc>
          <w:tcPr>
            <w:tcW w:w="1515" w:type="dxa"/>
            <w:tcBorders>
              <w:top w:val="nil"/>
              <w:left w:val="nil"/>
              <w:bottom w:val="single" w:sz="4" w:space="0" w:color="auto"/>
              <w:right w:val="single" w:sz="4" w:space="0" w:color="auto"/>
            </w:tcBorders>
            <w:shd w:val="clear" w:color="auto" w:fill="auto"/>
            <w:noWrap/>
            <w:vAlign w:val="bottom"/>
            <w:hideMark/>
          </w:tcPr>
          <w:p w14:paraId="3A78DB52" w14:textId="77777777" w:rsidR="00103457" w:rsidRPr="00103457" w:rsidRDefault="00103457" w:rsidP="001E4091">
            <w:pPr>
              <w:spacing w:line="240" w:lineRule="auto"/>
              <w:rPr>
                <w:rFonts w:ascii="Times New Roman" w:hAnsi="Times New Roman"/>
                <w:color w:val="000000"/>
                <w:lang w:bidi="ar-SA"/>
              </w:rPr>
            </w:pPr>
            <w:r w:rsidRPr="00103457">
              <w:rPr>
                <w:rFonts w:ascii="Times New Roman" w:hAnsi="Times New Roman"/>
                <w:color w:val="000000"/>
                <w:lang w:bidi="ar-SA"/>
              </w:rPr>
              <w:t> More speculation, motivated by short-run profitability</w:t>
            </w:r>
          </w:p>
        </w:tc>
      </w:tr>
    </w:tbl>
    <w:p w14:paraId="35C0DF86" w14:textId="77777777" w:rsidR="00103457" w:rsidRDefault="00103457" w:rsidP="00103457">
      <w:pPr>
        <w:spacing w:line="240" w:lineRule="auto"/>
        <w:jc w:val="both"/>
        <w:rPr>
          <w:rFonts w:ascii="Times New Roman" w:eastAsia="Aptos" w:hAnsi="Times New Roman"/>
          <w:lang w:bidi="ar-SA"/>
          <w14:ligatures w14:val="standardContextual"/>
        </w:rPr>
      </w:pPr>
    </w:p>
    <w:p w14:paraId="243A260E" w14:textId="77777777" w:rsidR="005A1E7A" w:rsidRPr="00103457" w:rsidRDefault="005A1E7A" w:rsidP="00103457">
      <w:pPr>
        <w:spacing w:line="240" w:lineRule="auto"/>
        <w:jc w:val="both"/>
        <w:rPr>
          <w:rFonts w:ascii="Times New Roman" w:eastAsia="Aptos" w:hAnsi="Times New Roman"/>
          <w:lang w:bidi="ar-SA"/>
          <w14:ligatures w14:val="standardContextual"/>
        </w:rPr>
      </w:pPr>
    </w:p>
    <w:p w14:paraId="434BE920" w14:textId="148C55FC" w:rsidR="00103457" w:rsidRPr="00103457" w:rsidRDefault="00103457" w:rsidP="00277F12">
      <w:pPr>
        <w:pStyle w:val="Heading3"/>
        <w:rPr>
          <w:rStyle w:val="Heading3Char"/>
          <w:i/>
        </w:rPr>
      </w:pPr>
      <w:bookmarkStart w:id="106" w:name="_Hlk159834858"/>
      <w:bookmarkStart w:id="107" w:name="_Toc172288736"/>
      <w:bookmarkStart w:id="108" w:name="_Hlk159834878"/>
      <w:r w:rsidRPr="00103457">
        <w:rPr>
          <w:rStyle w:val="Heading3Char"/>
          <w:i/>
        </w:rPr>
        <w:t>Land and rent cost</w:t>
      </w:r>
      <w:bookmarkEnd w:id="106"/>
      <w:bookmarkEnd w:id="107"/>
    </w:p>
    <w:bookmarkEnd w:id="108"/>
    <w:p w14:paraId="523B5B79" w14:textId="4445C0D1" w:rsidR="00103457" w:rsidRPr="00103457" w:rsidRDefault="00103457" w:rsidP="00BF6D88">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Observations from most participants indicate that cost of land and rent varies across cities, with significantly higher costs in primary than secondary cities. Also, within cities, land costs are relatively cheaper at the outskirts than open lands in city centers (</w:t>
      </w:r>
      <w:r w:rsidRPr="00637018">
        <w:rPr>
          <w:rFonts w:ascii="Times New Roman" w:eastAsia="Aptos" w:hAnsi="Times New Roman"/>
          <w:lang w:bidi="ar-SA"/>
          <w14:ligatures w14:val="standardContextual"/>
        </w:rPr>
        <w:fldChar w:fldCharType="begin"/>
      </w:r>
      <w:r w:rsidRPr="00637018">
        <w:rPr>
          <w:rFonts w:ascii="Times New Roman" w:eastAsia="Aptos" w:hAnsi="Times New Roman"/>
          <w:lang w:bidi="ar-SA"/>
          <w14:ligatures w14:val="standardContextual"/>
        </w:rPr>
        <w:instrText xml:space="preserve"> REF _Ref162375848 \h  \* MERGEFORMAT </w:instrText>
      </w:r>
      <w:r w:rsidRPr="00637018">
        <w:rPr>
          <w:rFonts w:ascii="Times New Roman" w:eastAsia="Aptos" w:hAnsi="Times New Roman"/>
          <w:lang w:bidi="ar-SA"/>
          <w14:ligatures w14:val="standardContextual"/>
        </w:rPr>
      </w:r>
      <w:r w:rsidRPr="00637018">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8</w:t>
      </w:r>
      <w:r w:rsidRPr="00637018">
        <w:rPr>
          <w:rFonts w:ascii="Times New Roman" w:eastAsia="Aptos" w:hAnsi="Times New Roman"/>
          <w:lang w:bidi="ar-SA"/>
          <w14:ligatures w14:val="standardContextual"/>
        </w:rPr>
        <w:fldChar w:fldCharType="end"/>
      </w:r>
      <w:r w:rsidRPr="00637018">
        <w:rPr>
          <w:rFonts w:ascii="Times New Roman" w:eastAsia="Aptos" w:hAnsi="Times New Roman"/>
          <w:lang w:bidi="ar-SA"/>
          <w14:ligatures w14:val="standardContextual"/>
        </w:rPr>
        <w:t>).</w:t>
      </w:r>
      <w:r w:rsidRPr="00103457">
        <w:rPr>
          <w:rFonts w:ascii="Times New Roman" w:eastAsia="Aptos" w:hAnsi="Times New Roman"/>
          <w:lang w:bidi="ar-SA"/>
          <w14:ligatures w14:val="standardContextual"/>
        </w:rPr>
        <w:t xml:space="preserve"> In primary cities, the average cost of a single plot of land was GHS 450,000 in the city center and GHS 250,000 in the periphery. Also, the average cost of monthly rent was GHS 500 in the city centers and GHS 300 in the periphery. In the secondary cities, costs were relatively lower, averaging GHS 200,000 in the city centers and GHS 15,000 in the periphery. Likewise, the average rental cost for a single room was GHS 250 a month in the center and GHS 150 in the periphery. These differences in cost influence housing and land demand within and across cities, with most residents preferring </w:t>
      </w:r>
      <w:r w:rsidRPr="00103457">
        <w:rPr>
          <w:rFonts w:ascii="Times New Roman" w:eastAsia="Aptos" w:hAnsi="Times New Roman"/>
          <w:lang w:bidi="ar-SA"/>
          <w14:ligatures w14:val="standardContextual"/>
        </w:rPr>
        <w:lastRenderedPageBreak/>
        <w:t xml:space="preserve">cheaper locations. Our </w:t>
      </w:r>
      <w:r w:rsidR="00586D69">
        <w:rPr>
          <w:rFonts w:ascii="Times New Roman" w:eastAsia="Aptos" w:hAnsi="Times New Roman"/>
          <w:lang w:bidi="ar-SA"/>
          <w14:ligatures w14:val="standardContextual"/>
        </w:rPr>
        <w:t>interview</w:t>
      </w:r>
      <w:r w:rsidRPr="00103457">
        <w:rPr>
          <w:rFonts w:ascii="Times New Roman" w:eastAsia="Aptos" w:hAnsi="Times New Roman"/>
          <w:lang w:bidi="ar-SA"/>
          <w14:ligatures w14:val="standardContextual"/>
        </w:rPr>
        <w:t xml:space="preserve"> findings are consistent with other studies that found less expensive housing options attract urban residents, increasing housing demand in the peripheries, especially in secondary cities. Additionally, our study shows that housing and land cost varies among each set of primary and secondary cities, and across all six cities, costs tend to increase with city size.</w:t>
      </w:r>
    </w:p>
    <w:p w14:paraId="4A310B8C" w14:textId="6A87E260" w:rsidR="00103457" w:rsidRPr="00573DEF" w:rsidRDefault="00103457" w:rsidP="00103457">
      <w:pPr>
        <w:keepNext/>
        <w:spacing w:line="240" w:lineRule="auto"/>
        <w:rPr>
          <w:rFonts w:ascii="Times New Roman" w:eastAsia="Aptos" w:hAnsi="Times New Roman"/>
          <w:lang w:bidi="ar-SA"/>
          <w14:ligatures w14:val="standardContextual"/>
        </w:rPr>
      </w:pPr>
      <w:bookmarkStart w:id="109" w:name="_Ref162375848"/>
      <w:bookmarkStart w:id="110" w:name="_Toc172233724"/>
      <w:bookmarkStart w:id="111" w:name="_Hlk159834982"/>
      <w:r w:rsidRPr="007D7640">
        <w:rPr>
          <w:rFonts w:ascii="Times New Roman" w:eastAsia="Aptos" w:hAnsi="Times New Roman"/>
          <w:b/>
          <w:bCs/>
          <w:lang w:bidi="ar-SA"/>
          <w14:ligatures w14:val="standardContextual"/>
        </w:rPr>
        <w:t xml:space="preserve">Table </w:t>
      </w:r>
      <w:r w:rsidRPr="007D7640">
        <w:rPr>
          <w:rFonts w:ascii="Times New Roman" w:eastAsia="Aptos" w:hAnsi="Times New Roman"/>
          <w:b/>
          <w:bCs/>
          <w:lang w:bidi="ar-SA"/>
          <w14:ligatures w14:val="standardContextual"/>
        </w:rPr>
        <w:fldChar w:fldCharType="begin"/>
      </w:r>
      <w:r w:rsidRPr="007D7640">
        <w:rPr>
          <w:rFonts w:ascii="Times New Roman" w:eastAsia="Aptos" w:hAnsi="Times New Roman"/>
          <w:b/>
          <w:bCs/>
          <w:lang w:bidi="ar-SA"/>
          <w14:ligatures w14:val="standardContextual"/>
        </w:rPr>
        <w:instrText xml:space="preserve"> SEQ Table \* ARABIC </w:instrText>
      </w:r>
      <w:r w:rsidRPr="007D7640">
        <w:rPr>
          <w:rFonts w:ascii="Times New Roman" w:eastAsia="Aptos" w:hAnsi="Times New Roman"/>
          <w:b/>
          <w:bCs/>
          <w:lang w:bidi="ar-SA"/>
          <w14:ligatures w14:val="standardContextual"/>
        </w:rPr>
        <w:fldChar w:fldCharType="separate"/>
      </w:r>
      <w:r w:rsidR="00B129D9">
        <w:rPr>
          <w:rFonts w:ascii="Times New Roman" w:eastAsia="Aptos" w:hAnsi="Times New Roman"/>
          <w:b/>
          <w:bCs/>
          <w:noProof/>
          <w:lang w:bidi="ar-SA"/>
          <w14:ligatures w14:val="standardContextual"/>
        </w:rPr>
        <w:t>8</w:t>
      </w:r>
      <w:r w:rsidRPr="007D7640">
        <w:rPr>
          <w:rFonts w:ascii="Times New Roman" w:eastAsia="Aptos" w:hAnsi="Times New Roman"/>
          <w:b/>
          <w:bCs/>
          <w:lang w:bidi="ar-SA"/>
          <w14:ligatures w14:val="standardContextual"/>
        </w:rPr>
        <w:fldChar w:fldCharType="end"/>
      </w:r>
      <w:bookmarkEnd w:id="109"/>
      <w:r w:rsidRPr="00103457">
        <w:rPr>
          <w:rFonts w:ascii="Times New Roman" w:eastAsia="Aptos" w:hAnsi="Times New Roman"/>
          <w:lang w:bidi="ar-SA"/>
          <w14:ligatures w14:val="standardContextual"/>
        </w:rPr>
        <w:t>:  Land and rent costs across cities. These lease estimates from participants are for single plot of land and single room self-contained.</w:t>
      </w:r>
      <w:bookmarkEnd w:id="110"/>
    </w:p>
    <w:p w14:paraId="025EE90E" w14:textId="77777777" w:rsidR="00573DEF" w:rsidRPr="00103457" w:rsidRDefault="00573DEF" w:rsidP="00103457">
      <w:pPr>
        <w:keepNext/>
        <w:spacing w:line="240" w:lineRule="auto"/>
        <w:rPr>
          <w:rFonts w:ascii="Times New Roman" w:eastAsia="Aptos" w:hAnsi="Times New Roman"/>
          <w:b/>
          <w:bCs/>
          <w:lang w:bidi="ar-SA"/>
          <w14:ligatures w14:val="standardContextual"/>
        </w:rPr>
      </w:pPr>
    </w:p>
    <w:tbl>
      <w:tblPr>
        <w:tblW w:w="8460" w:type="dxa"/>
        <w:tblLook w:val="04A0" w:firstRow="1" w:lastRow="0" w:firstColumn="1" w:lastColumn="0" w:noHBand="0" w:noVBand="1"/>
      </w:tblPr>
      <w:tblGrid>
        <w:gridCol w:w="1350"/>
        <w:gridCol w:w="2070"/>
        <w:gridCol w:w="2070"/>
        <w:gridCol w:w="1260"/>
        <w:gridCol w:w="1710"/>
      </w:tblGrid>
      <w:tr w:rsidR="00103457" w:rsidRPr="00103457" w14:paraId="0F7E9CF0" w14:textId="77777777" w:rsidTr="006F7C17">
        <w:trPr>
          <w:trHeight w:val="315"/>
        </w:trPr>
        <w:tc>
          <w:tcPr>
            <w:tcW w:w="1350" w:type="dxa"/>
            <w:vMerge w:val="restart"/>
            <w:tcBorders>
              <w:top w:val="single" w:sz="4" w:space="0" w:color="auto"/>
              <w:left w:val="nil"/>
              <w:bottom w:val="single" w:sz="4" w:space="0" w:color="000000"/>
              <w:right w:val="single" w:sz="4" w:space="0" w:color="auto"/>
            </w:tcBorders>
            <w:shd w:val="clear" w:color="auto" w:fill="auto"/>
            <w:noWrap/>
            <w:vAlign w:val="bottom"/>
            <w:hideMark/>
          </w:tcPr>
          <w:p w14:paraId="5694C47D" w14:textId="77777777" w:rsidR="00103457" w:rsidRPr="00103457" w:rsidRDefault="00103457" w:rsidP="00103457">
            <w:pPr>
              <w:spacing w:line="240" w:lineRule="auto"/>
              <w:jc w:val="center"/>
              <w:rPr>
                <w:rFonts w:ascii="Times New Roman" w:hAnsi="Times New Roman"/>
                <w:color w:val="000000"/>
                <w:lang w:bidi="ar-SA"/>
              </w:rPr>
            </w:pPr>
            <w:r w:rsidRPr="00103457">
              <w:rPr>
                <w:rFonts w:ascii="Times New Roman" w:hAnsi="Times New Roman"/>
                <w:color w:val="000000"/>
                <w:lang w:bidi="ar-SA"/>
              </w:rPr>
              <w:t>City</w:t>
            </w:r>
          </w:p>
        </w:tc>
        <w:tc>
          <w:tcPr>
            <w:tcW w:w="4140" w:type="dxa"/>
            <w:gridSpan w:val="2"/>
            <w:tcBorders>
              <w:top w:val="single" w:sz="4" w:space="0" w:color="auto"/>
              <w:left w:val="single" w:sz="4" w:space="0" w:color="auto"/>
              <w:bottom w:val="nil"/>
              <w:right w:val="single" w:sz="4" w:space="0" w:color="auto"/>
            </w:tcBorders>
            <w:shd w:val="clear" w:color="auto" w:fill="auto"/>
            <w:noWrap/>
            <w:vAlign w:val="bottom"/>
            <w:hideMark/>
          </w:tcPr>
          <w:p w14:paraId="2442C5F4" w14:textId="77777777" w:rsidR="00103457" w:rsidRPr="00103457" w:rsidRDefault="00103457" w:rsidP="00103457">
            <w:pPr>
              <w:spacing w:line="240" w:lineRule="auto"/>
              <w:jc w:val="center"/>
              <w:rPr>
                <w:rFonts w:ascii="Times New Roman" w:hAnsi="Times New Roman"/>
                <w:color w:val="000000"/>
                <w:lang w:bidi="ar-SA"/>
              </w:rPr>
            </w:pPr>
            <w:r w:rsidRPr="00103457">
              <w:rPr>
                <w:rFonts w:ascii="Times New Roman" w:hAnsi="Times New Roman"/>
                <w:color w:val="000000"/>
                <w:lang w:bidi="ar-SA"/>
              </w:rPr>
              <w:t>Cost of Land (GHS)</w:t>
            </w:r>
          </w:p>
        </w:tc>
        <w:tc>
          <w:tcPr>
            <w:tcW w:w="2970" w:type="dxa"/>
            <w:gridSpan w:val="2"/>
            <w:tcBorders>
              <w:top w:val="single" w:sz="4" w:space="0" w:color="auto"/>
              <w:left w:val="single" w:sz="4" w:space="0" w:color="auto"/>
              <w:bottom w:val="nil"/>
              <w:right w:val="nil"/>
            </w:tcBorders>
            <w:shd w:val="clear" w:color="auto" w:fill="auto"/>
            <w:noWrap/>
            <w:vAlign w:val="bottom"/>
            <w:hideMark/>
          </w:tcPr>
          <w:p w14:paraId="30B0F39D" w14:textId="77777777" w:rsidR="00103457" w:rsidRPr="00103457" w:rsidRDefault="00103457" w:rsidP="00103457">
            <w:pPr>
              <w:spacing w:line="240" w:lineRule="auto"/>
              <w:jc w:val="center"/>
              <w:rPr>
                <w:rFonts w:ascii="Times New Roman" w:hAnsi="Times New Roman"/>
                <w:color w:val="000000"/>
                <w:lang w:bidi="ar-SA"/>
              </w:rPr>
            </w:pPr>
            <w:r w:rsidRPr="00103457">
              <w:rPr>
                <w:rFonts w:ascii="Times New Roman" w:hAnsi="Times New Roman"/>
                <w:color w:val="000000"/>
                <w:lang w:bidi="ar-SA"/>
              </w:rPr>
              <w:t>Rent (GHS)</w:t>
            </w:r>
          </w:p>
        </w:tc>
      </w:tr>
      <w:tr w:rsidR="00103457" w:rsidRPr="00103457" w14:paraId="1D21D693" w14:textId="77777777" w:rsidTr="006F7C17">
        <w:trPr>
          <w:trHeight w:val="315"/>
        </w:trPr>
        <w:tc>
          <w:tcPr>
            <w:tcW w:w="1350" w:type="dxa"/>
            <w:vMerge/>
            <w:tcBorders>
              <w:top w:val="single" w:sz="4" w:space="0" w:color="auto"/>
              <w:left w:val="nil"/>
              <w:bottom w:val="single" w:sz="4" w:space="0" w:color="000000"/>
              <w:right w:val="single" w:sz="4" w:space="0" w:color="auto"/>
            </w:tcBorders>
            <w:vAlign w:val="center"/>
            <w:hideMark/>
          </w:tcPr>
          <w:p w14:paraId="075760EF" w14:textId="77777777" w:rsidR="00103457" w:rsidRPr="00103457" w:rsidRDefault="00103457" w:rsidP="00103457">
            <w:pPr>
              <w:spacing w:line="240" w:lineRule="auto"/>
              <w:rPr>
                <w:rFonts w:ascii="Times New Roman" w:hAnsi="Times New Roman"/>
                <w:color w:val="000000"/>
                <w:lang w:bidi="ar-SA"/>
              </w:rPr>
            </w:pPr>
          </w:p>
        </w:tc>
        <w:tc>
          <w:tcPr>
            <w:tcW w:w="2070" w:type="dxa"/>
            <w:tcBorders>
              <w:top w:val="nil"/>
              <w:left w:val="single" w:sz="4" w:space="0" w:color="auto"/>
              <w:bottom w:val="single" w:sz="4" w:space="0" w:color="auto"/>
              <w:right w:val="nil"/>
            </w:tcBorders>
            <w:shd w:val="clear" w:color="auto" w:fill="auto"/>
            <w:noWrap/>
            <w:vAlign w:val="bottom"/>
            <w:hideMark/>
          </w:tcPr>
          <w:p w14:paraId="3E2E57B6"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Center</w:t>
            </w:r>
          </w:p>
        </w:tc>
        <w:tc>
          <w:tcPr>
            <w:tcW w:w="2070" w:type="dxa"/>
            <w:tcBorders>
              <w:top w:val="nil"/>
              <w:left w:val="nil"/>
              <w:bottom w:val="single" w:sz="4" w:space="0" w:color="auto"/>
              <w:right w:val="single" w:sz="4" w:space="0" w:color="auto"/>
            </w:tcBorders>
            <w:shd w:val="clear" w:color="auto" w:fill="auto"/>
            <w:noWrap/>
            <w:vAlign w:val="bottom"/>
            <w:hideMark/>
          </w:tcPr>
          <w:p w14:paraId="12E7C560"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Periphery</w:t>
            </w:r>
          </w:p>
        </w:tc>
        <w:tc>
          <w:tcPr>
            <w:tcW w:w="1260" w:type="dxa"/>
            <w:tcBorders>
              <w:top w:val="nil"/>
              <w:left w:val="single" w:sz="4" w:space="0" w:color="auto"/>
              <w:bottom w:val="single" w:sz="4" w:space="0" w:color="auto"/>
              <w:right w:val="nil"/>
            </w:tcBorders>
            <w:shd w:val="clear" w:color="auto" w:fill="auto"/>
            <w:noWrap/>
            <w:vAlign w:val="bottom"/>
            <w:hideMark/>
          </w:tcPr>
          <w:p w14:paraId="608BA8B3"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 xml:space="preserve">Center </w:t>
            </w:r>
          </w:p>
        </w:tc>
        <w:tc>
          <w:tcPr>
            <w:tcW w:w="1710" w:type="dxa"/>
            <w:tcBorders>
              <w:top w:val="nil"/>
              <w:left w:val="nil"/>
              <w:bottom w:val="single" w:sz="4" w:space="0" w:color="auto"/>
              <w:right w:val="nil"/>
            </w:tcBorders>
            <w:shd w:val="clear" w:color="auto" w:fill="auto"/>
            <w:noWrap/>
            <w:vAlign w:val="bottom"/>
            <w:hideMark/>
          </w:tcPr>
          <w:p w14:paraId="68D3B70A"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Periphery</w:t>
            </w:r>
          </w:p>
        </w:tc>
      </w:tr>
      <w:tr w:rsidR="00103457" w:rsidRPr="00103457" w14:paraId="45E7FC42" w14:textId="77777777" w:rsidTr="006F7C17">
        <w:trPr>
          <w:trHeight w:val="315"/>
        </w:trPr>
        <w:tc>
          <w:tcPr>
            <w:tcW w:w="1350" w:type="dxa"/>
            <w:tcBorders>
              <w:top w:val="nil"/>
              <w:left w:val="nil"/>
              <w:bottom w:val="nil"/>
              <w:right w:val="nil"/>
            </w:tcBorders>
            <w:shd w:val="clear" w:color="auto" w:fill="auto"/>
            <w:noWrap/>
            <w:vAlign w:val="bottom"/>
            <w:hideMark/>
          </w:tcPr>
          <w:p w14:paraId="36317402"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Accra</w:t>
            </w:r>
          </w:p>
        </w:tc>
        <w:tc>
          <w:tcPr>
            <w:tcW w:w="2070" w:type="dxa"/>
            <w:tcBorders>
              <w:top w:val="nil"/>
              <w:left w:val="nil"/>
              <w:bottom w:val="nil"/>
              <w:right w:val="nil"/>
            </w:tcBorders>
            <w:shd w:val="clear" w:color="auto" w:fill="auto"/>
            <w:noWrap/>
            <w:vAlign w:val="bottom"/>
            <w:hideMark/>
          </w:tcPr>
          <w:p w14:paraId="223C49D2"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400,000 - 500,000</w:t>
            </w:r>
          </w:p>
        </w:tc>
        <w:tc>
          <w:tcPr>
            <w:tcW w:w="2070" w:type="dxa"/>
            <w:tcBorders>
              <w:top w:val="nil"/>
              <w:left w:val="nil"/>
              <w:bottom w:val="nil"/>
              <w:right w:val="nil"/>
            </w:tcBorders>
            <w:shd w:val="clear" w:color="auto" w:fill="auto"/>
            <w:noWrap/>
            <w:vAlign w:val="bottom"/>
            <w:hideMark/>
          </w:tcPr>
          <w:p w14:paraId="7DE8AFA3"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150,000 - 300,000</w:t>
            </w:r>
          </w:p>
        </w:tc>
        <w:tc>
          <w:tcPr>
            <w:tcW w:w="1260" w:type="dxa"/>
            <w:tcBorders>
              <w:top w:val="nil"/>
              <w:left w:val="nil"/>
              <w:bottom w:val="nil"/>
              <w:right w:val="nil"/>
            </w:tcBorders>
            <w:shd w:val="clear" w:color="auto" w:fill="auto"/>
            <w:noWrap/>
            <w:vAlign w:val="bottom"/>
            <w:hideMark/>
          </w:tcPr>
          <w:p w14:paraId="62A702D0"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700 -1000</w:t>
            </w:r>
          </w:p>
        </w:tc>
        <w:tc>
          <w:tcPr>
            <w:tcW w:w="1710" w:type="dxa"/>
            <w:tcBorders>
              <w:top w:val="nil"/>
              <w:left w:val="nil"/>
              <w:bottom w:val="nil"/>
              <w:right w:val="nil"/>
            </w:tcBorders>
            <w:shd w:val="clear" w:color="auto" w:fill="auto"/>
            <w:noWrap/>
            <w:vAlign w:val="bottom"/>
            <w:hideMark/>
          </w:tcPr>
          <w:p w14:paraId="3C23D67B"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250 - 400</w:t>
            </w:r>
          </w:p>
        </w:tc>
      </w:tr>
      <w:tr w:rsidR="00103457" w:rsidRPr="00103457" w14:paraId="40922010" w14:textId="77777777" w:rsidTr="006F7C17">
        <w:trPr>
          <w:trHeight w:val="315"/>
        </w:trPr>
        <w:tc>
          <w:tcPr>
            <w:tcW w:w="1350" w:type="dxa"/>
            <w:tcBorders>
              <w:top w:val="nil"/>
              <w:left w:val="nil"/>
              <w:bottom w:val="nil"/>
              <w:right w:val="nil"/>
            </w:tcBorders>
            <w:shd w:val="clear" w:color="auto" w:fill="auto"/>
            <w:noWrap/>
            <w:vAlign w:val="bottom"/>
            <w:hideMark/>
          </w:tcPr>
          <w:p w14:paraId="6FC54611"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Kumasi</w:t>
            </w:r>
          </w:p>
        </w:tc>
        <w:tc>
          <w:tcPr>
            <w:tcW w:w="2070" w:type="dxa"/>
            <w:tcBorders>
              <w:top w:val="nil"/>
              <w:left w:val="nil"/>
              <w:bottom w:val="nil"/>
              <w:right w:val="nil"/>
            </w:tcBorders>
            <w:shd w:val="clear" w:color="auto" w:fill="auto"/>
            <w:noWrap/>
            <w:vAlign w:val="bottom"/>
            <w:hideMark/>
          </w:tcPr>
          <w:p w14:paraId="7E1DEF0F"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350,000 – 450,000</w:t>
            </w:r>
          </w:p>
        </w:tc>
        <w:tc>
          <w:tcPr>
            <w:tcW w:w="2070" w:type="dxa"/>
            <w:tcBorders>
              <w:top w:val="nil"/>
              <w:left w:val="nil"/>
              <w:bottom w:val="nil"/>
              <w:right w:val="nil"/>
            </w:tcBorders>
            <w:shd w:val="clear" w:color="auto" w:fill="auto"/>
            <w:noWrap/>
            <w:vAlign w:val="bottom"/>
            <w:hideMark/>
          </w:tcPr>
          <w:p w14:paraId="5D692070"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150,000 – 200,000</w:t>
            </w:r>
          </w:p>
        </w:tc>
        <w:tc>
          <w:tcPr>
            <w:tcW w:w="1260" w:type="dxa"/>
            <w:tcBorders>
              <w:top w:val="nil"/>
              <w:left w:val="nil"/>
              <w:bottom w:val="nil"/>
              <w:right w:val="nil"/>
            </w:tcBorders>
            <w:shd w:val="clear" w:color="auto" w:fill="auto"/>
            <w:noWrap/>
            <w:vAlign w:val="bottom"/>
            <w:hideMark/>
          </w:tcPr>
          <w:p w14:paraId="250E4A9F"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500 - 850</w:t>
            </w:r>
          </w:p>
        </w:tc>
        <w:tc>
          <w:tcPr>
            <w:tcW w:w="1710" w:type="dxa"/>
            <w:tcBorders>
              <w:top w:val="nil"/>
              <w:left w:val="nil"/>
              <w:bottom w:val="nil"/>
              <w:right w:val="nil"/>
            </w:tcBorders>
            <w:shd w:val="clear" w:color="auto" w:fill="auto"/>
            <w:noWrap/>
            <w:vAlign w:val="bottom"/>
            <w:hideMark/>
          </w:tcPr>
          <w:p w14:paraId="305178C0"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200 - 350</w:t>
            </w:r>
          </w:p>
        </w:tc>
      </w:tr>
      <w:tr w:rsidR="00103457" w:rsidRPr="00103457" w14:paraId="0544757F" w14:textId="77777777" w:rsidTr="006F7C17">
        <w:trPr>
          <w:trHeight w:val="315"/>
        </w:trPr>
        <w:tc>
          <w:tcPr>
            <w:tcW w:w="1350" w:type="dxa"/>
            <w:tcBorders>
              <w:top w:val="nil"/>
              <w:left w:val="nil"/>
              <w:bottom w:val="nil"/>
              <w:right w:val="nil"/>
            </w:tcBorders>
            <w:shd w:val="clear" w:color="auto" w:fill="auto"/>
            <w:noWrap/>
            <w:vAlign w:val="bottom"/>
            <w:hideMark/>
          </w:tcPr>
          <w:p w14:paraId="40E4D623"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Takoradi</w:t>
            </w:r>
          </w:p>
        </w:tc>
        <w:tc>
          <w:tcPr>
            <w:tcW w:w="2070" w:type="dxa"/>
            <w:tcBorders>
              <w:top w:val="nil"/>
              <w:left w:val="nil"/>
              <w:bottom w:val="nil"/>
              <w:right w:val="nil"/>
            </w:tcBorders>
            <w:shd w:val="clear" w:color="auto" w:fill="auto"/>
            <w:noWrap/>
            <w:vAlign w:val="bottom"/>
            <w:hideMark/>
          </w:tcPr>
          <w:p w14:paraId="25F7CBC4"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60,000 – 250,000</w:t>
            </w:r>
          </w:p>
        </w:tc>
        <w:tc>
          <w:tcPr>
            <w:tcW w:w="2070" w:type="dxa"/>
            <w:tcBorders>
              <w:top w:val="nil"/>
              <w:left w:val="nil"/>
              <w:bottom w:val="nil"/>
              <w:right w:val="nil"/>
            </w:tcBorders>
            <w:shd w:val="clear" w:color="auto" w:fill="auto"/>
            <w:noWrap/>
            <w:vAlign w:val="bottom"/>
            <w:hideMark/>
          </w:tcPr>
          <w:p w14:paraId="2E50E9E2"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12,000 – 100,000</w:t>
            </w:r>
          </w:p>
        </w:tc>
        <w:tc>
          <w:tcPr>
            <w:tcW w:w="1260" w:type="dxa"/>
            <w:tcBorders>
              <w:top w:val="nil"/>
              <w:left w:val="nil"/>
              <w:bottom w:val="nil"/>
              <w:right w:val="nil"/>
            </w:tcBorders>
            <w:shd w:val="clear" w:color="auto" w:fill="auto"/>
            <w:noWrap/>
            <w:vAlign w:val="bottom"/>
            <w:hideMark/>
          </w:tcPr>
          <w:p w14:paraId="7129481C"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375 - 750</w:t>
            </w:r>
          </w:p>
        </w:tc>
        <w:tc>
          <w:tcPr>
            <w:tcW w:w="1710" w:type="dxa"/>
            <w:tcBorders>
              <w:top w:val="nil"/>
              <w:left w:val="nil"/>
              <w:bottom w:val="nil"/>
              <w:right w:val="nil"/>
            </w:tcBorders>
            <w:shd w:val="clear" w:color="auto" w:fill="auto"/>
            <w:noWrap/>
            <w:vAlign w:val="bottom"/>
            <w:hideMark/>
          </w:tcPr>
          <w:p w14:paraId="57C03F2D"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200 - 350</w:t>
            </w:r>
          </w:p>
        </w:tc>
      </w:tr>
      <w:tr w:rsidR="00103457" w:rsidRPr="00103457" w14:paraId="09610433" w14:textId="77777777" w:rsidTr="006F7C17">
        <w:trPr>
          <w:trHeight w:val="315"/>
        </w:trPr>
        <w:tc>
          <w:tcPr>
            <w:tcW w:w="1350" w:type="dxa"/>
            <w:tcBorders>
              <w:top w:val="nil"/>
              <w:left w:val="nil"/>
              <w:bottom w:val="nil"/>
              <w:right w:val="nil"/>
            </w:tcBorders>
            <w:shd w:val="clear" w:color="auto" w:fill="auto"/>
            <w:noWrap/>
            <w:vAlign w:val="bottom"/>
            <w:hideMark/>
          </w:tcPr>
          <w:p w14:paraId="2E5C3BF1"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Techiman</w:t>
            </w:r>
          </w:p>
        </w:tc>
        <w:tc>
          <w:tcPr>
            <w:tcW w:w="2070" w:type="dxa"/>
            <w:tcBorders>
              <w:top w:val="nil"/>
              <w:left w:val="nil"/>
              <w:bottom w:val="nil"/>
              <w:right w:val="nil"/>
            </w:tcBorders>
            <w:shd w:val="clear" w:color="auto" w:fill="auto"/>
            <w:noWrap/>
            <w:vAlign w:val="bottom"/>
            <w:hideMark/>
          </w:tcPr>
          <w:p w14:paraId="237445DF"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50,000 – 200,000</w:t>
            </w:r>
          </w:p>
        </w:tc>
        <w:tc>
          <w:tcPr>
            <w:tcW w:w="2070" w:type="dxa"/>
            <w:tcBorders>
              <w:top w:val="nil"/>
              <w:left w:val="nil"/>
              <w:bottom w:val="nil"/>
              <w:right w:val="nil"/>
            </w:tcBorders>
            <w:shd w:val="clear" w:color="auto" w:fill="auto"/>
            <w:noWrap/>
            <w:vAlign w:val="bottom"/>
            <w:hideMark/>
          </w:tcPr>
          <w:p w14:paraId="3EA95421"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15,000 – 70,000</w:t>
            </w:r>
          </w:p>
        </w:tc>
        <w:tc>
          <w:tcPr>
            <w:tcW w:w="1260" w:type="dxa"/>
            <w:tcBorders>
              <w:top w:val="nil"/>
              <w:left w:val="nil"/>
              <w:bottom w:val="nil"/>
              <w:right w:val="nil"/>
            </w:tcBorders>
            <w:shd w:val="clear" w:color="auto" w:fill="auto"/>
            <w:noWrap/>
            <w:vAlign w:val="bottom"/>
            <w:hideMark/>
          </w:tcPr>
          <w:p w14:paraId="010D40D9"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200 - 500</w:t>
            </w:r>
          </w:p>
        </w:tc>
        <w:tc>
          <w:tcPr>
            <w:tcW w:w="1710" w:type="dxa"/>
            <w:tcBorders>
              <w:top w:val="nil"/>
              <w:left w:val="nil"/>
              <w:bottom w:val="nil"/>
              <w:right w:val="nil"/>
            </w:tcBorders>
            <w:shd w:val="clear" w:color="auto" w:fill="auto"/>
            <w:noWrap/>
            <w:vAlign w:val="bottom"/>
            <w:hideMark/>
          </w:tcPr>
          <w:p w14:paraId="747D638D"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100 - 300</w:t>
            </w:r>
          </w:p>
        </w:tc>
      </w:tr>
      <w:tr w:rsidR="00103457" w:rsidRPr="00103457" w14:paraId="7B163D93" w14:textId="77777777" w:rsidTr="006F7C17">
        <w:trPr>
          <w:trHeight w:val="315"/>
        </w:trPr>
        <w:tc>
          <w:tcPr>
            <w:tcW w:w="1350" w:type="dxa"/>
            <w:tcBorders>
              <w:top w:val="nil"/>
              <w:left w:val="nil"/>
              <w:bottom w:val="nil"/>
              <w:right w:val="nil"/>
            </w:tcBorders>
            <w:shd w:val="clear" w:color="auto" w:fill="auto"/>
            <w:noWrap/>
            <w:vAlign w:val="bottom"/>
            <w:hideMark/>
          </w:tcPr>
          <w:p w14:paraId="69EACDCD"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Tamale</w:t>
            </w:r>
          </w:p>
        </w:tc>
        <w:tc>
          <w:tcPr>
            <w:tcW w:w="2070" w:type="dxa"/>
            <w:tcBorders>
              <w:top w:val="nil"/>
              <w:left w:val="nil"/>
              <w:bottom w:val="nil"/>
              <w:right w:val="nil"/>
            </w:tcBorders>
            <w:shd w:val="clear" w:color="auto" w:fill="auto"/>
            <w:noWrap/>
            <w:vAlign w:val="bottom"/>
            <w:hideMark/>
          </w:tcPr>
          <w:p w14:paraId="6FE610EE"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60,000 – 100,000</w:t>
            </w:r>
          </w:p>
        </w:tc>
        <w:tc>
          <w:tcPr>
            <w:tcW w:w="2070" w:type="dxa"/>
            <w:tcBorders>
              <w:top w:val="nil"/>
              <w:left w:val="nil"/>
              <w:bottom w:val="nil"/>
              <w:right w:val="nil"/>
            </w:tcBorders>
            <w:shd w:val="clear" w:color="auto" w:fill="auto"/>
            <w:noWrap/>
            <w:vAlign w:val="bottom"/>
            <w:hideMark/>
          </w:tcPr>
          <w:p w14:paraId="68246408"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10,000 – 30,000</w:t>
            </w:r>
          </w:p>
        </w:tc>
        <w:tc>
          <w:tcPr>
            <w:tcW w:w="1260" w:type="dxa"/>
            <w:tcBorders>
              <w:top w:val="nil"/>
              <w:left w:val="nil"/>
              <w:bottom w:val="nil"/>
              <w:right w:val="nil"/>
            </w:tcBorders>
            <w:shd w:val="clear" w:color="auto" w:fill="auto"/>
            <w:noWrap/>
            <w:vAlign w:val="bottom"/>
            <w:hideMark/>
          </w:tcPr>
          <w:p w14:paraId="571E848F"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250 - 400</w:t>
            </w:r>
          </w:p>
        </w:tc>
        <w:tc>
          <w:tcPr>
            <w:tcW w:w="1710" w:type="dxa"/>
            <w:tcBorders>
              <w:top w:val="nil"/>
              <w:left w:val="nil"/>
              <w:bottom w:val="nil"/>
              <w:right w:val="nil"/>
            </w:tcBorders>
            <w:shd w:val="clear" w:color="auto" w:fill="auto"/>
            <w:noWrap/>
            <w:vAlign w:val="bottom"/>
            <w:hideMark/>
          </w:tcPr>
          <w:p w14:paraId="48D0533E" w14:textId="77777777" w:rsidR="00103457" w:rsidRPr="00103457" w:rsidRDefault="00103457" w:rsidP="00103457">
            <w:pPr>
              <w:spacing w:line="240" w:lineRule="auto"/>
              <w:rPr>
                <w:rFonts w:ascii="Times New Roman" w:hAnsi="Times New Roman"/>
                <w:lang w:bidi="ar-SA"/>
              </w:rPr>
            </w:pPr>
            <w:r w:rsidRPr="00103457">
              <w:rPr>
                <w:rFonts w:ascii="Times New Roman" w:hAnsi="Times New Roman"/>
                <w:lang w:bidi="ar-SA"/>
              </w:rPr>
              <w:t>100 - 300</w:t>
            </w:r>
          </w:p>
        </w:tc>
      </w:tr>
      <w:tr w:rsidR="00103457" w:rsidRPr="00103457" w14:paraId="27E486A6" w14:textId="77777777" w:rsidTr="006F7C17">
        <w:trPr>
          <w:trHeight w:val="315"/>
        </w:trPr>
        <w:tc>
          <w:tcPr>
            <w:tcW w:w="1350" w:type="dxa"/>
            <w:tcBorders>
              <w:top w:val="nil"/>
              <w:left w:val="nil"/>
              <w:bottom w:val="single" w:sz="4" w:space="0" w:color="auto"/>
              <w:right w:val="nil"/>
            </w:tcBorders>
            <w:shd w:val="clear" w:color="auto" w:fill="auto"/>
            <w:noWrap/>
            <w:vAlign w:val="bottom"/>
            <w:hideMark/>
          </w:tcPr>
          <w:p w14:paraId="1F451841"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Wa</w:t>
            </w:r>
          </w:p>
        </w:tc>
        <w:tc>
          <w:tcPr>
            <w:tcW w:w="2070" w:type="dxa"/>
            <w:tcBorders>
              <w:top w:val="nil"/>
              <w:left w:val="nil"/>
              <w:bottom w:val="single" w:sz="4" w:space="0" w:color="auto"/>
              <w:right w:val="nil"/>
            </w:tcBorders>
            <w:shd w:val="clear" w:color="auto" w:fill="auto"/>
            <w:noWrap/>
            <w:vAlign w:val="bottom"/>
            <w:hideMark/>
          </w:tcPr>
          <w:p w14:paraId="38C04629"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 40,000 – 100,000</w:t>
            </w:r>
          </w:p>
        </w:tc>
        <w:tc>
          <w:tcPr>
            <w:tcW w:w="2070" w:type="dxa"/>
            <w:tcBorders>
              <w:top w:val="nil"/>
              <w:left w:val="nil"/>
              <w:bottom w:val="single" w:sz="4" w:space="0" w:color="auto"/>
              <w:right w:val="nil"/>
            </w:tcBorders>
            <w:shd w:val="clear" w:color="auto" w:fill="auto"/>
            <w:noWrap/>
            <w:vAlign w:val="bottom"/>
            <w:hideMark/>
          </w:tcPr>
          <w:p w14:paraId="435076D9"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10,000 – 20,000</w:t>
            </w:r>
          </w:p>
        </w:tc>
        <w:tc>
          <w:tcPr>
            <w:tcW w:w="1260" w:type="dxa"/>
            <w:tcBorders>
              <w:top w:val="nil"/>
              <w:left w:val="nil"/>
              <w:bottom w:val="single" w:sz="4" w:space="0" w:color="auto"/>
              <w:right w:val="nil"/>
            </w:tcBorders>
            <w:shd w:val="clear" w:color="auto" w:fill="auto"/>
            <w:noWrap/>
            <w:vAlign w:val="bottom"/>
            <w:hideMark/>
          </w:tcPr>
          <w:p w14:paraId="00EC4884"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 250 - 350</w:t>
            </w:r>
          </w:p>
        </w:tc>
        <w:tc>
          <w:tcPr>
            <w:tcW w:w="1710" w:type="dxa"/>
            <w:tcBorders>
              <w:top w:val="nil"/>
              <w:left w:val="nil"/>
              <w:bottom w:val="single" w:sz="4" w:space="0" w:color="auto"/>
              <w:right w:val="nil"/>
            </w:tcBorders>
            <w:shd w:val="clear" w:color="auto" w:fill="auto"/>
            <w:noWrap/>
            <w:vAlign w:val="bottom"/>
            <w:hideMark/>
          </w:tcPr>
          <w:p w14:paraId="03A68FBA" w14:textId="77777777" w:rsidR="00103457" w:rsidRPr="00103457" w:rsidRDefault="00103457" w:rsidP="00103457">
            <w:pPr>
              <w:spacing w:line="240" w:lineRule="auto"/>
              <w:rPr>
                <w:rFonts w:ascii="Times New Roman" w:hAnsi="Times New Roman"/>
                <w:color w:val="000000"/>
                <w:lang w:bidi="ar-SA"/>
              </w:rPr>
            </w:pPr>
            <w:r w:rsidRPr="00103457">
              <w:rPr>
                <w:rFonts w:ascii="Times New Roman" w:hAnsi="Times New Roman"/>
                <w:color w:val="000000"/>
                <w:lang w:bidi="ar-SA"/>
              </w:rPr>
              <w:t> 80 - 250</w:t>
            </w:r>
          </w:p>
        </w:tc>
      </w:tr>
    </w:tbl>
    <w:p w14:paraId="050E567F" w14:textId="7E68F907" w:rsidR="00103457" w:rsidRPr="00103457" w:rsidRDefault="00103457" w:rsidP="00103457">
      <w:pPr>
        <w:spacing w:line="240" w:lineRule="auto"/>
        <w:jc w:val="both"/>
        <w:rPr>
          <w:rFonts w:ascii="Times New Roman" w:eastAsia="Aptos" w:hAnsi="Times New Roman"/>
          <w:b/>
          <w:bCs/>
          <w:lang w:bidi="ar-SA"/>
          <w14:ligatures w14:val="standardContextual"/>
        </w:rPr>
      </w:pPr>
      <w:r w:rsidRPr="00103457">
        <w:rPr>
          <w:rFonts w:ascii="Times New Roman" w:eastAsia="Aptos" w:hAnsi="Times New Roman"/>
          <w:b/>
          <w:bCs/>
          <w:lang w:bidi="ar-SA"/>
          <w14:ligatures w14:val="standardContextual"/>
        </w:rPr>
        <w:t>*</w:t>
      </w:r>
      <w:r w:rsidRPr="00103457">
        <w:rPr>
          <w:rFonts w:ascii="Times New Roman" w:eastAsia="Aptos" w:hAnsi="Times New Roman"/>
          <w:lang w:bidi="ar-SA"/>
          <w14:ligatures w14:val="standardContextual"/>
        </w:rPr>
        <w:t>The United States Dollar (US$) to Ghana Cedis (GHS) average exchange rate during the interview period (June/ July 202</w:t>
      </w:r>
      <w:r w:rsidR="001B4141">
        <w:rPr>
          <w:rFonts w:ascii="Times New Roman" w:eastAsia="Aptos" w:hAnsi="Times New Roman"/>
          <w:lang w:bidi="ar-SA"/>
          <w14:ligatures w14:val="standardContextual"/>
        </w:rPr>
        <w:t>3</w:t>
      </w:r>
      <w:r w:rsidRPr="00103457">
        <w:rPr>
          <w:rFonts w:ascii="Times New Roman" w:eastAsia="Aptos" w:hAnsi="Times New Roman"/>
          <w:lang w:bidi="ar-SA"/>
          <w14:ligatures w14:val="standardContextual"/>
        </w:rPr>
        <w:t>) was 1.0 US$ to 11.20 GHS.</w:t>
      </w:r>
      <w:r w:rsidRPr="00103457">
        <w:rPr>
          <w:rFonts w:ascii="Times New Roman" w:eastAsia="Aptos" w:hAnsi="Times New Roman"/>
          <w:b/>
          <w:bCs/>
          <w:lang w:bidi="ar-SA"/>
          <w14:ligatures w14:val="standardContextual"/>
        </w:rPr>
        <w:t xml:space="preserve"> </w:t>
      </w:r>
    </w:p>
    <w:p w14:paraId="12190591" w14:textId="77777777" w:rsidR="00103457" w:rsidRPr="00103457" w:rsidRDefault="00103457" w:rsidP="00103457">
      <w:pPr>
        <w:jc w:val="both"/>
        <w:rPr>
          <w:rFonts w:ascii="Times New Roman" w:eastAsia="Aptos" w:hAnsi="Times New Roman"/>
          <w:b/>
          <w:bCs/>
          <w:lang w:bidi="ar-SA"/>
          <w14:ligatures w14:val="standardContextual"/>
        </w:rPr>
      </w:pPr>
      <w:r w:rsidRPr="00103457">
        <w:rPr>
          <w:rFonts w:ascii="Times New Roman" w:eastAsia="Aptos" w:hAnsi="Times New Roman"/>
          <w:b/>
          <w:bCs/>
          <w:lang w:bidi="ar-SA"/>
          <w14:ligatures w14:val="standardContextual"/>
        </w:rPr>
        <w:t xml:space="preserve"> </w:t>
      </w:r>
    </w:p>
    <w:p w14:paraId="64F74914" w14:textId="0AB9B87F" w:rsidR="00103457" w:rsidRPr="00103457" w:rsidRDefault="00103457" w:rsidP="00277F12">
      <w:pPr>
        <w:pStyle w:val="Heading3"/>
      </w:pPr>
      <w:bookmarkStart w:id="112" w:name="_Toc172288737"/>
      <w:r w:rsidRPr="00103457">
        <w:t>Proximity to infrastructure and service and economic centers</w:t>
      </w:r>
      <w:bookmarkEnd w:id="112"/>
    </w:p>
    <w:bookmarkEnd w:id="111"/>
    <w:p w14:paraId="7DBB6BB3" w14:textId="7FFFC89E"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Proximity to roads, work, schools, markets, and health centers are important locational determinants within cities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{"citationID":"QY2XHckC","properties":{"formattedCitation":"(Kleemann, Baysal, et al., 2017; Salem et al., 2019)","plainCitation":"(Kleemann, Baysal, et al., 2017; Salem et al., 2019)","noteIndex":0},"citationItems":[{"id":404,"uris":["http://zotero.org/users/8906743/items/S4VBAIIE"],"itemData":{"id":404,"type":"article-journal","abstract":"Land use and land cover change (LULCC) is the result of complex human-environmental interactions. The high interdependencies in social-ecological systems make it difﬁcult to identify the main drivers. However, knowledge of key drivers of LULCC, including indirect (underlying) drivers which cannot be easily determined by spatial or economic analyses, is essential for land use planning and especially important in developing countries. We used a mixed-method approach in order to detect drivers of LULCC in the Upper East Region of northern Ghana by different qualitative and quantitative methods which were compared in a conﬁdence level analysis. Viewpoints from experts help to answer why the land use is changing, since many triggering effects, especially non-spatial and indirect drivers of LULCC, are not measurable by other methodological approaches. Geo-statistical or economic analyses add to validate the relevance of the expert-based results. First, we conducted in-depth interviews and developed a list of 34 direct and indirect drivers of LULCC. Subsequently, a group of experts was asked in a questionnaire to select the most important drivers by using a Likert scale. This information was complemented by remote sensing analysis. Finally, the driver analysis was compared to information from literature. Based on these analyses there is a very high conﬁdence that population growth, especially in rural areas, is a major driver of LULCC. Further, current farming practice, bush ﬁres, livestock, the road network and climate variability were the main direct drivers while the ﬁnancial capital of farmers and customary norms regarding land tenure were listed as important indirect drivers with high conﬁdence. Many of these driving forces, such as labour shortage and migration, are furthermore interdependent. Governmental laws, credits, the service by extension ofﬁcers, conservational agriculture and foreign agricultural medium-scale investments are currently not driving land use changes. We conclude that the mixed-method approach improves the conﬁdence of ﬁndings and the selection of most important drivers for modelling LULCC, especially in developing countries.","container-title":"Journal of Environmental Management","DOI":"10.1016/j.jenvman.2017.01.053","ISSN":"03014797","journalAbbreviation":"Journal of Environmental Management","language":"en","page":"411-442","source":"DOI.org (Crossref)","title":"Assessing driving forces of land use and land cover change by a mixed-method approach in north-eastern Ghana, West Africa","URL":"https://linkinghub.elsevier.com/retrieve/pii/S0301479717300713","volume":"196","author":[{"family":"Kleemann","given":"Janina"},{"family":"Baysal","given":"Gülendam"},{"family":"Bulley","given":"Henry N.N."},{"family":"Fürst","given":"Christine"}],"accessed":{"date-parts":[["2022",2,4]]},"issued":{"date-parts":[["2017",7]]}}},{"id":576,"uris":["http://zotero.org/users/8906743/items/QERA335E"],"itemData":{"id":576,"type":"article-journal","archive_location":"WOS:000623628200004","container-title":"Infrastructures","DOI":"10.3390/infrastructures4010004","ISSN":"2412-3811","issue":"1","title":"Analyzing the Driving Factors Causing Urban Expansion in the Peri-Urban Areas Using Logistic Regression: A Case Study of the Greater Cairo Region","volume":"4","author":[{"family":"Salem","given":"Muhammad"},{"family":"Tsurusaki","given":"Naoki"},{"family":"Divigalpitiya","given":"Prasanna"}],"issued":{"date-parts":[["2019",3]]}}}],"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szCs w:val="22"/>
          <w:lang w:bidi="ar-SA"/>
          <w14:ligatures w14:val="standardContextual"/>
        </w:rPr>
        <w:t>(Kleemann</w:t>
      </w:r>
      <w:r w:rsidR="00B77960">
        <w:rPr>
          <w:rFonts w:ascii="Times New Roman" w:eastAsia="Aptos" w:hAnsi="Times New Roman"/>
          <w:szCs w:val="22"/>
          <w:lang w:bidi="ar-SA"/>
          <w14:ligatures w14:val="standardContextual"/>
        </w:rPr>
        <w:t xml:space="preserve"> </w:t>
      </w:r>
      <w:r w:rsidRPr="00103457">
        <w:rPr>
          <w:rFonts w:ascii="Times New Roman" w:eastAsia="Aptos" w:hAnsi="Times New Roman"/>
          <w:szCs w:val="22"/>
          <w:lang w:bidi="ar-SA"/>
          <w14:ligatures w14:val="standardContextual"/>
        </w:rPr>
        <w:t>et al., 2017; Salem et al., 2019)</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w:t>
      </w:r>
      <w:r w:rsidR="00037EE7">
        <w:rPr>
          <w:rFonts w:ascii="Times New Roman" w:eastAsia="Aptos" w:hAnsi="Times New Roman"/>
          <w:lang w:bidi="ar-SA"/>
          <w14:ligatures w14:val="standardContextual"/>
        </w:rPr>
        <w:t xml:space="preserve"> </w:t>
      </w:r>
      <w:r w:rsidRPr="00103457">
        <w:rPr>
          <w:rFonts w:ascii="Times New Roman" w:eastAsia="Aptos" w:hAnsi="Times New Roman"/>
          <w:lang w:bidi="ar-SA"/>
          <w14:ligatures w14:val="standardContextual"/>
        </w:rPr>
        <w:t xml:space="preserve">Most participants prefer to live in locations within walkable distance from services and critical infrastructure. Across cities, urban residents consistently mention that the time and cost involved in accessing services and movement to the workplace influence their locational decisions. In primary cities, interviewed residents in sprawling parts of the city spend more than double the time and cost to access the market, education, and health centers than in secondary cities. Thus, distance to services was a less important consideration before developments in secondary cities, probably due to the </w:t>
      </w:r>
      <w:r w:rsidRPr="00103457">
        <w:rPr>
          <w:rFonts w:ascii="Times New Roman" w:eastAsia="Aptos" w:hAnsi="Times New Roman"/>
          <w:lang w:bidi="ar-SA"/>
          <w14:ligatures w14:val="standardContextual"/>
        </w:rPr>
        <w:lastRenderedPageBreak/>
        <w:t xml:space="preserve">smaller area </w:t>
      </w:r>
      <w:r w:rsidRPr="00637018">
        <w:rPr>
          <w:rFonts w:ascii="Times New Roman" w:eastAsia="Aptos" w:hAnsi="Times New Roman"/>
          <w:lang w:bidi="ar-SA"/>
          <w14:ligatures w14:val="standardContextual"/>
        </w:rPr>
        <w:t>size, resulting in residents spending less time and cost accessing services in the city center</w:t>
      </w:r>
      <w:r w:rsidR="00637018" w:rsidRPr="00637018">
        <w:rPr>
          <w:rFonts w:ascii="Times New Roman" w:eastAsia="Aptos" w:hAnsi="Times New Roman"/>
          <w:lang w:bidi="ar-SA"/>
          <w14:ligatures w14:val="standardContextual"/>
        </w:rPr>
        <w:t xml:space="preserve"> (</w:t>
      </w:r>
      <w:r w:rsidR="00637018" w:rsidRPr="00637018">
        <w:rPr>
          <w:rFonts w:ascii="Times New Roman" w:eastAsia="Aptos" w:hAnsi="Times New Roman"/>
          <w:lang w:bidi="ar-SA"/>
          <w14:ligatures w14:val="standardContextual"/>
        </w:rPr>
        <w:fldChar w:fldCharType="begin"/>
      </w:r>
      <w:r w:rsidR="00637018" w:rsidRPr="00637018">
        <w:rPr>
          <w:rFonts w:ascii="Times New Roman" w:eastAsia="Aptos" w:hAnsi="Times New Roman"/>
          <w:lang w:bidi="ar-SA"/>
          <w14:ligatures w14:val="standardContextual"/>
        </w:rPr>
        <w:instrText xml:space="preserve"> REF _Ref169889808 \h  \* MERGEFORMAT </w:instrText>
      </w:r>
      <w:r w:rsidR="00637018" w:rsidRPr="00637018">
        <w:rPr>
          <w:rFonts w:ascii="Times New Roman" w:eastAsia="Aptos" w:hAnsi="Times New Roman"/>
          <w:lang w:bidi="ar-SA"/>
          <w14:ligatures w14:val="standardContextual"/>
        </w:rPr>
      </w:r>
      <w:r w:rsidR="00637018" w:rsidRPr="00637018">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7</w:t>
      </w:r>
      <w:r w:rsidR="00637018" w:rsidRPr="00637018">
        <w:rPr>
          <w:rFonts w:ascii="Times New Roman" w:eastAsia="Aptos" w:hAnsi="Times New Roman"/>
          <w:lang w:bidi="ar-SA"/>
          <w14:ligatures w14:val="standardContextual"/>
        </w:rPr>
        <w:fldChar w:fldCharType="end"/>
      </w:r>
      <w:r w:rsidR="00637018" w:rsidRPr="00637018">
        <w:rPr>
          <w:rFonts w:ascii="Times New Roman" w:eastAsia="Aptos" w:hAnsi="Times New Roman"/>
          <w:lang w:bidi="ar-SA"/>
          <w14:ligatures w14:val="standardContextual"/>
        </w:rPr>
        <w:t>).</w:t>
      </w:r>
      <w:r w:rsidRPr="00103457">
        <w:rPr>
          <w:rFonts w:ascii="Times New Roman" w:eastAsia="Aptos" w:hAnsi="Times New Roman"/>
          <w:lang w:bidi="ar-SA"/>
          <w14:ligatures w14:val="standardContextual"/>
        </w:rPr>
        <w:t xml:space="preserve"> Two participants emphasize these differences. </w:t>
      </w:r>
    </w:p>
    <w:p w14:paraId="1A1FBC0C" w14:textId="77777777" w:rsidR="00103457" w:rsidRPr="00103457" w:rsidRDefault="00103457" w:rsidP="00D859AC">
      <w:pPr>
        <w:spacing w:line="240" w:lineRule="auto"/>
        <w:ind w:left="360"/>
        <w:jc w:val="both"/>
        <w:textAlignment w:val="baseline"/>
        <w:rPr>
          <w:rFonts w:ascii="Times New Roman" w:hAnsi="Times New Roman"/>
          <w:color w:val="262626"/>
          <w:bdr w:val="none" w:sz="0" w:space="0" w:color="auto" w:frame="1"/>
          <w:lang w:bidi="ar-SA"/>
          <w14:ligatures w14:val="standardContextual"/>
        </w:rPr>
      </w:pPr>
      <w:r w:rsidRPr="00103457">
        <w:rPr>
          <w:rFonts w:ascii="Times New Roman" w:hAnsi="Times New Roman"/>
          <w:color w:val="262626"/>
          <w:bdr w:val="none" w:sz="0" w:space="0" w:color="auto" w:frame="1"/>
          <w:lang w:bidi="ar-SA"/>
          <w14:ligatures w14:val="standardContextual"/>
        </w:rPr>
        <w:t>I chose Osu because I wanted to stay close to the Ministries where I work. Also, going to other places, such as the shopping and entertainment centers, is closer than the outskirts of Accra. I mean, I can easily walk to work without spending on transportation (Urban resident in Osu, Accra, June 3, 2023).</w:t>
      </w:r>
    </w:p>
    <w:p w14:paraId="4E7DE250" w14:textId="77777777" w:rsidR="00103457" w:rsidRPr="00103457" w:rsidRDefault="00103457" w:rsidP="00103457">
      <w:pPr>
        <w:spacing w:before="240" w:line="240" w:lineRule="auto"/>
        <w:ind w:left="360"/>
        <w:jc w:val="both"/>
        <w:textAlignment w:val="baseline"/>
        <w:rPr>
          <w:rFonts w:ascii="Times New Roman" w:hAnsi="Times New Roman"/>
          <w:color w:val="262626"/>
          <w:bdr w:val="none" w:sz="0" w:space="0" w:color="auto" w:frame="1"/>
          <w:lang w:bidi="ar-SA"/>
          <w14:ligatures w14:val="standardContextual"/>
        </w:rPr>
      </w:pPr>
      <w:r w:rsidRPr="00103457">
        <w:rPr>
          <w:rFonts w:ascii="Times New Roman" w:hAnsi="Times New Roman"/>
          <w:color w:val="262626"/>
          <w:bdr w:val="none" w:sz="0" w:space="0" w:color="auto" w:frame="1"/>
          <w:lang w:bidi="ar-SA"/>
          <w14:ligatures w14:val="standardContextual"/>
        </w:rPr>
        <w:t>I previously resided in the outskirts of Kumasi, where I had to spend more than double the time and money on transportation. Although I live on the outskirts of Tamale, the distance to the market and my job is not far. For me, access to water and electricity were major considerations (Urban Resident, Tamale, June 16, 2023).</w:t>
      </w:r>
    </w:p>
    <w:p w14:paraId="177805F7" w14:textId="77663933" w:rsidR="00C2706D" w:rsidRDefault="00103457" w:rsidP="00B72C9C">
      <w:pPr>
        <w:spacing w:before="240"/>
        <w:textAlignment w:val="baseline"/>
        <w:rPr>
          <w:rFonts w:ascii="Times New Roman" w:hAnsi="Times New Roman"/>
          <w:color w:val="262626"/>
          <w:bdr w:val="none" w:sz="0" w:space="0" w:color="auto" w:frame="1"/>
          <w:lang w:bidi="ar-SA"/>
          <w14:ligatures w14:val="standardContextual"/>
        </w:rPr>
      </w:pPr>
      <w:r w:rsidRPr="00103457">
        <w:rPr>
          <w:rFonts w:ascii="Times New Roman" w:hAnsi="Times New Roman"/>
          <w:color w:val="262626"/>
          <w:bdr w:val="none" w:sz="0" w:space="0" w:color="auto" w:frame="1"/>
          <w:lang w:bidi="ar-SA"/>
          <w14:ligatures w14:val="standardContextual"/>
        </w:rPr>
        <w:t xml:space="preserve">These participants' observations corroborate previous studies that found individual preferences for locational choices vary </w:t>
      </w:r>
      <w:r w:rsidRPr="00103457">
        <w:rPr>
          <w:rFonts w:ascii="Times New Roman" w:hAnsi="Times New Roman"/>
          <w:color w:val="262626"/>
          <w:bdr w:val="none" w:sz="0" w:space="0" w:color="auto" w:frame="1"/>
          <w:lang w:bidi="ar-SA"/>
          <w14:ligatures w14:val="standardContextual"/>
        </w:rPr>
        <w:fldChar w:fldCharType="begin"/>
      </w:r>
      <w:r w:rsidRPr="00103457">
        <w:rPr>
          <w:rFonts w:ascii="Times New Roman" w:hAnsi="Times New Roman"/>
          <w:color w:val="262626"/>
          <w:bdr w:val="none" w:sz="0" w:space="0" w:color="auto" w:frame="1"/>
          <w:lang w:bidi="ar-SA"/>
          <w14:ligatures w14:val="standardContextual"/>
        </w:rPr>
        <w:instrText xml:space="preserve"> ADDIN ZOTERO_ITEM CSL_CITATION {"citationID":"xpqOfX5a","properties":{"formattedCitation":"(Tagnan et al., 2022; Yiran et al., 2020)","plainCitation":"(Tagnan et al., 2022; Yiran et al., 2020)","noteIndex":0},"citationItems":[{"id":1948,"uris":["http://zotero.org/users/8906743/items/MJV8ENJ5"],"itemData":{"id":1948,"type":"article-journal","abstract":"The authorities of cities in Sub-Saharan Africa (SSA) are struggling to contain urban sprawl. The region's rapid population growth is expected to exacerbate the situation. Diagnoses of the problem identify rapid population growth, improved transportation network and surface condition, improved utility service distribution and high household incomes as the combination of factors that drive urban sprawl although the drivers are not the same across all regions and within countries. Scholars observe that the nuclearisation of the family system in Ghana creates a need for more houses and living spaces. Given this context, the proposition of current study is that the nuclearisation of the family system in urban Ghana is a major driver of urban sprawl. Accordingly, a comparative case study research design was adopted to assess the effects of family nuclearisation on sprawl. Data were obtained by interviewing 236 household heads from three carefully selected settlements in Kumasi, Ghana's second largest city. Housing density data were also obtained from satellite images. The data analysis revealed that the dominant compound housing vernacular of the 19th - 20th Centuries in Ghana was informed by the need to accommodate extended family members. However, in the 21st Century, the nuclear family system has usurped the influence of the extended family system on housing supply. Desirous of privacy, pristine environmental conditions and low-cost land, the nuclear family members acquire land at the peripheries of the cities for the construction of low-density housing. Their affinity for low-density housing units expands the boundaries of the cities, which the satellite images confirmed. The overall implication is that the nuclearisation of families in Kumasi is an important driver for urban sprawl. The paper concludes with recommendations for addressing these intractable urban planning issues.","container-title":"Habitat International","DOI":"10.1016/j.habitatint.2022.102555","ISSN":"0197-3975","journalAbbreviation":"Habitat International","page":"102555","source":"ScienceDirect","title":"A view of urban sprawl through the lens of family nuclearisation","URL":"https://www.sciencedirect.com/science/article/pii/S0197397522000522","volume":"123","author":[{"family":"Tagnan","given":"Jacob Nchagmado"},{"family":"Amponsah","given":"Owusu"},{"family":"Takyi","given":"Stephen Appiah"},{"family":"Azunre","given":"Gideon Abagna"},{"family":"Braimah","given":"Imoro"}],"accessed":{"date-parts":[["2024",2,21]]},"issued":{"date-parts":[["2022",5,1]]}}},{"id":59,"uris":["http://zotero.org/users/8906743/items/862CHWJC"],"itemData":{"id":59,"type":"article-journal","abstract":"Urban sprawl has gained popularity in academic discourse in recent times, but the majority of the research was conducted in developed countries. There is a marginal body of works on the character and nature of urban sprawl in Sub-Saharan Africa (SSA), although the region is experiencing one of the fastest rates of sprawl. Urbanisation in SSA is very rapid, and in addition to the emerging challenges of globalisation, climate change and poverty, SSA cities have an enormous task to manage urban sprawl. This paper reviews the literature on urban sprawl in SSA to identify research gaps and propose a research agenda. Published articles from five Anglophone countries in three of the four regional blocks in SSA were selected. The literature was organised into the causes and effects of urban sprawl and showed that the previous research on the subject focused mainly on its environmental impacts. Few studies have looked at the effects of sprawl on rural livelihoods, agriculture and food security considering the challenges of global climate change and poverty. Other studies have used Remote Sensing and Geographic Information Systems, but these were conducted largely for change detection. The paper recommends the deployment of a more comprehensive methodology incorporating remote sensing/GIS with ethnographic methods to capture better the complexity and impacts of urban sprawl in SSA. Additionally, further research attention must be paid to the effects of urban sprawl on rural livelihoods and overall sprawl-induced agrarian change.","container-title":"Ghana Journal of Geography","DOI":"10.4314/gjg.v12i1.1","ISSN":"0855-9414","issue":"1","journalAbbreviation":"Ghana J. Geography","language":"en","page":"1-28","source":"DOI.org (Crossref)","title":"Urban Sprawl in sub-Saharan Africa: A review of the literature in selected countries","title-short":"Urban Sprawl in sub-Saharan Africa","URL":"https://www.ajol.info/index.php/gjg/article/view/198012","volume":"12","author":[{"family":"Yiran","given":"Gerald Albert Baeribameng"},{"family":"Ablo","given":"Austin Dziwornu"},{"family":"Asem","given":"Freda Elikplim"},{"family":"Owusu","given":"George"}],"accessed":{"date-parts":[["2022",2,4]]},"issued":{"date-parts":[["2020",7,25]]}}}],"schema":"https://github.com/citation-style-language/schema/raw/master/csl-citation.json"} </w:instrText>
      </w:r>
      <w:r w:rsidRPr="00103457">
        <w:rPr>
          <w:rFonts w:ascii="Times New Roman" w:hAnsi="Times New Roman"/>
          <w:color w:val="262626"/>
          <w:bdr w:val="none" w:sz="0" w:space="0" w:color="auto" w:frame="1"/>
          <w:lang w:bidi="ar-SA"/>
          <w14:ligatures w14:val="standardContextual"/>
        </w:rPr>
        <w:fldChar w:fldCharType="separate"/>
      </w:r>
      <w:r w:rsidRPr="00103457">
        <w:rPr>
          <w:rFonts w:ascii="Times New Roman" w:eastAsia="Aptos" w:hAnsi="Times New Roman"/>
          <w:lang w:bidi="ar-SA"/>
          <w14:ligatures w14:val="standardContextual"/>
        </w:rPr>
        <w:t>(Tagnan et al., 2022; Yiran et al., 2020)</w:t>
      </w:r>
      <w:r w:rsidRPr="00103457">
        <w:rPr>
          <w:rFonts w:ascii="Times New Roman" w:hAnsi="Times New Roman"/>
          <w:color w:val="262626"/>
          <w:bdr w:val="none" w:sz="0" w:space="0" w:color="auto" w:frame="1"/>
          <w:lang w:bidi="ar-SA"/>
          <w14:ligatures w14:val="standardContextual"/>
        </w:rPr>
        <w:fldChar w:fldCharType="end"/>
      </w:r>
      <w:r w:rsidRPr="00103457">
        <w:rPr>
          <w:rFonts w:ascii="Times New Roman" w:hAnsi="Times New Roman"/>
          <w:color w:val="262626"/>
          <w:bdr w:val="none" w:sz="0" w:space="0" w:color="auto" w:frame="1"/>
          <w:lang w:bidi="ar-SA"/>
          <w14:ligatures w14:val="standardContextual"/>
        </w:rPr>
        <w:t>. However, we found that residents in infill locations in primary cities prefer proximity to work, whereas residents in secondary cities are more concerned about access to services rather than distance from economic centers. This is because sprawl locations, especially in smaller secondary cities, generally lack services, and the few resources are generally focused on infill locations in primary cities.</w:t>
      </w:r>
    </w:p>
    <w:p w14:paraId="4007B04D" w14:textId="77777777" w:rsidR="00C2706D" w:rsidRDefault="00C2706D" w:rsidP="00C2706D">
      <w:pPr>
        <w:spacing w:line="240" w:lineRule="auto"/>
        <w:jc w:val="both"/>
        <w:textAlignment w:val="baseline"/>
        <w:rPr>
          <w:rFonts w:ascii="Times New Roman" w:hAnsi="Times New Roman"/>
          <w:color w:val="262626"/>
          <w:bdr w:val="none" w:sz="0" w:space="0" w:color="auto" w:frame="1"/>
          <w:lang w:bidi="ar-SA"/>
          <w14:ligatures w14:val="standardContextual"/>
        </w:rPr>
      </w:pPr>
    </w:p>
    <w:p w14:paraId="0CB1639D" w14:textId="24CA511D" w:rsidR="00103457" w:rsidRPr="005A1E7A" w:rsidRDefault="00103457" w:rsidP="00277F12">
      <w:pPr>
        <w:pStyle w:val="Heading3"/>
      </w:pPr>
      <w:bookmarkStart w:id="113" w:name="_Toc172288738"/>
      <w:r w:rsidRPr="005A1E7A">
        <w:t xml:space="preserve">Land tenure arrangements and allocation </w:t>
      </w:r>
      <w:bookmarkStart w:id="114" w:name="_Int_mQc0M9uT"/>
      <w:r w:rsidRPr="005A1E7A">
        <w:t>regimes</w:t>
      </w:r>
      <w:bookmarkEnd w:id="113"/>
      <w:bookmarkEnd w:id="114"/>
    </w:p>
    <w:p w14:paraId="0C47351C" w14:textId="6CD25B76"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More than 80% of lands in Ghana are owned and managed by customary landowners, including chiefs, priests, and heads of several landowning families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{"citationID":"Oudm7aSE","properties":{"formattedCitation":"(Anane &amp; Cobbinah, 2022; Cobbinah et al., 2020)","plainCitation":"(Anane &amp; Cobbinah, 2022; Cobbinah et al., 2020)","noteIndex":0},"citationItems":[{"id":87,"uris":["http://zotero.org/users/8906743/items/V8PEW32P"],"itemData":{"id":87,"type":"article-journal","abstract":"This paper compares everyday land administration systems and local planning practices involving traditional authorities and local statutory planning officials in the transformation of peri-urban areas in Ghana. First, it analyses the processes and conflicts in local plan preparation for peri-urban transformation. Second, it examines the power relations between traditional authorities and statutory planning officials in peri-urban land use planning. It uses a qualitative research design involving in-depth interviews and secondary data analysis, and a comparative case studies of Abuakwa and Adomako peri-urban communities in Ghanaian cities of Kumasi and Sunyani respectively. Findings show that conflicting rationalities and power relations between formal and customary land use planning are likely to occur when one stakeholder significantly overshadows the role of the other. In Abuakwa, the dominance of traditional authorities in land use planning has rendered statutory planning agencies ineffective. Similarly, the overemphasis on Lands Commission’s role in land use planning activities in the Adomako case is producing conflicting rationalities both within and between statutory planning and tradi­ tional authorities. This paper argues that when roles are not defined in hybridized land use planning and management system, it is the peri-urban areas experiencing rapid transformation that suffer from haphazard, unplanned and non-inclusive development.","container-title":"Habitat International","DOI":"10.1016/j.habitatint.2021.102497","ISSN":"01973975","journalAbbreviation":"Habitat International","language":"en","page":"102497","source":"DOI.org (Crossref)","title":"Everyday politics of land use planning in peri-urbanisation","URL":"https://linkinghub.elsevier.com/retrieve/pii/S0197397521001867","volume":"120","author":[{"family":"Anane","given":"George Kwadwo"},{"family":"Cobbinah","given":"Patrick Brandful"}],"accessed":{"date-parts":[["2022",1,30]]},"issued":{"date-parts":[["2022",2]]}}},{"id":388,"uris":["http://zotero.org/users/8906743/items/UKAG4UMG"],"itemData":{"id":388,"type":"article-journal","abstract":"Global literature reporting on land governance indicates considerable differences between land ownership and land administration. Yet, in many Sub-Saharan African countries, particularly Ghana, this relationship is blurred in complex land governance regimes. An understanding of this relationship in Ghana’s customary land sector –the dominant land ownership type – is critical in advancing urban land use planning and promoting effective urban management in this era of rapid urbanisation across Africa. Unfortunately, little is known about this relationship in the context of land use planning. Using Kumasi, a rapidly growing city in Ghana as a case study, the purpose of this paper is threefold: (i) to discuss the relationship between customary land ownership and administration in the context of land use planning, (ii) to explore institutional perspectives on sustainable land use planning; and (iii) to examine the implications of customary land ownership and administration on sus­ tainable land use planning. Using a review of relevant land use planning documents on Ghana, and interviews with four urban planning agencies and four customary land owners (chiefs/traditional leaders) in Kumasi, findings indicate a demonstration of an unclear nature of legislative planning framework and a lack of focus on customary land ownership and administration system in urban land use planning. Despite planning laws (e.g., zoning guidelines) emphasising separation of ownership from administration, findings indicate no distinction between customary land ownership and land administration as the traditional leaders (the owners) administer the land via determination of land uses, arbitration of land disputes, and location determination of important community infrastructure and services. Evidence of repetitive and cumbersome nature of land administration by traditional owners and government planning agencies, weak agency framework and coordination challenges has contributed to limited progress of sustainable land use planning in the city.","container-title":"Land Use Policy","DOI":"10.1016/j.landusepol.2020.105054","ISSN":"02648377","journalAbbreviation":"Land Use Policy","language":"en","page":"105054","source":"DOI.org (Crossref)","title":"Urban land use planning in Ghana: Navigating complex coalescence of land ownership and administration","title-short":"Urban land use planning in Ghana","URL":"https://linkinghub.elsevier.com/retrieve/pii/S0264837719320034","volume":"99","author":[{"family":"Cobbinah","given":"Patrick Brandful"},{"family":"Asibey","given":"Michael Osei"},{"family":"Gyedu-Pensang","given":"Yaa Asuamah"}],"accessed":{"date-parts":[["2022",2,9]]},"issued":{"date-parts":[["2020",12]]}}}],"schema":"https://github.com/citation-style-language/schema/raw/master/csl-citation.json"}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(Anane &amp; Cobbinah, 2022; Cobbinah et al., 2020)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In the absence of land litigations, open lands within city centers were more secure because they were closer to people, and landowners were unable to lease lands to multiple clients. Due to less frequent monitoring of peripheral lands, participants quickly develop to prevent multiple land sales and litigations with landowners; this explains the higher sprawl-to-infill ratio, especially in secondary cities. Additionally, interviewed planning officials indicate that different land allocation regimes among customary landowners mostly influence sprawl </w:t>
      </w:r>
      <w:r w:rsidRPr="00103457">
        <w:rPr>
          <w:rFonts w:ascii="Times New Roman" w:eastAsia="Aptos" w:hAnsi="Times New Roman"/>
          <w:lang w:bidi="ar-SA"/>
          <w14:ligatures w14:val="standardContextual"/>
        </w:rPr>
        <w:lastRenderedPageBreak/>
        <w:t xml:space="preserve">developments </w:t>
      </w:r>
      <w:r w:rsidRPr="00ED34B6">
        <w:rPr>
          <w:rFonts w:ascii="Times New Roman" w:eastAsia="Aptos" w:hAnsi="Times New Roman"/>
          <w:lang w:bidi="ar-SA"/>
          <w14:ligatures w14:val="standardContextual"/>
        </w:rPr>
        <w:t>because multiple families decide when to allocate their lands, resulting in dispersed developments</w:t>
      </w:r>
      <w:r w:rsidR="00F31F6C" w:rsidRPr="00ED34B6">
        <w:rPr>
          <w:rFonts w:ascii="Times New Roman" w:eastAsia="Aptos" w:hAnsi="Times New Roman"/>
          <w:lang w:bidi="ar-SA"/>
          <w14:ligatures w14:val="standardContextual"/>
        </w:rPr>
        <w:t xml:space="preserve"> (</w:t>
      </w:r>
      <w:r w:rsidR="00ED34B6" w:rsidRPr="00ED34B6">
        <w:rPr>
          <w:rFonts w:ascii="Times New Roman" w:eastAsia="Aptos" w:hAnsi="Times New Roman"/>
          <w:lang w:bidi="ar-SA"/>
          <w14:ligatures w14:val="standardContextual"/>
        </w:rPr>
        <w:fldChar w:fldCharType="begin"/>
      </w:r>
      <w:r w:rsidR="00ED34B6" w:rsidRPr="00ED34B6">
        <w:rPr>
          <w:rFonts w:ascii="Times New Roman" w:eastAsia="Aptos" w:hAnsi="Times New Roman"/>
          <w:lang w:bidi="ar-SA"/>
          <w14:ligatures w14:val="standardContextual"/>
        </w:rPr>
        <w:instrText xml:space="preserve"> REF _Ref169889808 \h  \* MERGEFORMAT </w:instrText>
      </w:r>
      <w:r w:rsidR="00ED34B6" w:rsidRPr="00ED34B6">
        <w:rPr>
          <w:rFonts w:ascii="Times New Roman" w:eastAsia="Aptos" w:hAnsi="Times New Roman"/>
          <w:lang w:bidi="ar-SA"/>
          <w14:ligatures w14:val="standardContextual"/>
        </w:rPr>
      </w:r>
      <w:r w:rsidR="00ED34B6" w:rsidRPr="00ED34B6">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7</w:t>
      </w:r>
      <w:r w:rsidR="00ED34B6" w:rsidRPr="00ED34B6">
        <w:rPr>
          <w:rFonts w:ascii="Times New Roman" w:eastAsia="Aptos" w:hAnsi="Times New Roman"/>
          <w:lang w:bidi="ar-SA"/>
          <w14:ligatures w14:val="standardContextual"/>
        </w:rPr>
        <w:fldChar w:fldCharType="end"/>
      </w:r>
      <w:r w:rsidR="00F31F6C" w:rsidRPr="00ED34B6">
        <w:rPr>
          <w:rFonts w:ascii="Times New Roman" w:eastAsia="Aptos" w:hAnsi="Times New Roman"/>
          <w:lang w:bidi="ar-SA"/>
          <w14:ligatures w14:val="standardContextual"/>
        </w:rPr>
        <w:t>) and (</w:t>
      </w:r>
      <w:r w:rsidR="00ED34B6" w:rsidRPr="00ED34B6">
        <w:rPr>
          <w:rFonts w:ascii="Times New Roman" w:eastAsia="Aptos" w:hAnsi="Times New Roman"/>
          <w:lang w:bidi="ar-SA"/>
          <w14:ligatures w14:val="standardContextual"/>
        </w:rPr>
        <w:fldChar w:fldCharType="begin"/>
      </w:r>
      <w:r w:rsidR="00ED34B6" w:rsidRPr="00ED34B6">
        <w:rPr>
          <w:rFonts w:ascii="Times New Roman" w:eastAsia="Aptos" w:hAnsi="Times New Roman"/>
          <w:lang w:bidi="ar-SA"/>
          <w14:ligatures w14:val="standardContextual"/>
        </w:rPr>
        <w:instrText xml:space="preserve"> REF _Ref162377052 \h  \* MERGEFORMAT </w:instrText>
      </w:r>
      <w:r w:rsidR="00ED34B6" w:rsidRPr="00ED34B6">
        <w:rPr>
          <w:rFonts w:ascii="Times New Roman" w:eastAsia="Aptos" w:hAnsi="Times New Roman"/>
          <w:lang w:bidi="ar-SA"/>
          <w14:ligatures w14:val="standardContextual"/>
        </w:rPr>
      </w:r>
      <w:r w:rsidR="00ED34B6" w:rsidRPr="00ED34B6">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Figure </w:t>
      </w:r>
      <w:r w:rsidR="00B129D9" w:rsidRPr="00B129D9">
        <w:rPr>
          <w:rFonts w:ascii="Times New Roman" w:eastAsia="Aptos" w:hAnsi="Times New Roman"/>
          <w:noProof/>
          <w:lang w:bidi="ar-SA"/>
          <w14:ligatures w14:val="standardContextual"/>
        </w:rPr>
        <w:t>12</w:t>
      </w:r>
      <w:r w:rsidR="00ED34B6" w:rsidRPr="00ED34B6">
        <w:rPr>
          <w:rFonts w:ascii="Times New Roman" w:eastAsia="Aptos" w:hAnsi="Times New Roman"/>
          <w:lang w:bidi="ar-SA"/>
          <w14:ligatures w14:val="standardContextual"/>
        </w:rPr>
        <w:fldChar w:fldCharType="end"/>
      </w:r>
      <w:r w:rsidR="00F31F6C" w:rsidRPr="00ED34B6">
        <w:rPr>
          <w:rFonts w:ascii="Times New Roman" w:eastAsia="Aptos" w:hAnsi="Times New Roman"/>
          <w:lang w:bidi="ar-SA"/>
          <w14:ligatures w14:val="standardContextual"/>
        </w:rPr>
        <w:t>)</w:t>
      </w:r>
      <w:r w:rsidR="00ED34B6" w:rsidRPr="00ED34B6">
        <w:rPr>
          <w:rFonts w:ascii="Times New Roman" w:eastAsia="Aptos" w:hAnsi="Times New Roman"/>
          <w:lang w:bidi="ar-SA"/>
          <w14:ligatures w14:val="standardContextual"/>
        </w:rPr>
        <w:t>.</w:t>
      </w:r>
      <w:r w:rsidRPr="00103457">
        <w:rPr>
          <w:rFonts w:ascii="Times New Roman" w:eastAsia="Aptos" w:hAnsi="Times New Roman"/>
          <w:lang w:bidi="ar-SA"/>
          <w14:ligatures w14:val="standardContextual"/>
        </w:rPr>
        <w:t xml:space="preserve"> </w:t>
      </w:r>
    </w:p>
    <w:p w14:paraId="22CD3A0E" w14:textId="77777777" w:rsidR="00103457" w:rsidRPr="00103457" w:rsidRDefault="00103457" w:rsidP="00103457">
      <w:pPr>
        <w:spacing w:line="240" w:lineRule="auto"/>
        <w:ind w:left="360"/>
        <w:jc w:val="both"/>
        <w:rPr>
          <w:rFonts w:ascii="Times New Roman" w:eastAsia="Calibri" w:hAnsi="Times New Roman"/>
          <w:lang w:bidi="ar-SA"/>
        </w:rPr>
      </w:pPr>
      <w:r w:rsidRPr="00103457">
        <w:rPr>
          <w:rFonts w:ascii="Times New Roman" w:eastAsia="Aptos" w:hAnsi="Times New Roman"/>
          <w:lang w:bidi="ar-SA"/>
          <w14:ligatures w14:val="standardContextual"/>
        </w:rPr>
        <w:t>Land has been bequeathed to present generation by ancestors and for that matter, it is a family property which is only managed by whoever becomes the head of family. But there is also i</w:t>
      </w:r>
      <w:r w:rsidRPr="00103457">
        <w:rPr>
          <w:rFonts w:ascii="Times New Roman" w:eastAsia="Calibri" w:hAnsi="Times New Roman"/>
          <w:lang w:bidi="ar-SA"/>
        </w:rPr>
        <w:t>ntra-fighting among members of the same family over ancestral land. As a result of land Commission’s failure to share completed documents with landlords and greed among some family members, land is sold to multiple clients which creates embarrassment and may end up in the court (Landowner in Wa, June 9, 2023).</w:t>
      </w:r>
    </w:p>
    <w:p w14:paraId="3638FE7B" w14:textId="77777777" w:rsidR="00103457" w:rsidRPr="00103457" w:rsidRDefault="00103457" w:rsidP="00103457">
      <w:pPr>
        <w:spacing w:line="240" w:lineRule="auto"/>
        <w:ind w:left="720"/>
        <w:jc w:val="both"/>
        <w:rPr>
          <w:rFonts w:ascii="Times New Roman" w:eastAsia="Calibri" w:hAnsi="Times New Roman"/>
          <w:lang w:bidi="ar-SA"/>
        </w:rPr>
      </w:pPr>
    </w:p>
    <w:p w14:paraId="438794E4" w14:textId="634191F9" w:rsidR="00103457" w:rsidRPr="00103457" w:rsidRDefault="00103457" w:rsidP="00B72C9C">
      <w:pPr>
        <w:rPr>
          <w:rFonts w:ascii="Times New Roman" w:eastAsia="Calibri" w:hAnsi="Times New Roman"/>
          <w:lang w:bidi="ar-SA"/>
        </w:rPr>
      </w:pPr>
      <w:r w:rsidRPr="00103457">
        <w:rPr>
          <w:rFonts w:ascii="Times New Roman" w:eastAsia="Aptos" w:hAnsi="Times New Roman"/>
          <w:lang w:bidi="ar-SA"/>
          <w14:ligatures w14:val="standardContextual"/>
        </w:rPr>
        <w:t xml:space="preserve">This landowner’s observations regarding land tenure arrangement challenges are consistent across cities and most previous studies on urban development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{"citationID":"mQamH3u4","properties":{"formattedCitation":"(F. Agyemang et al., 2019; Akaateba et al., 2021)","plainCitation":"(F. Agyemang et al., 2019; Akaateba et al., 2021)","noteIndex":0},"citationItems":[{"id":485,"uris":["http://zotero.org/users/8906743/items/WFANKWUF"],"itemData":{"id":485,"type":"article-journal","archive_location":"WOS:000461265400003","container-title":"Habitat International","DOI":"10.1016/j.habitatint.2019.02.001","ISSN":"0197-3975","page":"21-33","title":"Understanding the urban spatial structure of Sub-Saharan African cities using the case of urban development patterns of a Ghanaian city-region","volume":"85","author":[{"family":"Agyemang","given":"FSK"},{"family":"Silva","given":"E"},{"family":"Poku-Boansi","given":"M"}],"issued":{"date-parts":[["2019",3]]}}},{"id":537,"uris":["http://zotero.org/users/8906743/items/XXALIE6D"],"itemData":{"id":537,"type":"article-journal","abstract":"A dual land administration system in Ghana necessitates the adoption of hybrid and locally adaptive planning practices. However, whilst the scholarly discourse on hybrid planning is burgeoning, its implications for sustainable urban devel­ opment are limited. Using qualitative case studies of data collected from inter­ views and focus group discussions with key stakeholders in Tamale and Techiman, this paper highlights the implications of hybrid planning for sustain­ able urban development. Although in tune with current proposals for collabora­ tive land use planning, hybrid planning practices in peri-urban areas are dominated by land-owning chiefs who finance land use planning activities, leading to a negotiated planning and land delivery system. This engenders urban sustainability challenges, including tenure insecurities, land speculation and urban sprawl and hinders the realisation of the Sustainable Development Goal 11. Thus, urban planners must re-examine current planning practices and leverage the New Urban Agenda to explore innovative ways of ensuring sustain­ able urban expansion.","container-title":"International Journal of Urban Sustainable Development","DOI":"10.1080/19463138.2021.1971990","ISSN":"1946-3138, 1946-3146","issue":"3","journalAbbreviation":"International Journal of Urban Sustainable Development","language":"en","page":"464-480","source":"DOI.org (Crossref)","title":"Chiefs, land professionals and hybrid planning in Tamale and Techiman, Ghana: Implications for sustainable urban development","title-short":"Chiefs, land professionals and hybrid planning in Tamale and Techiman, Ghana","URL":"https://www.tandfonline.com/doi/full/10.1080/19463138.2021.1971990","volume":"13","author":[{"family":"Akaateba","given":"Millicent Awialie"},{"family":"Ahmed","given":"Abubakari"},{"family":"Inkoom","given":"Daniel Kweku Baah"}],"accessed":{"date-parts":[["2022",2,21]]},"issued":{"date-parts":[["2021",9,2]]}}}],"schema":"https://github.com/citation-style-language/schema/raw/master/csl-citation.json"}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szCs w:val="22"/>
          <w:lang w:bidi="ar-SA"/>
          <w14:ligatures w14:val="standardContextual"/>
        </w:rPr>
        <w:t>(Agyemang et al., 2019; Akaateba et al., 2021)</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Despite contestations among and within landowners, customary landowners largely influence sprawl due to disorderly allocation, especially when managed by family heads. In contrast, statutory ownership, which includes lands owned and managed by the state, mostly encourages infill developments because of orderly land allocation and strict leasing agreements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{"citationID":"FFiZuKqk","properties":{"formattedCitation":"(P. I. Korah et al., 2019)","plainCitation":"(P. I. Korah et al., 2019)","dontUpdate":true,"noteIndex":0},"citationItems":[{"id":389,"uris":["http://zotero.org/users/8906743/items/9P3RP7Q7"],"itemData":{"id":389,"type":"article-journal","abstract":"Rapid urbanisation and globalisation are creating relentless spatial transformation across the globe. There is a growing interest in understanding and conceptualising the emergent and often contested spatial morphologies and typologies in cities as they mediate the competing demands of global and local forces. This paper examines spatial and temporal development patterns in a Sub-Saharan Africa context using Accra, the capital and rapidly growing city of Ghana, as case study and explores the emerging urban form. By classifying Landsat satellite images (1986–2017) and using landscape/spatial metrics to characterise Accra’s spatial development along four concentric rings, we find growing complexity and fragmented spatial growth patterns in Accra. Despite the spatial fragmentation, a Contiguity Index of 0.64, 0.49 and 0.56 for 1986, 2000, and 2017 respectively show that Accra’s urban form is not amorphous nor polycentric but monocentric. The study demonstrates that using landscape metrics to characterise spatial development patterns under buffer zones leads to better understanding of the temporal and changing form of the city under various conditions. We reflect on the implications of these findings for urban policy and planning in Accra and other similar Sub-Saharan African cities.","container-title":"Land Use Policy","DOI":"10.1016/j.landusepol.2019.104049","ISSN":"02648377","journalAbbreviation":"Land Use Policy","language":"en","page":"104049","source":"DOI.org (Crossref)","title":"Characterising spatial and temporal patterns of urban evolution in Sub-Saharan Africa: The case of Accra, Ghana","title-short":"Characterising spatial and temporal patterns of urban evolution in Sub-Saharan Africa","URL":"https://linkinghub.elsevier.com/retrieve/pii/S0264837719300389","volume":"87","author":[{"family":"Korah","given":"Prosper Issahaku"},{"family":"Matthews","given":"Tony"},{"family":"Tomerini","given":"Deanna"}],"accessed":{"date-parts":[["2022",2,9]]},"issued":{"date-parts":[["2019",9]]}}}],"schema":"https://github.com/citation-style-language/schema/raw/master/csl-citation.json"}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(Korah et al., 2019)</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w:t>
      </w:r>
    </w:p>
    <w:p w14:paraId="4367D15C" w14:textId="77777777" w:rsidR="00103457" w:rsidRPr="00103457" w:rsidRDefault="00103457" w:rsidP="00103457">
      <w:pPr>
        <w:spacing w:line="240" w:lineRule="auto"/>
        <w:ind w:firstLine="360"/>
        <w:jc w:val="both"/>
        <w:rPr>
          <w:rFonts w:ascii="Times New Roman" w:eastAsia="Aptos" w:hAnsi="Times New Roman"/>
          <w:lang w:bidi="ar-SA"/>
          <w14:ligatures w14:val="standardContextual"/>
        </w:rPr>
      </w:pPr>
    </w:p>
    <w:p w14:paraId="00D78ACC" w14:textId="1D68CDC5" w:rsidR="00103457" w:rsidRPr="00103457" w:rsidRDefault="00103457" w:rsidP="00277F12">
      <w:pPr>
        <w:pStyle w:val="Heading3"/>
        <w:rPr>
          <w:rFonts w:eastAsia="Times New Roman"/>
          <w:color w:val="0D0D0D"/>
        </w:rPr>
      </w:pPr>
      <w:bookmarkStart w:id="115" w:name="_Toc172288739"/>
      <w:r w:rsidRPr="00103457">
        <w:t>Nature of neighborhoods</w:t>
      </w:r>
      <w:bookmarkEnd w:id="115"/>
    </w:p>
    <w:p w14:paraId="67F45573" w14:textId="3B343F06" w:rsid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Most urban residents highlight the need for serene, secure, and spacious neighborhoods. Consistent with previous studies, congestion and frequent crimes characterize city centers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{"citationID":"UOYtdvBv","properties":{"formattedCitation":"(Yiran et al., 2020)","plainCitation":"(Yiran et al., 2020)","noteIndex":0},"citationItems":[{"id":59,"uris":["http://zotero.org/users/8906743/items/862CHWJC"],"itemData":{"id":59,"type":"article-journal","abstract":"Urban sprawl has gained popularity in academic discourse in recent times, but the majority of the research was conducted in developed countries. There is a marginal body of works on the character and nature of urban sprawl in Sub-Saharan Africa (SSA), although the region is experiencing one of the fastest rates of sprawl. Urbanisation in SSA is very rapid, and in addition to the emerging challenges of globalisation, climate change and poverty, SSA cities have an enormous task to manage urban sprawl. This paper reviews the literature on urban sprawl in SSA to identify research gaps and propose a research agenda. Published articles from five Anglophone countries in three of the four regional blocks in SSA were selected. The literature was organised into the causes and effects of urban sprawl and showed that the previous research on the subject focused mainly on its environmental impacts. Few studies have looked at the effects of sprawl on rural livelihoods, agriculture and food security considering the challenges of global climate change and poverty. Other studies have used Remote Sensing and Geographic Information Systems, but these were conducted largely for change detection. The paper recommends the deployment of a more comprehensive methodology incorporating remote sensing/GIS with ethnographic methods to capture better the complexity and impacts of urban sprawl in SSA. Additionally, further research attention must be paid to the effects of urban sprawl on rural livelihoods and overall sprawl-induced agrarian change.","container-title":"Ghana Journal of Geography","DOI":"10.4314/gjg.v12i1.1","ISSN":"0855-9414","issue":"1","journalAbbreviation":"Ghana J. Geography","language":"en","page":"1-28","source":"DOI.org (Crossref)","title":"Urban Sprawl in sub-Saharan Africa: A review of the literature in selected countries","title-short":"Urban Sprawl in sub-Saharan Africa","URL":"https://www.ajol.info/index.php/gjg/article/view/198012","volume":"12","author":[{"family":"Yiran","given":"Gerald Albert Baeribameng"},{"family":"Ablo","given":"Austin Dziwornu"},{"family":"Asem","given":"Freda Elikplim"},{"family":"Owusu","given":"George"}],"accessed":{"date-parts":[["2022",2,4]]},"issued":{"date-parts":[["2020",7,25]]}},"label":"page"}],"schema":"https://github.com/citation-style-language/schema/raw/master/csl-citation.json"}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(Yiran et al., 2020)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and these issues are more evident in primary than secondary cities. Also, some residents decide to live in certain neighborhoods regardless of noise and crime rates due to cultural reasons, with some preferring to stay close to their families and unwilling to leave their ancestral homes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{"citationID":"lCEgkOtH","properties":{"formattedCitation":"(Razzu, 2005)","plainCitation":"(Razzu, 2005)","noteIndex":0},"citationItems":[{"id":337,"uris":["http://zotero.org/users/8906743/items/9FKCKNL5"],"itemData":{"id":337,"type":"article-journal","abstract":"There is a complex relationship between cultural heritage and poverty. This relationship is particularly evident in the depletion of historical centers. In addition, when considered along with the impact of the intertwined forces of urbanization and modernization, it may result in the dangerous threatening of the cultural tracts, social structure and urban patterns of the poor living in historical centers. All this seems to have happened in old Accra, the historical center of the capital city of Ghana. The paper tries to analyze this complex relationship as it is manifested in Ga Mashie and its impacts on the poor indigenous population. It also suggests some policy recommendations, in particular, the fact that urban redevelopment projects of dilapidated historical districts have to genuinely consider the delicate and peculiar environment in which they are based. The financial elements of the intervention, for instance, might have to be differentiated from the typical ones used in peripheral slum upgrading projects, opening new rooms for a substantial redistribution of wealth.","container-title":"Habitat International","DOI":"10.1016/j.habitatint.2003.12.002","ISSN":"0197-3975","issue":"3","journalAbbreviation":"Habitat International","language":"en","page":"399-419","source":"ScienceDirect","title":"Urban redevelopment, cultural heritage, poverty and redistribution: the case of Old Accra and Adawso House","title-short":"Urban redevelopment, cultural heritage, poverty and redistribution","URL":"https://www.sciencedirect.com/science/article/pii/S0197397503001188","volume":"29","author":[{"family":"Razzu","given":"Giovanni"}],"accessed":{"date-parts":[["2022",8,24]]},"issued":{"date-parts":[["2005",9,1]]}},"label":"page"}],"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(Razzu, 2005)</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Most residents prefer to relocate to serene and peri-urban areas for privacy purposes when their economic circumstances improve. However, migrants are more likely to rent or develop in the peripheral neighborhoods due to weaker social bonds than indigenous residents. Also, noise and crime rates are important considerations before renting and </w:t>
      </w:r>
      <w:r w:rsidRPr="00103457">
        <w:rPr>
          <w:rFonts w:ascii="Times New Roman" w:eastAsia="Aptos" w:hAnsi="Times New Roman"/>
          <w:lang w:bidi="ar-SA"/>
          <w14:ligatures w14:val="standardContextual"/>
        </w:rPr>
        <w:lastRenderedPageBreak/>
        <w:t>developing, with most participants emphasizing their preference for sprawl locations where crime rates are generally lower</w:t>
      </w:r>
      <w:r w:rsidR="001A4A4E">
        <w:rPr>
          <w:rFonts w:ascii="Times New Roman" w:eastAsia="Aptos" w:hAnsi="Times New Roman"/>
          <w:lang w:bidi="ar-SA"/>
          <w14:ligatures w14:val="standardContextual"/>
        </w:rPr>
        <w:t xml:space="preserve"> (</w:t>
      </w:r>
      <w:r w:rsidR="001A4A4E" w:rsidRPr="001A4A4E">
        <w:rPr>
          <w:rFonts w:ascii="Times New Roman" w:eastAsia="Aptos" w:hAnsi="Times New Roman"/>
          <w:lang w:bidi="ar-SA"/>
          <w14:ligatures w14:val="standardContextual"/>
        </w:rPr>
        <w:fldChar w:fldCharType="begin"/>
      </w:r>
      <w:r w:rsidR="001A4A4E" w:rsidRPr="001A4A4E">
        <w:rPr>
          <w:rFonts w:ascii="Times New Roman" w:eastAsia="Aptos" w:hAnsi="Times New Roman"/>
          <w:lang w:bidi="ar-SA"/>
          <w14:ligatures w14:val="standardContextual"/>
        </w:rPr>
        <w:instrText xml:space="preserve"> REF _Ref169889808 \h  \* MERGEFORMAT </w:instrText>
      </w:r>
      <w:r w:rsidR="001A4A4E" w:rsidRPr="001A4A4E">
        <w:rPr>
          <w:rFonts w:ascii="Times New Roman" w:eastAsia="Aptos" w:hAnsi="Times New Roman"/>
          <w:lang w:bidi="ar-SA"/>
          <w14:ligatures w14:val="standardContextual"/>
        </w:rPr>
      </w:r>
      <w:r w:rsidR="001A4A4E" w:rsidRPr="001A4A4E">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7</w:t>
      </w:r>
      <w:r w:rsidR="001A4A4E" w:rsidRPr="001A4A4E">
        <w:rPr>
          <w:rFonts w:ascii="Times New Roman" w:eastAsia="Aptos" w:hAnsi="Times New Roman"/>
          <w:lang w:bidi="ar-SA"/>
          <w14:ligatures w14:val="standardContextual"/>
        </w:rPr>
        <w:fldChar w:fldCharType="end"/>
      </w:r>
      <w:r w:rsidR="001A4A4E" w:rsidRPr="001A4A4E">
        <w:rPr>
          <w:rFonts w:ascii="Times New Roman" w:eastAsia="Aptos" w:hAnsi="Times New Roman"/>
          <w:lang w:bidi="ar-SA"/>
          <w14:ligatures w14:val="standardContextual"/>
        </w:rPr>
        <w:t>).</w:t>
      </w:r>
      <w:r w:rsidRPr="00103457">
        <w:rPr>
          <w:rFonts w:ascii="Times New Roman" w:eastAsia="Aptos" w:hAnsi="Times New Roman"/>
          <w:lang w:bidi="ar-SA"/>
          <w14:ligatures w14:val="standardContextual"/>
        </w:rPr>
        <w:t xml:space="preserve"> Relocating to the periphery occurs more often in secondary cities, mostly because </w:t>
      </w:r>
      <w:r w:rsidRPr="00103457">
        <w:rPr>
          <w:rFonts w:eastAsia="Aptos" w:cstheme="minorHAnsi"/>
          <w:lang w:bidi="ar-SA"/>
          <w14:ligatures w14:val="standardContextual"/>
        </w:rPr>
        <w:t>housing costs are low, residents spend less time and cost to access services, and as a consequence there is more development in the periphery of secondary cities than in primary cities.</w:t>
      </w:r>
      <w:r w:rsidRPr="00103457">
        <w:rPr>
          <w:rFonts w:ascii="Times New Roman" w:eastAsia="Aptos" w:hAnsi="Times New Roman"/>
          <w:lang w:bidi="ar-SA"/>
          <w14:ligatures w14:val="standardContextual"/>
        </w:rPr>
        <w:t xml:space="preserve"> This probably explains why secondary cities have a higher sprawl-to-infill ratio than primary cities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REF _Ref162376623 \h  \* MERGEFORMAT </w:instrText>
      </w:r>
      <w:r w:rsidRPr="00103457">
        <w:rPr>
          <w:rFonts w:ascii="Times New Roman" w:eastAsia="Aptos" w:hAnsi="Times New Roman"/>
          <w:lang w:bidi="ar-SA"/>
          <w14:ligatures w14:val="standardContextual"/>
        </w:rPr>
      </w:r>
      <w:r w:rsidRPr="00103457">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Figure </w:t>
      </w:r>
      <w:r w:rsidR="00B129D9" w:rsidRPr="00B129D9">
        <w:rPr>
          <w:rFonts w:ascii="Times New Roman" w:eastAsia="Aptos" w:hAnsi="Times New Roman"/>
          <w:noProof/>
          <w:lang w:bidi="ar-SA"/>
          <w14:ligatures w14:val="standardContextual"/>
        </w:rPr>
        <w:t>10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w:t>
      </w:r>
    </w:p>
    <w:p w14:paraId="0C58A36C" w14:textId="77777777" w:rsidR="00C2706D" w:rsidRPr="00103457" w:rsidRDefault="00C2706D" w:rsidP="00B72C9C">
      <w:pPr>
        <w:spacing w:line="240" w:lineRule="auto"/>
        <w:ind w:firstLine="360"/>
        <w:rPr>
          <w:rFonts w:ascii="Times New Roman" w:eastAsia="Aptos" w:hAnsi="Times New Roman"/>
          <w:lang w:bidi="ar-SA"/>
          <w14:ligatures w14:val="standardContextual"/>
        </w:rPr>
      </w:pPr>
    </w:p>
    <w:p w14:paraId="5D8D9192" w14:textId="5F7895BA" w:rsidR="00103457" w:rsidRPr="00103457" w:rsidRDefault="00103457" w:rsidP="00277F12">
      <w:pPr>
        <w:pStyle w:val="Heading3"/>
        <w:rPr>
          <w:rFonts w:eastAsia="Times New Roman"/>
          <w:color w:val="0D0D0D"/>
        </w:rPr>
      </w:pPr>
      <w:bookmarkStart w:id="116" w:name="_Toc172288740"/>
      <w:r w:rsidRPr="00103457">
        <w:t>Speculation and expectations</w:t>
      </w:r>
      <w:bookmarkEnd w:id="116"/>
    </w:p>
    <w:p w14:paraId="1B166CAD" w14:textId="6B542A65"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Globally, real estate has been the safest investment since the 2007/2008 financial crisis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{"citationID":"LnknZJjF","properties":{"formattedCitation":"(Goodfellow, 2017; Yeboah et al., 2020)","plainCitation":"(Goodfellow, 2017; Yeboah et al., 2020)","noteIndex":0},"citationItems":[{"id":162,"uris":["http://zotero.org/users/8906743/items/ZKKHWZN9"],"itemData":{"id":162,"type":"article-journal","abstract":"In many parts of Africa, societies that remain primarily rural are experiencing accelerated urban growth and highly visible booms in property development. In the absence of signiﬁcant industrialization, investment is pouring directly into what Lefebvre and Harvey characterized as the ‘secondary circuit’ of capital. Debates about the drivers of investment in real estate are longstanding in relation to the global North, but have given little consideration to low-income and late-urbanizing countries in Africa. Yet such contexts offer important opportunities to reﬂect on existing theory. Focusing on Kigali and Addis Ababa (both transformed virtually beyond recognition over the past two decades), this article explores the drivers and consequences of investment in urban real estate in countries striving to structurally transform their economies. It argues that a range of formal and informal incentives and constraints have led to high-end real estate being viewed as the ‘safest bet’ for those with resources to invest, even where demand is limited and governments are promoting other kinds of investment. While some people are reaping urban fortunes in largely untaxed rents, much of the construction is purely speculative, creating landscapes of unused and underused high-end properties in contexts where investment is desperately needed elsewhere.","container-title":"International Journal of Urban and Regional Research","DOI":"10.1111/1468-2427.12550","ISSN":"03091317","issue":"5","journalAbbreviation":"Int. J. Urban Reg. Res.","language":"en","page":"786-803","source":"DOI.org (Crossref)","title":"Urban Fortunes and Skeleton Cityscapes: Real Estate and Late Urbanization in Kigali and Addis Ababa","title-short":"Urban Fortunes and Skeleton Cityscapes","URL":"http://doi.wiley.com/10.1111/1468-2427.12550","volume":"41","author":[{"family":"Goodfellow","given":"Tom"}],"accessed":{"date-parts":[["2019",5,1]]},"issued":{"date-parts":[["2017",9]]}}},{"id":350,"uris":["http://zotero.org/users/8906743/items/WBJKUQ9V"],"itemData":{"id":350,"type":"article-journal","container-title":"African Geographical Review","DOI":"10.1080/19376812.2020.1755323","ISSN":"1937-6812, 2163-2642","issue":"1","journalAbbreviation":"African Geographical Review","language":"en","page":"19-32","source":"DOI.org (Crossref)","title":"‘World Trade Center, Accra’: production of urban space for the continued peripheral linkage of Ghana under globalization","title-short":"‘World Trade Center, Accra’","URL":"https://www.tandfonline.com/doi/full/10.1080/19376812.2020.1755323","volume":"40","author":[{"family":"Yeboah","given":"Ian E. A."},{"family":"Maingi","given":"John K."},{"family":"Arku","given":"Godwin"}],"accessed":{"date-parts":[["2022",8,23]]},"issued":{"date-parts":[["2020"]]}}}],"schema":"https://github.com/citation-style-language/schema/raw/master/csl-citation.json"}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(Goodfellow, 2017; Yeboah et al., 2020)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The real estate sector has continued to boom, especially in low-income countries, with African cities considered the new frontier of global real estate investment, where both local individuals and foreign developers converge to develop urban landscapes in ways mirroring property development in high-income countries. Due to the potential for profit, speculative developments emerging in anticipation of profit or extension of electricity, water and roads are more likely located in the periphery than in the city center in primary and secondary cities. The availability of land influences speculative developments, with some landowners holding on to lands in anticipation of land value increases; this means developers tend to look beyond such lands, potentially resulting in sprawl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REF _Ref162377052 \h  \* MERGEFORMAT </w:instrText>
      </w:r>
      <w:r w:rsidRPr="00103457">
        <w:rPr>
          <w:rFonts w:ascii="Times New Roman" w:eastAsia="Aptos" w:hAnsi="Times New Roman"/>
          <w:lang w:bidi="ar-SA"/>
          <w14:ligatures w14:val="standardContextual"/>
        </w:rPr>
      </w:r>
      <w:r w:rsidRPr="00103457">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Figure </w:t>
      </w:r>
      <w:r w:rsidR="00B129D9" w:rsidRPr="00B129D9">
        <w:rPr>
          <w:rFonts w:ascii="Times New Roman" w:eastAsia="Aptos" w:hAnsi="Times New Roman"/>
          <w:noProof/>
          <w:lang w:bidi="ar-SA"/>
          <w14:ligatures w14:val="standardContextual"/>
        </w:rPr>
        <w:t>12</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Since land for real estate developments is already scarce in primary cities, the speculative developments influencing sprawl expansion appear to happen faster in secondary cities.</w:t>
      </w:r>
    </w:p>
    <w:p w14:paraId="2AE31726" w14:textId="05EA1ADC" w:rsidR="00C2706D"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The profitability of multi-purpose or single-use developments varies in the short- and long-run, potentially influencing sprawl and infill patterns (Interview, Official of Ghana Real Estate Developers Association, June 3, 2023). Currently, developers find single-use housing more profitable in the short-run than multi-purpose housing; however, they expect this to change in the </w:t>
      </w:r>
      <w:r w:rsidRPr="00103457">
        <w:rPr>
          <w:rFonts w:ascii="Times New Roman" w:eastAsia="Aptos" w:hAnsi="Times New Roman"/>
          <w:lang w:bidi="ar-SA"/>
          <w14:ligatures w14:val="standardContextual"/>
        </w:rPr>
        <w:lastRenderedPageBreak/>
        <w:t>long run due to population increase and rising income levels</w:t>
      </w:r>
      <w:r w:rsidR="001A4A4E">
        <w:rPr>
          <w:rFonts w:ascii="Times New Roman" w:eastAsia="Aptos" w:hAnsi="Times New Roman"/>
          <w:lang w:bidi="ar-SA"/>
          <w14:ligatures w14:val="standardContextual"/>
        </w:rPr>
        <w:t xml:space="preserve"> </w:t>
      </w:r>
      <w:r w:rsidR="001A4A4E" w:rsidRPr="001A4A4E">
        <w:rPr>
          <w:rFonts w:ascii="Times New Roman" w:eastAsia="Aptos" w:hAnsi="Times New Roman"/>
          <w:lang w:bidi="ar-SA"/>
          <w14:ligatures w14:val="standardContextual"/>
        </w:rPr>
        <w:t>(</w:t>
      </w:r>
      <w:r w:rsidR="001A4A4E" w:rsidRPr="001A4A4E">
        <w:rPr>
          <w:rFonts w:ascii="Times New Roman" w:eastAsia="Aptos" w:hAnsi="Times New Roman"/>
          <w:lang w:bidi="ar-SA"/>
          <w14:ligatures w14:val="standardContextual"/>
        </w:rPr>
        <w:fldChar w:fldCharType="begin"/>
      </w:r>
      <w:r w:rsidR="001A4A4E" w:rsidRPr="001A4A4E">
        <w:rPr>
          <w:rFonts w:ascii="Times New Roman" w:eastAsia="Aptos" w:hAnsi="Times New Roman"/>
          <w:lang w:bidi="ar-SA"/>
          <w14:ligatures w14:val="standardContextual"/>
        </w:rPr>
        <w:instrText xml:space="preserve"> REF _Ref169889808 \h  \* MERGEFORMAT </w:instrText>
      </w:r>
      <w:r w:rsidR="001A4A4E" w:rsidRPr="001A4A4E">
        <w:rPr>
          <w:rFonts w:ascii="Times New Roman" w:eastAsia="Aptos" w:hAnsi="Times New Roman"/>
          <w:lang w:bidi="ar-SA"/>
          <w14:ligatures w14:val="standardContextual"/>
        </w:rPr>
      </w:r>
      <w:r w:rsidR="001A4A4E" w:rsidRPr="001A4A4E">
        <w:rPr>
          <w:rFonts w:ascii="Times New Roman" w:eastAsia="Aptos" w:hAnsi="Times New Roman"/>
          <w:lang w:bidi="ar-SA"/>
          <w14:ligatures w14:val="standardContextual"/>
        </w:rPr>
        <w:fldChar w:fldCharType="separate"/>
      </w:r>
      <w:r w:rsidR="00B129D9" w:rsidRPr="00B129D9">
        <w:rPr>
          <w:rFonts w:ascii="Times New Roman" w:eastAsia="Aptos" w:hAnsi="Times New Roman"/>
          <w:lang w:bidi="ar-SA"/>
          <w14:ligatures w14:val="standardContextual"/>
        </w:rPr>
        <w:t xml:space="preserve">Table </w:t>
      </w:r>
      <w:r w:rsidR="00B129D9" w:rsidRPr="00B129D9">
        <w:rPr>
          <w:rFonts w:ascii="Times New Roman" w:eastAsia="Aptos" w:hAnsi="Times New Roman"/>
          <w:noProof/>
          <w:lang w:bidi="ar-SA"/>
          <w14:ligatures w14:val="standardContextual"/>
        </w:rPr>
        <w:t>7</w:t>
      </w:r>
      <w:r w:rsidR="001A4A4E" w:rsidRPr="001A4A4E">
        <w:rPr>
          <w:rFonts w:ascii="Times New Roman" w:eastAsia="Aptos" w:hAnsi="Times New Roman"/>
          <w:lang w:bidi="ar-SA"/>
          <w14:ligatures w14:val="standardContextual"/>
        </w:rPr>
        <w:fldChar w:fldCharType="end"/>
      </w:r>
      <w:r w:rsidR="001A4A4E" w:rsidRPr="001A4A4E">
        <w:rPr>
          <w:rFonts w:ascii="Times New Roman" w:eastAsia="Aptos" w:hAnsi="Times New Roman"/>
          <w:lang w:bidi="ar-SA"/>
          <w14:ligatures w14:val="standardContextual"/>
        </w:rPr>
        <w:t>).</w:t>
      </w:r>
      <w:r w:rsidRPr="001A4A4E">
        <w:rPr>
          <w:rFonts w:ascii="Times New Roman" w:eastAsia="Aptos" w:hAnsi="Times New Roman"/>
          <w:lang w:bidi="ar-SA"/>
          <w14:ligatures w14:val="standardContextual"/>
        </w:rPr>
        <w:t xml:space="preserve"> </w:t>
      </w:r>
      <w:r w:rsidRPr="00103457">
        <w:rPr>
          <w:rFonts w:ascii="Times New Roman" w:eastAsia="Aptos" w:hAnsi="Times New Roman"/>
          <w:lang w:bidi="ar-SA"/>
          <w14:ligatures w14:val="standardContextual"/>
        </w:rPr>
        <w:t>The generally lower rates of infill and sprawl expansions in primary cities are likely due to developers expecting future increase in demand for multi-purpose housing, which takes more time and costs more to build. In contrast, single-use housing costs less to construct, with immediate returns from rent, especially in secondary cities (Interview, Developer, Tamale, June 16, 2023).</w:t>
      </w:r>
    </w:p>
    <w:p w14:paraId="4653EC22" w14:textId="22CCEE6A" w:rsidR="00103457" w:rsidRPr="00103457" w:rsidRDefault="00103457" w:rsidP="00B72C9C">
      <w:pPr>
        <w:spacing w:line="240" w:lineRule="auto"/>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 </w:t>
      </w:r>
    </w:p>
    <w:p w14:paraId="5C4C17F8" w14:textId="0FCF76F5" w:rsidR="00103457" w:rsidRPr="00103457" w:rsidRDefault="00103457" w:rsidP="00277F12">
      <w:pPr>
        <w:pStyle w:val="Heading3"/>
        <w:rPr>
          <w:bCs/>
        </w:rPr>
      </w:pPr>
      <w:r w:rsidRPr="00103457">
        <w:t xml:space="preserve"> </w:t>
      </w:r>
      <w:bookmarkStart w:id="117" w:name="_Toc172288741"/>
      <w:r w:rsidRPr="00103457">
        <w:t xml:space="preserve">Actors involved in urban </w:t>
      </w:r>
      <w:bookmarkStart w:id="118" w:name="_Int_lh2eW7Mj"/>
      <w:r w:rsidRPr="00103457">
        <w:t>development</w:t>
      </w:r>
      <w:bookmarkEnd w:id="117"/>
      <w:bookmarkEnd w:id="118"/>
    </w:p>
    <w:p w14:paraId="6E407C01" w14:textId="77777777"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A complex set of relations and uneven power dynamics among and within diverse actors contribute to the nature of urban expansion in cities. Stakeholders aim to develop land in particular ways in cities, resulting in conflicting rationalities and uneven urban landscapes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{"citationID":"DCLTvCtk","properties":{"formattedCitation":"(F\\uc0\\u228{}lt, 2016; P. I. Korah et al., 2019)","plainCitation":"(Fält, 2016; P. I. Korah et al., 2019)","dontUpdate":true,"noteIndex":0},"citationItems":[{"id":598,"uris":["http://zotero.org/users/8906743/items/M4HKEQ9R"],"itemData":{"id":598,"type":"article-journal","abstract":"Recent studies indicate that market-driven logics increasingly inform the governing of African cities. This paper explores this claim by analysing the spatial rationalities at work in the struggle over urban space in Accra, Ghana. Based on an in-depth case study of a state-led displacement of a marginalised informal settlement in central Accra that took place in September 2014, the paper demonstrates that the on-going urban transformation of this city must be understood as an outcome of multiple spatial rationalities rooted in the local urban history but also influenced by globally circulating urban ideals. While a market-driven rationality is clearly present in the state’s justification of the eviction, also ‘generative’ and ‘dispositional’ rationalities are used to legitimise this urban intervention. The paper further illustrates the conflicting rationalities between the state and the urban poor, emphasising how the former residents of the displaced settlement perceive of their former home as a place of opportunities in terms of livelihood strategies, sociability and affordable housing in contrast to the state’s problematisation of the area.","container-title":"Urban Forum","DOI":"10.1007/s12132-016-9294-8","ISSN":"1015-3802, 1874-6330","issue":"4","journalAbbreviation":"Urban Forum","language":"en","page":"465-486","source":"DOI.org (Crossref)","title":"From Shacks to Skyscrapers: Multiple Spatial Rationalities and Urban Transformation in Accra, Ghana","title-short":"From Shacks to Skyscrapers","URL":"http://link.springer.com/10.1007/s12132-016-9294-8","volume":"27","author":[{"family":"Fält","given":"Lena"}],"accessed":{"date-parts":[["2020",4,12]]},"issued":{"date-parts":[["2016",12]]}}},{"id":389,"uris":["http://zotero.org/users/8906743/items/9P3RP7Q7"],"itemData":{"id":389,"type":"article-journal","abstract":"Rapid urbanisation and globalisation are creating relentless spatial transformation across the globe. There is a growing interest in understanding and conceptualising the emergent and often contested spatial morphologies and typologies in cities as they mediate the competing demands of global and local forces. This paper examines spatial and temporal development patterns in a Sub-Saharan Africa context using Accra, the capital and rapidly growing city of Ghana, as case study and explores the emerging urban form. By classifying Landsat satellite images (1986–2017) and using landscape/spatial metrics to characterise Accra’s spatial development along four concentric rings, we find growing complexity and fragmented spatial growth patterns in Accra. Despite the spatial fragmentation, a Contiguity Index of 0.64, 0.49 and 0.56 for 1986, 2000, and 2017 respectively show that Accra’s urban form is not amorphous nor polycentric but monocentric. The study demonstrates that using landscape metrics to characterise spatial development patterns under buffer zones leads to better understanding of the temporal and changing form of the city under various conditions. We reflect on the implications of these findings for urban policy and planning in Accra and other similar Sub-Saharan African cities.","container-title":"Land Use Policy","DOI":"10.1016/j.landusepol.2019.104049","ISSN":"02648377","journalAbbreviation":"Land Use Policy","language":"en","page":"104049","source":"DOI.org (Crossref)","title":"Characterising spatial and temporal patterns of urban evolution in Sub-Saharan Africa: The case of Accra, Ghana","title-short":"Characterising spatial and temporal patterns of urban evolution in Sub-Saharan Africa","URL":"https://linkinghub.elsevier.com/retrieve/pii/S0264837719300389","volume":"87","author":[{"family":"Korah","given":"Prosper Issahaku"},{"family":"Matthews","given":"Tony"},{"family":"Tomerini","given":"Deanna"}],"accessed":{"date-parts":[["2022",2,9]]},"issued":{"date-parts":[["2019",9]]}}}],"schema":"https://github.com/citation-style-language/schema/raw/master/csl-citation.json"}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(Fält, 2016; Korah et al., 2019)</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Urban population growth naturally increases demand for housing, and most residents aim for more affordable housing options that are secure in terms of crime and tenure, with access to basic services and infrastructure. The preferences of residents with the economic power and resources to navigate the everyday challenges in African cities drive housing demand in locations that suit them. Most urban residents are more vulnerable with far limited choices; instead of following preference, they locate in certain neighborhood based on their cultural ties, entrenched poverty and unequal access to land. </w:t>
      </w:r>
    </w:p>
    <w:p w14:paraId="3AE21651" w14:textId="77777777"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Most customary landowners mentioned economic hardships and support for their children’s education as potential motivation for leasing lands. In particular, family heads prefer to lease lands to elite and individuals with capital to develop immediately after lease. In addition, unregulated land markets result in many vulnerable residents being deprived of land access because they are often outcompeted by political elite, diasporans and multinational corporations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{"citationID":"w8X06IOX","properties":{"formattedCitation":"(Boone et al., 2014)","plainCitation":"(Boone et al., 2014)","noteIndex":0},"citationItems":[{"id":75,"uris":["http://zotero.org/users/8906743/items/AYP7I4RN",["http://zotero.org/users/8906743/items/AYP7I4RN"]],"itemData":{"id":75,"type":"chapter","abstract":"Current systems to classify land are insufﬁcient, as is the delineation of Earth’s surface into discrete categories of land covers and uses, because they ignore the multiple functions that land provides and the movement of people, materials, information, and energy they facilitate. To address sustainability challenges related to urban lifestyles, livelihoods, connectivity, and places, new conceptualizations are needed which have the potential to acknowledge and redeﬁne the extent, intensity, and quality of urbanness on Earth. This chapter proposes a framework which focuses on people and institutions as agents of change and examines changes in urban lifestyles and livelihoods over larger regions, regardless of whether an area is delineated as “urban” or “rural.” It views urbanization and the urban era to be an integrated system and provides a multivariable approach to urbanity. It discusses a new land ethic and highlights challenges that exist to facilitate a sustainability transition.","container-title":"Rethinking Global Land Use in an Urban Era","ISBN":"978-0-262-02690-1","language":"en","note":"DOI: 10.7551/mitpress/9780262026901.003.0016","page":"313-330","publisher":"The MIT Press","source":"DOI.org (Crossref)","title":"Reconceptualizing Land for Sustainable Urbanity","URL":"http://mitpress.universitypressscholarship.com/view/10.7551/mitpress/9780262026901.001.0001/upso-9780262026901-chapter-16","editor":[{"family":"Seto","given":"Karen C."},{"family":"Reenberg","given":"Anette"}],"author":[{"family":"Boone","given":"Christopher G."},{"family":"Redman","given":"Charles L."},{"family":"Blanco","given":"Hilda"},{"family":"Haase","given":"Dagmar"},{"family":"Koch","given":"Jennifer"},{"family":"Lwasa","given":"Shuaib"},{"family":"Nagendra","given":"Harini"},{"family":"Pauleit","given":"Stephan"},{"family":"Pickett","given":"Steward T. A."},{"family":"Seto","given":"Karen C."},{"family":"Yokohari","given":"Makoto"}],"accessed":{"date-parts":[["2022",2,27]]},"issued":{"date-parts":[["2014",3,31]]}}}],"schema":"https://github.com/citation-style-language/schema/raw/master/csl-citation.json"}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(Boone et al., 2014)</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Additionally, statutory land ownership can deprive the vulnerable of land </w:t>
      </w:r>
      <w:r w:rsidRPr="00103457">
        <w:rPr>
          <w:rFonts w:ascii="Times New Roman" w:eastAsia="Aptos" w:hAnsi="Times New Roman"/>
          <w:lang w:bidi="ar-SA"/>
          <w14:ligatures w14:val="standardContextual"/>
        </w:rPr>
        <w:lastRenderedPageBreak/>
        <w:t>access in city centers of primary cities because the state mostly partners with private real estate developers to repurpose eminent domain lands. As one landowner observes:</w:t>
      </w:r>
    </w:p>
    <w:p w14:paraId="3A461CAF" w14:textId="77777777" w:rsidR="00103457" w:rsidRPr="00103457" w:rsidRDefault="00103457" w:rsidP="00103457">
      <w:pPr>
        <w:spacing w:line="240" w:lineRule="auto"/>
        <w:ind w:left="360"/>
        <w:jc w:val="both"/>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In the city center, land demand is very high because one can engage in several business opportunities, and the politicians have the money to purchase such lands at any price. So, if the client can afford it, we proceed with the lease (Landowner, Techiman, June 21, 2023).</w:t>
      </w:r>
    </w:p>
    <w:p w14:paraId="2EC737C6" w14:textId="77777777" w:rsidR="00103457" w:rsidRPr="00103457" w:rsidRDefault="00103457" w:rsidP="00103457">
      <w:pPr>
        <w:spacing w:line="240" w:lineRule="auto"/>
        <w:ind w:left="360"/>
        <w:jc w:val="both"/>
        <w:rPr>
          <w:rFonts w:ascii="Times New Roman" w:eastAsia="Aptos" w:hAnsi="Times New Roman"/>
          <w:lang w:bidi="ar-SA"/>
          <w14:ligatures w14:val="standardContextual"/>
        </w:rPr>
      </w:pPr>
    </w:p>
    <w:p w14:paraId="2BB3645F" w14:textId="77777777" w:rsidR="00103457" w:rsidRPr="00103457" w:rsidRDefault="00103457" w:rsidP="00B72C9C">
      <w:pPr>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Thus, land allocation to populations with economic power to acquire and develop housing most likely increases urban expansion across cities. However, preferential allocation of lands to clients was lower in the periphery, probably due to less competition.</w:t>
      </w:r>
    </w:p>
    <w:p w14:paraId="1C1E6841" w14:textId="77777777"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Real estate developments have continued to increase with globalization and neoliberal activities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{"citationID":"sS6AAntE","properties":{"formattedCitation":"(Goodfellow, 2017; Watson, 2014)","plainCitation":"(Goodfellow, 2017; Watson, 2014)","noteIndex":0},"citationItems":[{"id":162,"uris":["http://zotero.org/users/8906743/items/ZKKHWZN9"],"itemData":{"id":162,"type":"article-journal","abstract":"In many parts of Africa, societies that remain primarily rural are experiencing accelerated urban growth and highly visible booms in property development. In the absence of signiﬁcant industrialization, investment is pouring directly into what Lefebvre and Harvey characterized as the ‘secondary circuit’ of capital. Debates about the drivers of investment in real estate are longstanding in relation to the global North, but have given little consideration to low-income and late-urbanizing countries in Africa. Yet such contexts offer important opportunities to reﬂect on existing theory. Focusing on Kigali and Addis Ababa (both transformed virtually beyond recognition over the past two decades), this article explores the drivers and consequences of investment in urban real estate in countries striving to structurally transform their economies. It argues that a range of formal and informal incentives and constraints have led to high-end real estate being viewed as the ‘safest bet’ for those with resources to invest, even where demand is limited and governments are promoting other kinds of investment. While some people are reaping urban fortunes in largely untaxed rents, much of the construction is purely speculative, creating landscapes of unused and underused high-end properties in contexts where investment is desperately needed elsewhere.","container-title":"International Journal of Urban and Regional Research","DOI":"10.1111/1468-2427.12550","ISSN":"03091317","issue":"5","journalAbbreviation":"Int. J. Urban Reg. Res.","language":"en","page":"786-803","source":"DOI.org (Crossref)","title":"Urban Fortunes and Skeleton Cityscapes: Real Estate and Late Urbanization in Kigali and Addis Ababa","title-short":"Urban Fortunes and Skeleton Cityscapes","URL":"http://doi.wiley.com/10.1111/1468-2427.12550","volume":"41","author":[{"family":"Goodfellow","given":"Tom"}],"accessed":{"date-parts":[["2019",5,1]]},"issued":{"date-parts":[["2017",9]]}}},{"id":630,"uris":["http://zotero.org/users/8906743/items/U224KXSW"],"itemData":{"id":630,"type":"article-journal","abstract":"Labelled as the “last frontier” for international property development, sub-Saharan Africa’s larger cities are currently being revisioned in the image of cities such as Dubai, Shanghai and Singapore, which claim top positions in the world-class city leagues. Draped in the rhetoric of “smart cities” and “eco-cities”, these plans promise to modernize African cities and turn them into gateways for international investors and showpieces for ambitious politicians. Yet the reality in all of these cities stands in stark contrast to the glass-box towers, manicured lawns and water features on developers’ and architects’ websites. With the majority of urban populations living in deep poverty and with minimal urban services, the most likely outcome of these fantasy plans is a steady worsening of the marginalization and inequalities that already beset these cities.","container-title":"Environment and Urbanization","DOI":"10.1177/0956247813513705","ISSN":"0956-2478, 1746-0301","issue":"1","journalAbbreviation":"Environment and Urbanization","language":"en","page":"215-231","source":"DOI.org (Crossref)","title":"African urban fantasies: dreams or nightmares?","title-short":"African urban fantasies","URL":"http://journals.sagepub.com/doi/10.1177/0956247813513705","volume":"26","author":[{"family":"Watson","given":"Vanessa"}],"accessed":{"date-parts":[["2020",4,12]]},"issued":{"date-parts":[["2014",4]]}}}],"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(Goodfellow, 2017; Watson, 2014)</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Optimism about Africa's urban future and its potential for capital accumulation has inspired state authorities to partner with high-end real estate developers to manage, plan, and invest in housing in ways that convey Africa is modernizing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{"citationID":"HoYIDo3p","properties":{"formattedCitation":"(Watson, 2014)","plainCitation":"(Watson, 2014)","noteIndex":0},"citationItems":[{"id":630,"uris":["http://zotero.org/users/8906743/items/U224KXSW"],"itemData":{"id":630,"type":"article-journal","abstract":"Labelled as the “last frontier” for international property development, sub-Saharan Africa’s larger cities are currently being revisioned in the image of cities such as Dubai, Shanghai and Singapore, which claim top positions in the world-class city leagues. Draped in the rhetoric of “smart cities” and “eco-cities”, these plans promise to modernize African cities and turn them into gateways for international investors and showpieces for ambitious politicians. Yet the reality in all of these cities stands in stark contrast to the glass-box towers, manicured lawns and water features on developers’ and architects’ websites. With the majority of urban populations living in deep poverty and with minimal urban services, the most likely outcome of these fantasy plans is a steady worsening of the marginalization and inequalities that already beset these cities.","container-title":"Environment and Urbanization","DOI":"10.1177/0956247813513705","ISSN":"0956-2478, 1746-0301","issue":"1","journalAbbreviation":"Environment and Urbanization","language":"en","page":"215-231","source":"DOI.org (Crossref)","title":"African urban fantasies: dreams or nightmares?","title-short":"African urban fantasies","URL":"http://journals.sagepub.com/doi/10.1177/0956247813513705","volume":"26","author":[{"family":"Watson","given":"Vanessa"}],"accessed":{"date-parts":[["2020",4,12]]},"issued":{"date-parts":[["2014",4]]}}}],"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(Watson, 2014)</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Interviews with real estate developers show that developments, especially in primary cities, consisted of mostly high-end hotels in city centers and residential hostels at the periphery. Although real estate activities potentially increase expansion in cities, most of the housing is largely for profit, targeting the rich and rising middle-income class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{"citationID":"TOeDoMwX","properties":{"formattedCitation":"(Goodfellow, 2017)","plainCitation":"(Goodfellow, 2017)","noteIndex":0},"citationItems":[{"id":162,"uris":["http://zotero.org/users/8906743/items/ZKKHWZN9"],"itemData":{"id":162,"type":"article-journal","abstract":"In many parts of Africa, societies that remain primarily rural are experiencing accelerated urban growth and highly visible booms in property development. In the absence of signiﬁcant industrialization, investment is pouring directly into what Lefebvre and Harvey characterized as the ‘secondary circuit’ of capital. Debates about the drivers of investment in real estate are longstanding in relation to the global North, but have given little consideration to low-income and late-urbanizing countries in Africa. Yet such contexts offer important opportunities to reﬂect on existing theory. Focusing on Kigali and Addis Ababa (both transformed virtually beyond recognition over the past two decades), this article explores the drivers and consequences of investment in urban real estate in countries striving to structurally transform their economies. It argues that a range of formal and informal incentives and constraints have led to high-end real estate being viewed as the ‘safest bet’ for those with resources to invest, even where demand is limited and governments are promoting other kinds of investment. While some people are reaping urban fortunes in largely untaxed rents, much of the construction is purely speculative, creating landscapes of unused and underused high-end properties in contexts where investment is desperately needed elsewhere.","container-title":"International Journal of Urban and Regional Research","DOI":"10.1111/1468-2427.12550","ISSN":"03091317","issue":"5","journalAbbreviation":"Int. J. Urban Reg. Res.","language":"en","page":"786-803","source":"DOI.org (Crossref)","title":"Urban Fortunes and Skeleton Cityscapes: Real Estate and Late Urbanization in Kigali and Addis Ababa","title-short":"Urban Fortunes and Skeleton Cityscapes","URL":"http://doi.wiley.com/10.1111/1468-2427.12550","volume":"41","author":[{"family":"Goodfellow","given":"Tom"}],"accessed":{"date-parts":[["2019",5,1]]},"issued":{"date-parts":[["2017",9]]}}}],"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(Goodfellow, 2017)</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Also, private-public partnerships in real estate development play a considerable role in housing and tenure rights deprivation, especially in primary cities, where eminent domain lands are often repurposed for profit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{"citationID":"fSuucKsQ","properties":{"formattedCitation":"(A. Korah, 2020)","plainCitation":"(A. Korah, 2020)","dontUpdate":true,"noteIndex":0},"citationItems":[{"id":1933,"uris":["http://zotero.org/users/8906743/items/SSSHMC48"],"itemData":{"id":1933,"type":"thesis","event-place":"Oxford, Ohio","genre":"Master's thesis","language":"en","publisher":"Miami University","publisher-place":"Oxford, Ohio","source":"etd.ohiolink.edu","title":"Frontier Urbanization and Affirmative Action in Urban Ghana: A Case of Airport City, Accra","title-short":"Frontier Urbanization and Affirmative Action in Urban Ghana","URL":"https://etd.ohiolink.edu/acprod/odb_etd/etd/r/1501/10?clear=10&amp;p10_accession_num=miami1595878309570218","author":[{"family":"Korah","given":"Andrews"}],"accessed":{"date-parts":[["2024",2,7]]},"issued":{"date-parts":[["2020"]]}}}],"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(Korah, 2020)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Real estate developers dictate the type of development to invest in, given current land conversion cost and expectations of profitability. Major real estate development activities were focused on primary cities mostly due to the higher potential for long-run investment returns from rent compared to secondary cities, where short-run benefits of developments are high.</w:t>
      </w:r>
    </w:p>
    <w:p w14:paraId="559253FD" w14:textId="77777777" w:rsidR="00103457" w:rsidRPr="00103457" w:rsidRDefault="00103457" w:rsidP="00103457">
      <w:pPr>
        <w:spacing w:line="240" w:lineRule="auto"/>
        <w:ind w:left="360"/>
        <w:jc w:val="both"/>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For us [real estate developers], the aim is to ensure that all Ghanaians have access to housing of their choice and the opportunity to realize the dream of home ownership. We believe that </w:t>
      </w:r>
      <w:r w:rsidRPr="00103457">
        <w:rPr>
          <w:rFonts w:ascii="Times New Roman" w:eastAsia="Aptos" w:hAnsi="Times New Roman"/>
          <w:lang w:bidi="ar-SA"/>
          <w14:ligatures w14:val="standardContextual"/>
        </w:rPr>
        <w:lastRenderedPageBreak/>
        <w:t>every family, no matter how poor, has the right to a basic structure that can protect them from the elements. So, we often operate as entrepreneurs in an open and competitive environment (Ghana Real Estate Developers Association, Accra, July 03, 2023).</w:t>
      </w:r>
    </w:p>
    <w:p w14:paraId="69ACEA99" w14:textId="77777777" w:rsidR="00103457" w:rsidRPr="00103457" w:rsidRDefault="00103457" w:rsidP="00103457">
      <w:pPr>
        <w:spacing w:line="240" w:lineRule="auto"/>
        <w:ind w:left="360"/>
        <w:jc w:val="both"/>
        <w:rPr>
          <w:rFonts w:ascii="Times New Roman" w:eastAsia="Aptos" w:hAnsi="Times New Roman"/>
          <w:lang w:bidi="ar-SA"/>
          <w14:ligatures w14:val="standardContextual"/>
        </w:rPr>
      </w:pPr>
    </w:p>
    <w:p w14:paraId="29B0D9AF" w14:textId="77777777" w:rsidR="00103457" w:rsidRPr="00103457" w:rsidRDefault="00103457" w:rsidP="00B72C9C">
      <w:pPr>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Although this observation aligns with what urban participants said about their desire to own a home, the activities of most real estate developers likely create unequal access to housing since they operate in a competitive market, largely motivated by profit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{"citationID":"gLxsgsmx","properties":{"formattedCitation":"(Goodfellow, 2017; A. Korah, 2020)","plainCitation":"(Goodfellow, 2017; A. Korah, 2020)","dontUpdate":true,"noteIndex":0},"citationItems":[{"id":162,"uris":["http://zotero.org/users/8906743/items/ZKKHWZN9"],"itemData":{"id":162,"type":"article-journal","abstract":"In many parts of Africa, societies that remain primarily rural are experiencing accelerated urban growth and highly visible booms in property development. In the absence of signiﬁcant industrialization, investment is pouring directly into what Lefebvre and Harvey characterized as the ‘secondary circuit’ of capital. Debates about the drivers of investment in real estate are longstanding in relation to the global North, but have given little consideration to low-income and late-urbanizing countries in Africa. Yet such contexts offer important opportunities to reﬂect on existing theory. Focusing on Kigali and Addis Ababa (both transformed virtually beyond recognition over the past two decades), this article explores the drivers and consequences of investment in urban real estate in countries striving to structurally transform their economies. It argues that a range of formal and informal incentives and constraints have led to high-end real estate being viewed as the ‘safest bet’ for those with resources to invest, even where demand is limited and governments are promoting other kinds of investment. While some people are reaping urban fortunes in largely untaxed rents, much of the construction is purely speculative, creating landscapes of unused and underused high-end properties in contexts where investment is desperately needed elsewhere.","container-title":"International Journal of Urban and Regional Research","DOI":"10.1111/1468-2427.12550","ISSN":"03091317","issue":"5","journalAbbreviation":"Int. J. Urban Reg. Res.","language":"en","page":"786-803","source":"DOI.org (Crossref)","title":"Urban Fortunes and Skeleton Cityscapes: Real Estate and Late Urbanization in Kigali and Addis Ababa","title-short":"Urban Fortunes and Skeleton Cityscapes","URL":"http://doi.wiley.com/10.1111/1468-2427.12550","volume":"41","author":[{"family":"Goodfellow","given":"Tom"}],"accessed":{"date-parts":[["2019",5,1]]},"issued":{"date-parts":[["2017",9]]}}},{"id":1933,"uris":["http://zotero.org/users/8906743/items/SSSHMC48"],"itemData":{"id":1933,"type":"thesis","event-place":"Oxford, Ohio","genre":"Master's thesis","language":"en","publisher":"Miami University","publisher-place":"Oxford, Ohio","source":"etd.ohiolink.edu","title":"Frontier Urbanization and Affirmative Action in Urban Ghana: A Case of Airport City, Accra","title-short":"Frontier Urbanization and Affirmative Action in Urban Ghana","URL":"https://etd.ohiolink.edu/acprod/odb_etd/etd/r/1501/10?clear=10&amp;p10_accession_num=miami1595878309570218","author":[{"family":"Korah","given":"Andrews"}],"accessed":{"date-parts":[["2024",2,7]]},"issued":{"date-parts":[["2020"]]}}}],"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(Goodfellow, 2017; Korah, 2020)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w:t>
      </w:r>
    </w:p>
    <w:p w14:paraId="009BC9D9" w14:textId="77777777" w:rsidR="00103457" w:rsidRPr="00103457" w:rsidRDefault="00103457" w:rsidP="00B72C9C">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Planners are largely responsible for controlling and managing the physical expansion of cities. Yet building without permits is a norm in Ghana, resulting in haphazard developments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{"citationID":"xrg2s8Nz","properties":{"formattedCitation":"(P. I. Korah et al., 2019)","plainCitation":"(P. I. Korah et al., 2019)","dontUpdate":true,"noteIndex":0},"citationItems":[{"id":389,"uris":["http://zotero.org/users/8906743/items/9P3RP7Q7"],"itemData":{"id":389,"type":"article-journal","abstract":"Rapid urbanisation and globalisation are creating relentless spatial transformation across the globe. There is a growing interest in understanding and conceptualising the emergent and often contested spatial morphologies and typologies in cities as they mediate the competing demands of global and local forces. This paper examines spatial and temporal development patterns in a Sub-Saharan Africa context using Accra, the capital and rapidly growing city of Ghana, as case study and explores the emerging urban form. By classifying Landsat satellite images (1986–2017) and using landscape/spatial metrics to characterise Accra’s spatial development along four concentric rings, we find growing complexity and fragmented spatial growth patterns in Accra. Despite the spatial fragmentation, a Contiguity Index of 0.64, 0.49 and 0.56 for 1986, 2000, and 2017 respectively show that Accra’s urban form is not amorphous nor polycentric but monocentric. The study demonstrates that using landscape metrics to characterise spatial development patterns under buffer zones leads to better understanding of the temporal and changing form of the city under various conditions. We reflect on the implications of these findings for urban policy and planning in Accra and other similar Sub-Saharan African cities.","container-title":"Land Use Policy","DOI":"10.1016/j.landusepol.2019.104049","ISSN":"02648377","journalAbbreviation":"Land Use Policy","language":"en","page":"104049","source":"DOI.org (Crossref)","title":"Characterising spatial and temporal patterns of urban evolution in Sub-Saharan Africa: The case of Accra, Ghana","title-short":"Characterising spatial and temporal patterns of urban evolution in Sub-Saharan Africa","URL":"https://linkinghub.elsevier.com/retrieve/pii/S0264837719300389","volume":"87","author":[{"family":"Korah","given":"Prosper Issahaku"},{"family":"Matthews","given":"Tony"},{"family":"Tomerini","given":"Deanna"}],"accessed":{"date-parts":[["2022",2,9]]},"issued":{"date-parts":[["2019",9]]}}}],"schema":"https://github.com/citation-style-language/schema/raw/master/csl-citation.json"}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(Korah et al., 2019)</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In addition, land litigation among and within statutory and customary landowners is common, making it difficult for planners to enforce planning and zoning schemes in contested lands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{"citationID":"jUB4qAGm","properties":{"formattedCitation":"(Akaateba et al., 2021)","plainCitation":"(Akaateba et al., 2021)","noteIndex":0},"citationItems":[{"id":537,"uris":["http://zotero.org/users/8906743/items/XXALIE6D"],"itemData":{"id":537,"type":"article-journal","abstract":"A dual land administration system in Ghana necessitates the adoption of hybrid and locally adaptive planning practices. However, whilst the scholarly discourse on hybrid planning is burgeoning, its implications for sustainable urban devel­ opment are limited. Using qualitative case studies of data collected from inter­ views and focus group discussions with key stakeholders in Tamale and Techiman, this paper highlights the implications of hybrid planning for sustain­ able urban development. Although in tune with current proposals for collabora­ tive land use planning, hybrid planning practices in peri-urban areas are dominated by land-owning chiefs who finance land use planning activities, leading to a negotiated planning and land delivery system. This engenders urban sustainability challenges, including tenure insecurities, land speculation and urban sprawl and hinders the realisation of the Sustainable Development Goal 11. Thus, urban planners must re-examine current planning practices and leverage the New Urban Agenda to explore innovative ways of ensuring sustain­ able urban expansion.","container-title":"International Journal of Urban Sustainable Development","DOI":"10.1080/19463138.2021.1971990","ISSN":"1946-3138, 1946-3146","issue":"3","journalAbbreviation":"International Journal of Urban Sustainable Development","language":"en","page":"464-480","source":"DOI.org (Crossref)","title":"Chiefs, land professionals and hybrid planning in Tamale and Techiman, Ghana: Implications for sustainable urban development","title-short":"Chiefs, land professionals and hybrid planning in Tamale and Techiman, Ghana","URL":"https://www.tandfonline.com/doi/full/10.1080/19463138.2021.1971990","volume":"13","author":[{"family":"Akaateba","given":"Millicent Awialie"},{"family":"Ahmed","given":"Abubakari"},{"family":"Inkoom","given":"Daniel Kweku Baah"}],"accessed":{"date-parts":[["2022",2,21]]},"issued":{"date-parts":[["2021",9,2]]}}}],"schema":"https://github.com/citation-style-language/schema/raw/master/csl-citation.json"}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(Akaateba et al., 2021)</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This is mostly influenced by chiefs (powerful landowners) and the political elite, who are very influential in decision-making and resource allocation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{"citationID":"G7nN8jdN","properties":{"formattedCitation":"(Anane &amp; Cobbinah, 2022)","plainCitation":"(Anane &amp; Cobbinah, 2022)","noteIndex":0},"citationItems":[{"id":87,"uris":["http://zotero.org/users/8906743/items/V8PEW32P"],"itemData":{"id":87,"type":"article-journal","abstract":"This paper compares everyday land administration systems and local planning practices involving traditional authorities and local statutory planning officials in the transformation of peri-urban areas in Ghana. First, it analyses the processes and conflicts in local plan preparation for peri-urban transformation. Second, it examines the power relations between traditional authorities and statutory planning officials in peri-urban land use planning. It uses a qualitative research design involving in-depth interviews and secondary data analysis, and a comparative case studies of Abuakwa and Adomako peri-urban communities in Ghanaian cities of Kumasi and Sunyani respectively. Findings show that conflicting rationalities and power relations between formal and customary land use planning are likely to occur when one stakeholder significantly overshadows the role of the other. In Abuakwa, the dominance of traditional authorities in land use planning has rendered statutory planning agencies ineffective. Similarly, the overemphasis on Lands Commission’s role in land use planning activities in the Adomako case is producing conflicting rationalities both within and between statutory planning and tradi­ tional authorities. This paper argues that when roles are not defined in hybridized land use planning and management system, it is the peri-urban areas experiencing rapid transformation that suffer from haphazard, unplanned and non-inclusive development.","container-title":"Habitat International","DOI":"10.1016/j.habitatint.2021.102497","ISSN":"01973975","journalAbbreviation":"Habitat International","language":"en","page":"102497","source":"DOI.org (Crossref)","title":"Everyday politics of land use planning in peri-urbanisation","URL":"https://linkinghub.elsevier.com/retrieve/pii/S0197397521001867","volume":"120","author":[{"family":"Anane","given":"George Kwadwo"},{"family":"Cobbinah","given":"Patrick Brandful"}],"accessed":{"date-parts":[["2022",1,30]]},"issued":{"date-parts":[["2022",2]]}}}],"schema":"https://github.com/citation-style-language/schema/raw/master/csl-citation.json"}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(Anane &amp; Cobbinah, 2022)</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Also, overnight developments by some low-income residents compound planning challenges because planners have limited resources and logistics to control unplanned expansion. In Ghanaian cities, such expansion sometimes encroaches on lands earmarked for public parks, flood-prone zones, and forest reserves; however, the planning institutions are unable to acquire and preserve such lands. Chiefs influence planning in infill and sprawl areas in primary and secondary cities. Yet, political influence and overnight development are mostly found in the centers of primary cities. </w:t>
      </w:r>
    </w:p>
    <w:p w14:paraId="739B30F1" w14:textId="77777777" w:rsidR="00103457" w:rsidRPr="00103457" w:rsidRDefault="00103457" w:rsidP="00177810">
      <w:pPr>
        <w:spacing w:line="240" w:lineRule="auto"/>
        <w:ind w:left="360"/>
        <w:jc w:val="both"/>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In Accra, planners face many challenges, including land ligations that may threaten officers' lives [while they are] intending to collect data and plan. Also, the high cost of base maps from the Lands Commission and Survey departments makes accessing detailed information about an area difficult. There is a lack of political will from the district assemblies to commit financial resources because they want to see a return on their investment. Unfortunately, physical planning is not a priority. Planning involves teamwork, but most districts lack competent planning officials (Planner, LUSPA, Accra, June 4, 2023).</w:t>
      </w:r>
    </w:p>
    <w:p w14:paraId="23B186B7" w14:textId="77777777" w:rsidR="00103457" w:rsidRPr="00103457" w:rsidRDefault="00103457" w:rsidP="00103457">
      <w:pPr>
        <w:spacing w:line="240" w:lineRule="auto"/>
        <w:ind w:left="360"/>
        <w:jc w:val="both"/>
        <w:rPr>
          <w:rFonts w:ascii="Times New Roman" w:eastAsia="Aptos" w:hAnsi="Times New Roman"/>
          <w:lang w:bidi="ar-SA"/>
          <w14:ligatures w14:val="standardContextual"/>
        </w:rPr>
      </w:pPr>
    </w:p>
    <w:p w14:paraId="6C89CE8E" w14:textId="77777777" w:rsidR="00103457" w:rsidRDefault="00103457" w:rsidP="00B72C9C">
      <w:pPr>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lastRenderedPageBreak/>
        <w:t xml:space="preserve">This planner’s observation corroborates previous studies on the challenges of spatial planning in Ghana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{"citationID":"JGe0z56C","properties":{"formattedCitation":"(Akaateba et al., 2021; Cobbinah et al., 2020)","plainCitation":"(Akaateba et al., 2021; Cobbinah et al., 2020)","noteIndex":0},"citationItems":[{"id":537,"uris":["http://zotero.org/users/8906743/items/XXALIE6D"],"itemData":{"id":537,"type":"article-journal","abstract":"A dual land administration system in Ghana necessitates the adoption of hybrid and locally adaptive planning practices. However, whilst the scholarly discourse on hybrid planning is burgeoning, its implications for sustainable urban devel­ opment are limited. Using qualitative case studies of data collected from inter­ views and focus group discussions with key stakeholders in Tamale and Techiman, this paper highlights the implications of hybrid planning for sustain­ able urban development. Although in tune with current proposals for collabora­ tive land use planning, hybrid planning practices in peri-urban areas are dominated by land-owning chiefs who finance land use planning activities, leading to a negotiated planning and land delivery system. This engenders urban sustainability challenges, including tenure insecurities, land speculation and urban sprawl and hinders the realisation of the Sustainable Development Goal 11. Thus, urban planners must re-examine current planning practices and leverage the New Urban Agenda to explore innovative ways of ensuring sustain­ able urban expansion.","container-title":"International Journal of Urban Sustainable Development","DOI":"10.1080/19463138.2021.1971990","ISSN":"1946-3138, 1946-3146","issue":"3","journalAbbreviation":"International Journal of Urban Sustainable Development","language":"en","page":"464-480","source":"DOI.org (Crossref)","title":"Chiefs, land professionals and hybrid planning in Tamale and Techiman, Ghana: Implications for sustainable urban development","title-short":"Chiefs, land professionals and hybrid planning in Tamale and Techiman, Ghana","URL":"https://www.tandfonline.com/doi/full/10.1080/19463138.2021.1971990","volume":"13","author":[{"family":"Akaateba","given":"Millicent Awialie"},{"family":"Ahmed","given":"Abubakari"},{"family":"Inkoom","given":"Daniel Kweku Baah"}],"accessed":{"date-parts":[["2022",2,21]]},"issued":{"date-parts":[["2021",9,2]]}}},{"id":388,"uris":["http://zotero.org/users/8906743/items/UKAG4UMG"],"itemData":{"id":388,"type":"article-journal","abstract":"Global literature reporting on land governance indicates considerable differences between land ownership and land administration. Yet, in many Sub-Saharan African countries, particularly Ghana, this relationship is blurred in complex land governance regimes. An understanding of this relationship in Ghana’s customary land sector –the dominant land ownership type – is critical in advancing urban land use planning and promoting effective urban management in this era of rapid urbanisation across Africa. Unfortunately, little is known about this relationship in the context of land use planning. Using Kumasi, a rapidly growing city in Ghana as a case study, the purpose of this paper is threefold: (i) to discuss the relationship between customary land ownership and administration in the context of land use planning, (ii) to explore institutional perspectives on sustainable land use planning; and (iii) to examine the implications of customary land ownership and administration on sus­ tainable land use planning. Using a review of relevant land use planning documents on Ghana, and interviews with four urban planning agencies and four customary land owners (chiefs/traditional leaders) in Kumasi, findings indicate a demonstration of an unclear nature of legislative planning framework and a lack of focus on customary land ownership and administration system in urban land use planning. Despite planning laws (e.g., zoning guidelines) emphasising separation of ownership from administration, findings indicate no distinction between customary land ownership and land administration as the traditional leaders (the owners) administer the land via determination of land uses, arbitration of land disputes, and location determination of important community infrastructure and services. Evidence of repetitive and cumbersome nature of land administration by traditional owners and government planning agencies, weak agency framework and coordination challenges has contributed to limited progress of sustainable land use planning in the city.","container-title":"Land Use Policy","DOI":"10.1016/j.landusepol.2020.105054","ISSN":"02648377","journalAbbreviation":"Land Use Policy","language":"en","page":"105054","source":"DOI.org (Crossref)","title":"Urban land use planning in Ghana: Navigating complex coalescence of land ownership and administration","title-short":"Urban land use planning in Ghana","URL":"https://linkinghub.elsevier.com/retrieve/pii/S0264837719320034","volume":"99","author":[{"family":"Cobbinah","given":"Patrick Brandful"},{"family":"Asibey","given":"Michael Osei"},{"family":"Gyedu-Pensang","given":"Yaa Asuamah"}],"accessed":{"date-parts":[["2022",2,9]]},"issued":{"date-parts":[["2020",12]]}}}],"schema":"https://github.com/citation-style-language/schema/raw/master/csl-citation.json"}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lang w:bidi="ar-SA"/>
          <w14:ligatures w14:val="standardContextual"/>
        </w:rPr>
        <w:t>(Akaateba et al., 2021; Cobbinah et al., 2020)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Managing and controlling expansion requires collaborative effort; however, most planning institutions receive limited support from district assemblies, making it difficult to hire planners and purchase logistics needed to enforce planning regulations. Interviewed planners reveal that most planning institutions have one physical planner instead of a minimum of four, especially in secondary cities. </w:t>
      </w:r>
    </w:p>
    <w:p w14:paraId="6EE26CD7" w14:textId="77777777" w:rsidR="00111D45" w:rsidRPr="00103457" w:rsidRDefault="00111D45" w:rsidP="00B72C9C">
      <w:pPr>
        <w:rPr>
          <w:rFonts w:ascii="Times New Roman" w:eastAsia="Aptos" w:hAnsi="Times New Roman"/>
          <w:lang w:bidi="ar-SA"/>
          <w14:ligatures w14:val="standardContextual"/>
        </w:rPr>
      </w:pPr>
    </w:p>
    <w:p w14:paraId="30137283" w14:textId="77777777" w:rsidR="00103457" w:rsidRPr="00103457" w:rsidRDefault="00103457" w:rsidP="00B72C9C">
      <w:pPr>
        <w:pStyle w:val="Heading2"/>
        <w:rPr>
          <w:i/>
        </w:rPr>
      </w:pPr>
      <w:bookmarkStart w:id="119" w:name="_Toc172288742"/>
      <w:r w:rsidRPr="00103457">
        <w:t>Policy Implication and Recommendation</w:t>
      </w:r>
      <w:bookmarkEnd w:id="119"/>
    </w:p>
    <w:p w14:paraId="751CEAD2" w14:textId="77777777" w:rsidR="00103457" w:rsidRPr="00103457" w:rsidRDefault="00103457" w:rsidP="00B72C9C">
      <w:pPr>
        <w:ind w:firstLine="360"/>
        <w:rPr>
          <w:rFonts w:ascii="Times New Roman" w:eastAsia="Aptos" w:hAnsi="Times New Roman"/>
          <w:bCs/>
          <w:color w:val="0D0D0D"/>
          <w:lang w:bidi="ar-SA"/>
          <w14:ligatures w14:val="standardContextual"/>
        </w:rPr>
      </w:pPr>
      <w:r w:rsidRPr="00103457">
        <w:rPr>
          <w:rFonts w:ascii="Times New Roman" w:eastAsia="Aptos" w:hAnsi="Times New Roman"/>
          <w:bCs/>
          <w:color w:val="0D0D0D"/>
          <w:lang w:bidi="ar-SA"/>
          <w14:ligatures w14:val="standardContextual"/>
        </w:rPr>
        <w:t xml:space="preserve">Our study demonstrates that most urban expansion was sprawl, meaning new developments could rapidly deplete cropland lands and sensitive ecological zones, especially in secondary cities. Also, infill expansions tend to encroach on public spaces and flood-prone areas where land cost is generally cheaper, likely increasing flood risk among vulnerable populations. City governments can help planning departments acquire and preserve protected areas and lands prone to flooding. City authorities can also implement localized proactive policies, including high land and property taxes that can potentially reduce unplanned developments. Increases in infill and sprawl expansion likely reflect improved infrastructure and economic growth in cities </w:t>
      </w:r>
      <w:r w:rsidRPr="00103457">
        <w:rPr>
          <w:rFonts w:ascii="Times New Roman" w:eastAsia="Aptos" w:hAnsi="Times New Roman"/>
          <w:bCs/>
          <w:color w:val="0D0D0D"/>
          <w:lang w:bidi="ar-SA"/>
          <w14:ligatures w14:val="standardContextual"/>
        </w:rPr>
        <w:fldChar w:fldCharType="begin"/>
      </w:r>
      <w:r w:rsidRPr="00103457">
        <w:rPr>
          <w:rFonts w:ascii="Times New Roman" w:eastAsia="Aptos" w:hAnsi="Times New Roman"/>
          <w:bCs/>
          <w:color w:val="0D0D0D"/>
          <w:lang w:bidi="ar-SA"/>
          <w14:ligatures w14:val="standardContextual"/>
        </w:rPr>
        <w:instrText xml:space="preserve"> ADDIN ZOTERO_ITEM CSL_CITATION {"citationID":"b3xmmgSQ","properties":{"formattedCitation":"(Mahtta et al., 2022)","plainCitation":"(Mahtta et al., 2022)","noteIndex":0},"citationItems":[{"id":282,"uris":["http://zotero.org/users/8906743/items/94K43WA7"],"itemData":{"id":282,"type":"article-journal","abstract":"Abstract\n            Global urban populations are projected to increase by 2.5 billion over the next 30 years. Yet, there is limited understanding of how this growth will affect urban land expansion (ULE). Here, we develop a large-scale study to test explicitly the relative importance of urban population and Gross Domestic Product (GDP) growth in affecting ULE for different regions, economic development levels and governance types for 300+ cities. Our results show that population growth, more than GDP, is consistently the dominant determinant of ULE during 1970–2014. However, the effect of GDP growth on ULE increases in importance after 2000. In countries with strong governance, economic growth contributes more to ULE than population growth. We find that urban population growth and ULE are correlated but this relationship varies for countries at different developmental stages. Lastly, this study illustrates that good governance is a necessary condition for economic growth to affect ULE.","container-title":"npj Urban Sustainability","DOI":"10.1038/s42949-022-00048-y","ISSN":"2661-8001","issue":"1","journalAbbreviation":"npj Urban Sustain","language":"en","page":"5","source":"DOI.org (Crossref)","title":"Urban land expansion: the role of population and economic growth for 300+ cities","title-short":"Urban land expansion","URL":"https://www.nature.com/articles/s42949-022-00048-y","volume":"2","author":[{"family":"Mahtta","given":"Richa"},{"family":"Fragkias","given":"Michail"},{"family":"Güneralp","given":"Burak"},{"family":"Mahendra","given":"Anjali"},{"family":"Reba","given":"Meredith"},{"family":"Wentz","given":"Elizabeth A."},{"family":"Seto","given":"Karen C."}],"accessed":{"date-parts":[["2022",10,2]]},"issued":{"date-parts":[["2022",12]]}}}],"schema":"https://github.com/citation-style-language/schema/raw/master/csl-citation.json"} </w:instrText>
      </w:r>
      <w:r w:rsidRPr="00103457">
        <w:rPr>
          <w:rFonts w:ascii="Times New Roman" w:eastAsia="Aptos" w:hAnsi="Times New Roman"/>
          <w:bCs/>
          <w:color w:val="0D0D0D"/>
          <w:lang w:bidi="ar-SA"/>
          <w14:ligatures w14:val="standardContextual"/>
        </w:rPr>
        <w:fldChar w:fldCharType="separate"/>
      </w:r>
      <w:r w:rsidRPr="00103457">
        <w:rPr>
          <w:rFonts w:ascii="Times New Roman" w:eastAsia="Aptos" w:hAnsi="Times New Roman"/>
          <w:lang w:bidi="ar-SA"/>
          <w14:ligatures w14:val="standardContextual"/>
        </w:rPr>
        <w:t>(Mahtta et al., 2022)</w:t>
      </w:r>
      <w:r w:rsidRPr="00103457">
        <w:rPr>
          <w:rFonts w:ascii="Times New Roman" w:eastAsia="Aptos" w:hAnsi="Times New Roman"/>
          <w:bCs/>
          <w:color w:val="0D0D0D"/>
          <w:lang w:bidi="ar-SA"/>
          <w14:ligatures w14:val="standardContextual"/>
        </w:rPr>
        <w:fldChar w:fldCharType="end"/>
      </w:r>
      <w:r w:rsidRPr="00103457">
        <w:rPr>
          <w:rFonts w:ascii="Times New Roman" w:eastAsia="Aptos" w:hAnsi="Times New Roman"/>
          <w:bCs/>
          <w:color w:val="0D0D0D"/>
          <w:lang w:bidi="ar-SA"/>
          <w14:ligatures w14:val="standardContextual"/>
        </w:rPr>
        <w:t>. Therefore, decision-makers need to leverage the opportunities associated with expansion while minimizing the social and environmental impacts. Also, factors influencing urban expansion vary within and across primary and secondary cities. Such context-specific understanding of urban expansion means regulatory policies need to consider the unique dynamics of cities because taxes, subsidies, and penalties to control expansion may work differently across cities.</w:t>
      </w:r>
    </w:p>
    <w:p w14:paraId="71697552" w14:textId="77777777" w:rsidR="00103457" w:rsidRDefault="00103457" w:rsidP="00B72C9C">
      <w:pPr>
        <w:ind w:firstLine="360"/>
        <w:rPr>
          <w:rFonts w:ascii="Times New Roman" w:eastAsia="Aptos" w:hAnsi="Times New Roman"/>
          <w:bCs/>
          <w:color w:val="0D0D0D"/>
          <w:lang w:bidi="ar-SA"/>
          <w14:ligatures w14:val="standardContextual"/>
        </w:rPr>
      </w:pPr>
      <w:r w:rsidRPr="00103457">
        <w:rPr>
          <w:rFonts w:ascii="Times New Roman" w:eastAsia="Aptos" w:hAnsi="Times New Roman"/>
          <w:bCs/>
          <w:color w:val="0D0D0D"/>
          <w:lang w:bidi="ar-SA"/>
          <w14:ligatures w14:val="standardContextual"/>
        </w:rPr>
        <w:lastRenderedPageBreak/>
        <w:t xml:space="preserve">Due to limited resources, ineffective planning frameworks, and interference from chiefs and political elites, most developments occur without building permits, confounded by overnight developments. There is a need for more collaboration between planners, residents, and customary landowners, especially Chiefs, in spatial development planning and zoning, with strict guidelines for monitoring and enforcing development control. In short, spatial development plans need to account for the multiple rationalities among stakeholders.   </w:t>
      </w:r>
    </w:p>
    <w:p w14:paraId="262073B2" w14:textId="77777777" w:rsidR="00C2706D" w:rsidRPr="00103457" w:rsidRDefault="00C2706D" w:rsidP="00B72C9C">
      <w:pPr>
        <w:ind w:firstLine="360"/>
        <w:rPr>
          <w:rFonts w:ascii="Times New Roman" w:eastAsia="Aptos" w:hAnsi="Times New Roman"/>
          <w:bCs/>
          <w:color w:val="0D0D0D"/>
          <w:lang w:bidi="ar-SA"/>
          <w14:ligatures w14:val="standardContextual"/>
        </w:rPr>
      </w:pPr>
    </w:p>
    <w:p w14:paraId="6221F52A" w14:textId="77777777" w:rsidR="00103457" w:rsidRPr="00103457" w:rsidRDefault="00103457" w:rsidP="00B72C9C">
      <w:pPr>
        <w:pStyle w:val="Heading2"/>
        <w:rPr>
          <w:color w:val="0F4761"/>
        </w:rPr>
      </w:pPr>
      <w:bookmarkStart w:id="120" w:name="_Toc172288743"/>
      <w:r w:rsidRPr="00103457">
        <w:t>Conclusion</w:t>
      </w:r>
      <w:bookmarkEnd w:id="120"/>
    </w:p>
    <w:p w14:paraId="4BC725CC" w14:textId="31000727" w:rsidR="000951F5" w:rsidRDefault="00103457" w:rsidP="00B72C9C">
      <w:pPr>
        <w:ind w:firstLine="360"/>
        <w:rPr>
          <w:rFonts w:ascii="Times New Roman" w:eastAsia="Aptos" w:hAnsi="Times New Roman"/>
          <w:bCs/>
          <w:color w:val="0D0D0D"/>
          <w:lang w:bidi="ar-SA"/>
          <w14:ligatures w14:val="standardContextual"/>
        </w:rPr>
      </w:pPr>
      <w:r w:rsidRPr="00103457">
        <w:rPr>
          <w:rFonts w:ascii="Times New Roman" w:eastAsia="Aptos" w:hAnsi="Times New Roman"/>
          <w:bCs/>
          <w:color w:val="0D0D0D"/>
          <w:lang w:bidi="ar-SA"/>
          <w14:ligatures w14:val="standardContextual"/>
        </w:rPr>
        <w:t xml:space="preserve">Annual urban expansion rates were generally higher in secondary than primary cities. However, the rate in Kumasi was higher than in two secondary cities, including Takoradi (4.05%) and Wa (5.04%). The sprawl-to-infill ratio has been consistently higher in secondary cities since 2005, likely impacting ecosystems, croplands, carbon sequestration, and biodiversity more than in primary cities. In primary cities, the high cost of land and rent, travel costs, and fewer land allocation regimes were important considerations, whereas interviewees in secondary cities indicate lower cost and more diverse land allocation as important concerns. These considerations are more favorable in the periphery because land and rental costs are mostly cheaper, especially in secondary cities, this likely explains the higher sprawl to infill expansion. Although urban residents prefer cheaper housing options, real estate developers shape accessibility to housing, especially in city centers of primary cities, where potential for profit is mostly high. The conflicting rationalities underscore the nature of expansion, with political elites, chiefs, and indigenous residents mostly flouting planning and zoning schemes. Future studies need to investigate how legal regulatory tools can better control urban expansion across cities. Due to diverse expansion patterns, myriad influencing factors, and conflicting </w:t>
      </w:r>
      <w:r w:rsidRPr="00103457">
        <w:rPr>
          <w:rFonts w:ascii="Times New Roman" w:eastAsia="Aptos" w:hAnsi="Times New Roman"/>
          <w:bCs/>
          <w:color w:val="0D0D0D"/>
          <w:lang w:bidi="ar-SA"/>
          <w14:ligatures w14:val="standardContextual"/>
        </w:rPr>
        <w:lastRenderedPageBreak/>
        <w:t xml:space="preserve">rationalities, more collaborative efforts and strict localized planning and zoning schemes can potentially regulate inefficient urban land expansion. Future studies need to investigate how different legal regulation tools can better control urban expansion across cities. </w:t>
      </w:r>
    </w:p>
    <w:p w14:paraId="691F264D" w14:textId="77777777" w:rsidR="000951F5" w:rsidRDefault="000951F5">
      <w:pPr>
        <w:spacing w:line="240" w:lineRule="auto"/>
        <w:rPr>
          <w:rFonts w:ascii="Times New Roman" w:eastAsia="Aptos" w:hAnsi="Times New Roman"/>
          <w:bCs/>
          <w:color w:val="0D0D0D"/>
          <w:lang w:bidi="ar-SA"/>
          <w14:ligatures w14:val="standardContextual"/>
        </w:rPr>
      </w:pPr>
      <w:r>
        <w:rPr>
          <w:rFonts w:ascii="Times New Roman" w:eastAsia="Aptos" w:hAnsi="Times New Roman"/>
          <w:bCs/>
          <w:color w:val="0D0D0D"/>
          <w:lang w:bidi="ar-SA"/>
          <w14:ligatures w14:val="standardContextual"/>
        </w:rPr>
        <w:br w:type="page"/>
      </w:r>
    </w:p>
    <w:p w14:paraId="0CDF43F2" w14:textId="77777777" w:rsidR="00103457" w:rsidRPr="00103457" w:rsidRDefault="00103457" w:rsidP="009112A5">
      <w:pPr>
        <w:pStyle w:val="Heading1"/>
        <w:spacing w:line="240" w:lineRule="auto"/>
      </w:pPr>
      <w:bookmarkStart w:id="121" w:name="_Toc172288744"/>
      <w:r w:rsidRPr="00103457">
        <w:lastRenderedPageBreak/>
        <w:t>References</w:t>
      </w:r>
      <w:bookmarkEnd w:id="121"/>
    </w:p>
    <w:p w14:paraId="010E79B5"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lang w:bidi="ar-SA"/>
          <w14:ligatures w14:val="standardContextual"/>
        </w:rPr>
        <w:fldChar w:fldCharType="begin"/>
      </w:r>
      <w:r w:rsidRPr="000E3363">
        <w:rPr>
          <w:rFonts w:ascii="Times New Roman" w:eastAsia="Aptos" w:hAnsi="Times New Roman"/>
          <w:kern w:val="2"/>
          <w:lang w:bidi="ar-SA"/>
          <w14:ligatures w14:val="standardContextual"/>
        </w:rPr>
        <w:instrText xml:space="preserve"> ADDIN ZOTERO_BIBL {"uncited":[],"omitted":[],"custom":[]} CSL_BIBLIOGRAPHY </w:instrText>
      </w:r>
      <w:r w:rsidRPr="000E3363">
        <w:rPr>
          <w:rFonts w:ascii="Times New Roman" w:eastAsia="Aptos" w:hAnsi="Times New Roman"/>
          <w:kern w:val="2"/>
          <w:lang w:bidi="ar-SA"/>
          <w14:ligatures w14:val="standardContextual"/>
        </w:rPr>
        <w:fldChar w:fldCharType="separate"/>
      </w:r>
      <w:r w:rsidRPr="000E3363">
        <w:rPr>
          <w:rFonts w:ascii="Times New Roman" w:eastAsia="Aptos" w:hAnsi="Times New Roman"/>
          <w:kern w:val="2"/>
          <w:szCs w:val="22"/>
          <w:lang w:bidi="ar-SA"/>
          <w14:ligatures w14:val="standardContextual"/>
        </w:rPr>
        <w:t xml:space="preserve">Agyemang, F., Silva, E., &amp; Poku-Boansi, M. (2019). Understanding the urban spatial structure of Sub-Saharan African cities using the case of urban development patterns of a Ghanaian city-region. </w:t>
      </w:r>
      <w:r w:rsidRPr="000E3363">
        <w:rPr>
          <w:rFonts w:ascii="Times New Roman" w:eastAsia="Aptos" w:hAnsi="Times New Roman"/>
          <w:i/>
          <w:iCs/>
          <w:kern w:val="2"/>
          <w:szCs w:val="22"/>
          <w:lang w:bidi="ar-SA"/>
          <w14:ligatures w14:val="standardContextual"/>
        </w:rPr>
        <w:t>Habitat International</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85</w:t>
      </w:r>
      <w:r w:rsidRPr="000E3363">
        <w:rPr>
          <w:rFonts w:ascii="Times New Roman" w:eastAsia="Aptos" w:hAnsi="Times New Roman"/>
          <w:kern w:val="2"/>
          <w:szCs w:val="22"/>
          <w:lang w:bidi="ar-SA"/>
          <w14:ligatures w14:val="standardContextual"/>
        </w:rPr>
        <w:t>, 21–33. https://doi.org/10.1016/j.habitatint.2019.02.001</w:t>
      </w:r>
    </w:p>
    <w:p w14:paraId="235FBD85"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Akaateba, M. A., Ahmed, A., &amp; Inkoom, D. K. B. (2021). Chiefs, land professionals and hybrid planning in Tamale and Techiman, Ghana: Implications for sustainable urban development. </w:t>
      </w:r>
      <w:r w:rsidRPr="000E3363">
        <w:rPr>
          <w:rFonts w:ascii="Times New Roman" w:eastAsia="Aptos" w:hAnsi="Times New Roman"/>
          <w:i/>
          <w:iCs/>
          <w:kern w:val="2"/>
          <w:szCs w:val="22"/>
          <w:lang w:bidi="ar-SA"/>
          <w14:ligatures w14:val="standardContextual"/>
        </w:rPr>
        <w:t>International Journal of Urban Sustainable Development</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13</w:t>
      </w:r>
      <w:r w:rsidRPr="000E3363">
        <w:rPr>
          <w:rFonts w:ascii="Times New Roman" w:eastAsia="Aptos" w:hAnsi="Times New Roman"/>
          <w:kern w:val="2"/>
          <w:szCs w:val="22"/>
          <w:lang w:bidi="ar-SA"/>
          <w14:ligatures w14:val="standardContextual"/>
        </w:rPr>
        <w:t>(3), 464–480. https://doi.org/10.1080/19463138.2021.1971990</w:t>
      </w:r>
    </w:p>
    <w:p w14:paraId="2AF65A99"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Anane, G. K., &amp; Cobbinah, P. B. (2022). Everyday politics of land use planning in peri-urbanisation. </w:t>
      </w:r>
      <w:r w:rsidRPr="000E3363">
        <w:rPr>
          <w:rFonts w:ascii="Times New Roman" w:eastAsia="Aptos" w:hAnsi="Times New Roman"/>
          <w:i/>
          <w:iCs/>
          <w:kern w:val="2"/>
          <w:szCs w:val="22"/>
          <w:lang w:bidi="ar-SA"/>
          <w14:ligatures w14:val="standardContextual"/>
        </w:rPr>
        <w:t>Habitat International</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120</w:t>
      </w:r>
      <w:r w:rsidRPr="000E3363">
        <w:rPr>
          <w:rFonts w:ascii="Times New Roman" w:eastAsia="Aptos" w:hAnsi="Times New Roman"/>
          <w:kern w:val="2"/>
          <w:szCs w:val="22"/>
          <w:lang w:bidi="ar-SA"/>
          <w14:ligatures w14:val="standardContextual"/>
        </w:rPr>
        <w:t>, 102497. https://doi.org/10.1016/j.habitatint.2021.102497</w:t>
      </w:r>
    </w:p>
    <w:p w14:paraId="47FE6A9F"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Angel, S., Lamson-Hall, P., Blei, A., Shingade, S., &amp; Kumar, S. (2021). Densify and Expand: A Global Analysis of Recent Urban Growth. </w:t>
      </w:r>
      <w:r w:rsidRPr="000E3363">
        <w:rPr>
          <w:rFonts w:ascii="Times New Roman" w:eastAsia="Aptos" w:hAnsi="Times New Roman"/>
          <w:i/>
          <w:iCs/>
          <w:kern w:val="2"/>
          <w:szCs w:val="22"/>
          <w:lang w:bidi="ar-SA"/>
          <w14:ligatures w14:val="standardContextual"/>
        </w:rPr>
        <w:t>Sustainability</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13</w:t>
      </w:r>
      <w:r w:rsidRPr="000E3363">
        <w:rPr>
          <w:rFonts w:ascii="Times New Roman" w:eastAsia="Aptos" w:hAnsi="Times New Roman"/>
          <w:kern w:val="2"/>
          <w:szCs w:val="22"/>
          <w:lang w:bidi="ar-SA"/>
          <w14:ligatures w14:val="standardContextual"/>
        </w:rPr>
        <w:t>(7), 3835. https://doi.org/10.3390/su13073835</w:t>
      </w:r>
    </w:p>
    <w:p w14:paraId="064D3F74"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Bibri, S. E., Krogstie, J., &amp; Kärrholm, M. (2020). Compact city planning and development: Emerging practices and strategies for achieving the goals of sustainability. </w:t>
      </w:r>
      <w:r w:rsidRPr="000E3363">
        <w:rPr>
          <w:rFonts w:ascii="Times New Roman" w:eastAsia="Aptos" w:hAnsi="Times New Roman"/>
          <w:i/>
          <w:iCs/>
          <w:kern w:val="2"/>
          <w:szCs w:val="22"/>
          <w:lang w:bidi="ar-SA"/>
          <w14:ligatures w14:val="standardContextual"/>
        </w:rPr>
        <w:t>Developments in the Built Environment</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4</w:t>
      </w:r>
      <w:r w:rsidRPr="000E3363">
        <w:rPr>
          <w:rFonts w:ascii="Times New Roman" w:eastAsia="Aptos" w:hAnsi="Times New Roman"/>
          <w:kern w:val="2"/>
          <w:szCs w:val="22"/>
          <w:lang w:bidi="ar-SA"/>
          <w14:ligatures w14:val="standardContextual"/>
        </w:rPr>
        <w:t>, 100021. https://doi.org/10.1016/j.dibe.2020.100021</w:t>
      </w:r>
    </w:p>
    <w:p w14:paraId="5C87ED4D"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Boone, C. G., Redman, C. L., Blanco, H., Haase, D., Koch, J., Lwasa, S., Nagendra, H., Pauleit, S., Pickett, S. T. A., Seto, K. C., &amp; Yokohari, M. (2014). Reconceptualizing Land for Sustainable Urbanity. In K. C. Seto &amp; A. Reenberg (Eds.), </w:t>
      </w:r>
      <w:r w:rsidRPr="000E3363">
        <w:rPr>
          <w:rFonts w:ascii="Times New Roman" w:eastAsia="Aptos" w:hAnsi="Times New Roman"/>
          <w:i/>
          <w:iCs/>
          <w:kern w:val="2"/>
          <w:szCs w:val="22"/>
          <w:lang w:bidi="ar-SA"/>
          <w14:ligatures w14:val="standardContextual"/>
        </w:rPr>
        <w:t>Rethinking Global Land Use in an Urban Era</w:t>
      </w:r>
      <w:r w:rsidRPr="000E3363">
        <w:rPr>
          <w:rFonts w:ascii="Times New Roman" w:eastAsia="Aptos" w:hAnsi="Times New Roman"/>
          <w:kern w:val="2"/>
          <w:szCs w:val="22"/>
          <w:lang w:bidi="ar-SA"/>
          <w14:ligatures w14:val="standardContextual"/>
        </w:rPr>
        <w:t xml:space="preserve"> (pp. 313–330). The MIT Press. https://doi.org/10.7551/mitpress/9780262026901.003.0016</w:t>
      </w:r>
    </w:p>
    <w:p w14:paraId="65A78A99"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Bren d’Amour, C., Reitsma, F., Baiocchi, G., Barthel, S., Güneralp, B., Erb, K.-H., Haberl, H., Creutzig, F., &amp; Seto, K. C. (2017). Future urban land expansion and implications for global croplands. </w:t>
      </w:r>
      <w:r w:rsidRPr="000E3363">
        <w:rPr>
          <w:rFonts w:ascii="Times New Roman" w:eastAsia="Aptos" w:hAnsi="Times New Roman"/>
          <w:i/>
          <w:iCs/>
          <w:kern w:val="2"/>
          <w:szCs w:val="22"/>
          <w:lang w:bidi="ar-SA"/>
          <w14:ligatures w14:val="standardContextual"/>
        </w:rPr>
        <w:t>Proceedings of the National Academy of Sciences of the United States of America</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114</w:t>
      </w:r>
      <w:r w:rsidRPr="000E3363">
        <w:rPr>
          <w:rFonts w:ascii="Times New Roman" w:eastAsia="Aptos" w:hAnsi="Times New Roman"/>
          <w:kern w:val="2"/>
          <w:szCs w:val="22"/>
          <w:lang w:bidi="ar-SA"/>
          <w14:ligatures w14:val="standardContextual"/>
        </w:rPr>
        <w:t>(34), 8939–8944. https://doi.org/10.1073/pnas.1606036114</w:t>
      </w:r>
    </w:p>
    <w:p w14:paraId="677CF170"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Cobbinah, P. B., &amp; Aboagye, H. N. (2017). A Ghanaian twist to urban sprawl. </w:t>
      </w:r>
      <w:r w:rsidRPr="000E3363">
        <w:rPr>
          <w:rFonts w:ascii="Times New Roman" w:eastAsia="Aptos" w:hAnsi="Times New Roman"/>
          <w:i/>
          <w:iCs/>
          <w:kern w:val="2"/>
          <w:szCs w:val="22"/>
          <w:lang w:bidi="ar-SA"/>
          <w14:ligatures w14:val="standardContextual"/>
        </w:rPr>
        <w:t>Land Use Policy</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61</w:t>
      </w:r>
      <w:r w:rsidRPr="000E3363">
        <w:rPr>
          <w:rFonts w:ascii="Times New Roman" w:eastAsia="Aptos" w:hAnsi="Times New Roman"/>
          <w:kern w:val="2"/>
          <w:szCs w:val="22"/>
          <w:lang w:bidi="ar-SA"/>
          <w14:ligatures w14:val="standardContextual"/>
        </w:rPr>
        <w:t>, 231–241. https://doi.org/10.1016/j.landusepol.2016.10.047</w:t>
      </w:r>
    </w:p>
    <w:p w14:paraId="3F473812"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Cobbinah, P. B., Asibey, M. O., &amp; Gyedu-Pensang, Y. A. (2020). Urban land use planning in Ghana: Navigating complex coalescence of land ownership and administration. </w:t>
      </w:r>
      <w:r w:rsidRPr="000E3363">
        <w:rPr>
          <w:rFonts w:ascii="Times New Roman" w:eastAsia="Aptos" w:hAnsi="Times New Roman"/>
          <w:i/>
          <w:iCs/>
          <w:kern w:val="2"/>
          <w:szCs w:val="22"/>
          <w:lang w:bidi="ar-SA"/>
          <w14:ligatures w14:val="standardContextual"/>
        </w:rPr>
        <w:t>Land Use Policy</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99</w:t>
      </w:r>
      <w:r w:rsidRPr="000E3363">
        <w:rPr>
          <w:rFonts w:ascii="Times New Roman" w:eastAsia="Aptos" w:hAnsi="Times New Roman"/>
          <w:kern w:val="2"/>
          <w:szCs w:val="22"/>
          <w:lang w:bidi="ar-SA"/>
          <w14:ligatures w14:val="standardContextual"/>
        </w:rPr>
        <w:t>, 105054. https://doi.org/10.1016/j.landusepol.2020.105054</w:t>
      </w:r>
    </w:p>
    <w:p w14:paraId="2A3ED0F9"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Fält, L. (2016). From Shacks to Skyscrapers: Multiple Spatial Rationalities and Urban Transformation in Accra, Ghana. </w:t>
      </w:r>
      <w:r w:rsidRPr="000E3363">
        <w:rPr>
          <w:rFonts w:ascii="Times New Roman" w:eastAsia="Aptos" w:hAnsi="Times New Roman"/>
          <w:i/>
          <w:iCs/>
          <w:kern w:val="2"/>
          <w:szCs w:val="22"/>
          <w:lang w:bidi="ar-SA"/>
          <w14:ligatures w14:val="standardContextual"/>
        </w:rPr>
        <w:t>Urban Forum</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27</w:t>
      </w:r>
      <w:r w:rsidRPr="000E3363">
        <w:rPr>
          <w:rFonts w:ascii="Times New Roman" w:eastAsia="Aptos" w:hAnsi="Times New Roman"/>
          <w:kern w:val="2"/>
          <w:szCs w:val="22"/>
          <w:lang w:bidi="ar-SA"/>
          <w14:ligatures w14:val="standardContextual"/>
        </w:rPr>
        <w:t>(4), 465–486. https://doi.org/10.1007/s12132-016-9294-8</w:t>
      </w:r>
    </w:p>
    <w:p w14:paraId="46E3B068"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lastRenderedPageBreak/>
        <w:t xml:space="preserve">Goodfellow, T. (2017). Urban Fortunes and Skeleton Cityscapes: Real Estate and Late Urbanization in Kigali and Addis Ababa. </w:t>
      </w:r>
      <w:r w:rsidRPr="000E3363">
        <w:rPr>
          <w:rFonts w:ascii="Times New Roman" w:eastAsia="Aptos" w:hAnsi="Times New Roman"/>
          <w:i/>
          <w:iCs/>
          <w:kern w:val="2"/>
          <w:szCs w:val="22"/>
          <w:lang w:bidi="ar-SA"/>
          <w14:ligatures w14:val="standardContextual"/>
        </w:rPr>
        <w:t>International Journal of Urban and Regional Research</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41</w:t>
      </w:r>
      <w:r w:rsidRPr="000E3363">
        <w:rPr>
          <w:rFonts w:ascii="Times New Roman" w:eastAsia="Aptos" w:hAnsi="Times New Roman"/>
          <w:kern w:val="2"/>
          <w:szCs w:val="22"/>
          <w:lang w:bidi="ar-SA"/>
          <w14:ligatures w14:val="standardContextual"/>
        </w:rPr>
        <w:t>(5), 786–803. https://doi.org/10.1111/1468-2427.12550</w:t>
      </w:r>
    </w:p>
    <w:p w14:paraId="27F3585B"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Goodrick, D. (2014). Comparative Case Studies: Methodological Briefs - Impact Evaluation No. 9. </w:t>
      </w:r>
      <w:r w:rsidRPr="000E3363">
        <w:rPr>
          <w:rFonts w:ascii="Times New Roman" w:eastAsia="Aptos" w:hAnsi="Times New Roman"/>
          <w:i/>
          <w:iCs/>
          <w:kern w:val="2"/>
          <w:szCs w:val="22"/>
          <w:lang w:bidi="ar-SA"/>
          <w14:ligatures w14:val="standardContextual"/>
        </w:rPr>
        <w:t>Papers</w:t>
      </w:r>
      <w:r w:rsidRPr="000E3363">
        <w:rPr>
          <w:rFonts w:ascii="Times New Roman" w:eastAsia="Aptos" w:hAnsi="Times New Roman"/>
          <w:kern w:val="2"/>
          <w:szCs w:val="22"/>
          <w:lang w:bidi="ar-SA"/>
          <w14:ligatures w14:val="standardContextual"/>
        </w:rPr>
        <w:t>, Article innpub754. https://ideas.repec.org//p/ucf/metbri/innpub754.html</w:t>
      </w:r>
    </w:p>
    <w:p w14:paraId="3D9154FB"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Kleemann, J., Baysal, G., Bulley, H. N. N., &amp; Fürst, C. (2017). Assessing driving forces of land use and land cover change by a mixed-method approach in north-eastern Ghana, West Africa. </w:t>
      </w:r>
      <w:r w:rsidRPr="000E3363">
        <w:rPr>
          <w:rFonts w:ascii="Times New Roman" w:eastAsia="Aptos" w:hAnsi="Times New Roman"/>
          <w:i/>
          <w:iCs/>
          <w:kern w:val="2"/>
          <w:szCs w:val="22"/>
          <w:lang w:bidi="ar-SA"/>
          <w14:ligatures w14:val="standardContextual"/>
        </w:rPr>
        <w:t>Journal of Environmental Management</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196</w:t>
      </w:r>
      <w:r w:rsidRPr="000E3363">
        <w:rPr>
          <w:rFonts w:ascii="Times New Roman" w:eastAsia="Aptos" w:hAnsi="Times New Roman"/>
          <w:kern w:val="2"/>
          <w:szCs w:val="22"/>
          <w:lang w:bidi="ar-SA"/>
          <w14:ligatures w14:val="standardContextual"/>
        </w:rPr>
        <w:t>, 411–442. https://doi.org/10.1016/j.jenvman.2017.01.053</w:t>
      </w:r>
    </w:p>
    <w:p w14:paraId="0B75E453" w14:textId="77777777" w:rsid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Korah, A. (2020). </w:t>
      </w:r>
      <w:r w:rsidRPr="000E3363">
        <w:rPr>
          <w:rFonts w:ascii="Times New Roman" w:eastAsia="Aptos" w:hAnsi="Times New Roman"/>
          <w:i/>
          <w:iCs/>
          <w:kern w:val="2"/>
          <w:szCs w:val="22"/>
          <w:lang w:bidi="ar-SA"/>
          <w14:ligatures w14:val="standardContextual"/>
        </w:rPr>
        <w:t>Frontier Urbanization and Affirmative Action in Urban Ghana: A Case of Airport City, Accra</w:t>
      </w:r>
      <w:r w:rsidRPr="000E3363">
        <w:rPr>
          <w:rFonts w:ascii="Times New Roman" w:eastAsia="Aptos" w:hAnsi="Times New Roman"/>
          <w:kern w:val="2"/>
          <w:szCs w:val="22"/>
          <w:lang w:bidi="ar-SA"/>
          <w14:ligatures w14:val="standardContextual"/>
        </w:rPr>
        <w:t xml:space="preserve"> [Master’s thesis, Miami University]. https://etd.ohiolink.edu/acprod/odb_etd/etd/r/1501/10?clear=10&amp;p10_accession_num=miami1595878309570218</w:t>
      </w:r>
    </w:p>
    <w:p w14:paraId="04E0598B" w14:textId="77777777" w:rsidR="00822244" w:rsidRPr="000E3363" w:rsidRDefault="00822244" w:rsidP="00822244">
      <w:pPr>
        <w:spacing w:line="240" w:lineRule="auto"/>
        <w:ind w:left="720" w:hanging="720"/>
        <w:rPr>
          <w:rFonts w:ascii="Times New Roman" w:eastAsia="Aptos" w:hAnsi="Times New Roman"/>
          <w:kern w:val="2"/>
          <w:szCs w:val="22"/>
          <w:lang w:bidi="ar-SA"/>
          <w14:ligatures w14:val="standardContextual"/>
        </w:rPr>
      </w:pPr>
    </w:p>
    <w:p w14:paraId="264D131F" w14:textId="77777777" w:rsidR="00822244" w:rsidRPr="00822244" w:rsidRDefault="00822244" w:rsidP="00822244">
      <w:pPr>
        <w:spacing w:after="240" w:line="240" w:lineRule="auto"/>
        <w:ind w:left="720" w:hanging="720"/>
        <w:rPr>
          <w:rFonts w:ascii="Times New Roman" w:eastAsia="Aptos" w:hAnsi="Times New Roman"/>
          <w:kern w:val="2"/>
          <w:lang w:bidi="ar-SA"/>
          <w14:ligatures w14:val="standardContextual"/>
        </w:rPr>
      </w:pPr>
      <w:r w:rsidRPr="00822244">
        <w:rPr>
          <w:rFonts w:ascii="Times New Roman" w:eastAsia="Aptos" w:hAnsi="Times New Roman"/>
          <w:kern w:val="2"/>
          <w:lang w:bidi="ar-SA"/>
          <w14:ligatures w14:val="standardContextual"/>
        </w:rPr>
        <w:t xml:space="preserve">Korah, A., &amp; Wimberly, M. (2024a). </w:t>
      </w:r>
      <w:r w:rsidRPr="00822244">
        <w:rPr>
          <w:rFonts w:ascii="Times New Roman" w:eastAsia="Aptos" w:hAnsi="Times New Roman"/>
          <w:i/>
          <w:iCs/>
          <w:kern w:val="2"/>
          <w:lang w:bidi="ar-SA"/>
          <w14:ligatures w14:val="standardContextual"/>
        </w:rPr>
        <w:t>WADISC: Annual Impervious Surface Data for Ghana, Togo, Benin, and Nigeria from 2001 – 2020</w:t>
      </w:r>
      <w:r w:rsidRPr="00822244">
        <w:rPr>
          <w:rFonts w:ascii="Times New Roman" w:eastAsia="Aptos" w:hAnsi="Times New Roman"/>
          <w:kern w:val="2"/>
          <w:lang w:bidi="ar-SA"/>
          <w14:ligatures w14:val="standardContextual"/>
        </w:rPr>
        <w:t xml:space="preserve"> [Dataset]. figshare. https://doi.org/10.6084/m9.figshare.24716481.v3</w:t>
      </w:r>
    </w:p>
    <w:p w14:paraId="75E35A2F" w14:textId="77777777" w:rsidR="00822244" w:rsidRPr="00822244" w:rsidRDefault="00822244" w:rsidP="00822244">
      <w:pPr>
        <w:spacing w:after="240" w:line="240" w:lineRule="auto"/>
        <w:ind w:left="720" w:hanging="720"/>
        <w:rPr>
          <w:rFonts w:ascii="Times New Roman" w:eastAsia="Aptos" w:hAnsi="Times New Roman"/>
          <w:kern w:val="2"/>
          <w:lang w:bidi="ar-SA"/>
          <w14:ligatures w14:val="standardContextual"/>
        </w:rPr>
      </w:pPr>
      <w:r w:rsidRPr="00822244">
        <w:rPr>
          <w:rFonts w:ascii="Times New Roman" w:eastAsia="Aptos" w:hAnsi="Times New Roman"/>
          <w:kern w:val="2"/>
          <w:lang w:bidi="ar-SA"/>
          <w14:ligatures w14:val="standardContextual"/>
        </w:rPr>
        <w:t xml:space="preserve">Korah, A., &amp; Wimberly, M. C. (2024b). Annual Impervious Surface Data from 2001–2020 for West African Countries: Ghana, Togo, Benin and Nigeria. </w:t>
      </w:r>
      <w:r w:rsidRPr="00822244">
        <w:rPr>
          <w:rFonts w:ascii="Times New Roman" w:eastAsia="Aptos" w:hAnsi="Times New Roman"/>
          <w:i/>
          <w:iCs/>
          <w:kern w:val="2"/>
          <w:lang w:bidi="ar-SA"/>
          <w14:ligatures w14:val="standardContextual"/>
        </w:rPr>
        <w:t>Scientific Data</w:t>
      </w:r>
      <w:r w:rsidRPr="00822244">
        <w:rPr>
          <w:rFonts w:ascii="Times New Roman" w:eastAsia="Aptos" w:hAnsi="Times New Roman"/>
          <w:kern w:val="2"/>
          <w:lang w:bidi="ar-SA"/>
          <w14:ligatures w14:val="standardContextual"/>
        </w:rPr>
        <w:t xml:space="preserve">, </w:t>
      </w:r>
      <w:r w:rsidRPr="00822244">
        <w:rPr>
          <w:rFonts w:ascii="Times New Roman" w:eastAsia="Aptos" w:hAnsi="Times New Roman"/>
          <w:i/>
          <w:iCs/>
          <w:kern w:val="2"/>
          <w:lang w:bidi="ar-SA"/>
          <w14:ligatures w14:val="standardContextual"/>
        </w:rPr>
        <w:t>11</w:t>
      </w:r>
      <w:r w:rsidRPr="00822244">
        <w:rPr>
          <w:rFonts w:ascii="Times New Roman" w:eastAsia="Aptos" w:hAnsi="Times New Roman"/>
          <w:kern w:val="2"/>
          <w:lang w:bidi="ar-SA"/>
          <w14:ligatures w14:val="standardContextual"/>
        </w:rPr>
        <w:t>(1), 791. https://doi.org/10.1038/s41597-024-03610-8</w:t>
      </w:r>
    </w:p>
    <w:p w14:paraId="73BEF22E" w14:textId="47393D51" w:rsidR="00822244" w:rsidRPr="00822244" w:rsidRDefault="00822244" w:rsidP="00AA43C3">
      <w:pPr>
        <w:spacing w:line="240" w:lineRule="auto"/>
        <w:ind w:left="720" w:hanging="720"/>
        <w:rPr>
          <w:rFonts w:ascii="Times New Roman" w:eastAsia="Aptos" w:hAnsi="Times New Roman"/>
          <w:kern w:val="2"/>
          <w:lang w:bidi="ar-SA"/>
          <w14:ligatures w14:val="standardContextual"/>
        </w:rPr>
      </w:pPr>
      <w:r w:rsidRPr="00822244">
        <w:rPr>
          <w:rFonts w:ascii="Times New Roman" w:eastAsia="Aptos" w:hAnsi="Times New Roman"/>
          <w:kern w:val="2"/>
          <w:lang w:bidi="ar-SA"/>
          <w14:ligatures w14:val="standardContextual"/>
        </w:rPr>
        <w:t xml:space="preserve">Korah, A., &amp; Wimberly, M. C. (2024c). Smaller cities have large impacts on West Africa’s expanding urban system. </w:t>
      </w:r>
      <w:r w:rsidRPr="00822244">
        <w:rPr>
          <w:rFonts w:ascii="Times New Roman" w:eastAsia="Aptos" w:hAnsi="Times New Roman"/>
          <w:i/>
          <w:iCs/>
          <w:kern w:val="2"/>
          <w:lang w:bidi="ar-SA"/>
          <w14:ligatures w14:val="standardContextual"/>
        </w:rPr>
        <w:t>Sustainable Cities and Society</w:t>
      </w:r>
      <w:r w:rsidRPr="00822244">
        <w:rPr>
          <w:rFonts w:ascii="Times New Roman" w:eastAsia="Aptos" w:hAnsi="Times New Roman"/>
          <w:kern w:val="2"/>
          <w:lang w:bidi="ar-SA"/>
          <w14:ligatures w14:val="standardContextual"/>
        </w:rPr>
        <w:t xml:space="preserve">, </w:t>
      </w:r>
      <w:r w:rsidRPr="00822244">
        <w:rPr>
          <w:rFonts w:ascii="Times New Roman" w:eastAsia="Aptos" w:hAnsi="Times New Roman"/>
          <w:i/>
          <w:iCs/>
          <w:kern w:val="2"/>
          <w:lang w:bidi="ar-SA"/>
          <w14:ligatures w14:val="standardContextual"/>
        </w:rPr>
        <w:t>106</w:t>
      </w:r>
      <w:r w:rsidRPr="00822244">
        <w:rPr>
          <w:rFonts w:ascii="Times New Roman" w:eastAsia="Aptos" w:hAnsi="Times New Roman"/>
          <w:kern w:val="2"/>
          <w:lang w:bidi="ar-SA"/>
          <w14:ligatures w14:val="standardContextual"/>
        </w:rPr>
        <w:t>, 105381. https://doi.org/10.1016/j.scs.2024.105381</w:t>
      </w:r>
    </w:p>
    <w:p w14:paraId="51ECBDB7"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Korah, P. I., Matthews, T., &amp; Tomerini, D. (2019). Characterising spatial and temporal patterns of urban evolution in Sub-Saharan Africa: The case of Accra, Ghana. </w:t>
      </w:r>
      <w:r w:rsidRPr="000E3363">
        <w:rPr>
          <w:rFonts w:ascii="Times New Roman" w:eastAsia="Aptos" w:hAnsi="Times New Roman"/>
          <w:i/>
          <w:iCs/>
          <w:kern w:val="2"/>
          <w:szCs w:val="22"/>
          <w:lang w:bidi="ar-SA"/>
          <w14:ligatures w14:val="standardContextual"/>
        </w:rPr>
        <w:t>Land Use Policy</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87</w:t>
      </w:r>
      <w:r w:rsidRPr="000E3363">
        <w:rPr>
          <w:rFonts w:ascii="Times New Roman" w:eastAsia="Aptos" w:hAnsi="Times New Roman"/>
          <w:kern w:val="2"/>
          <w:szCs w:val="22"/>
          <w:lang w:bidi="ar-SA"/>
          <w14:ligatures w14:val="standardContextual"/>
        </w:rPr>
        <w:t>, 104049. https://doi.org/10.1016/j.landusepol.2019.104049</w:t>
      </w:r>
    </w:p>
    <w:p w14:paraId="0236E548"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Liu, X., Wang, S., Wu, P., Feng, K., Hubacek, K., Li, X., &amp; Sun, L. (2019). Impacts of Urban Expansion on Terrestrial Carbon Storage in China. </w:t>
      </w:r>
      <w:r w:rsidRPr="000E3363">
        <w:rPr>
          <w:rFonts w:ascii="Times New Roman" w:eastAsia="Aptos" w:hAnsi="Times New Roman"/>
          <w:i/>
          <w:iCs/>
          <w:kern w:val="2"/>
          <w:szCs w:val="22"/>
          <w:lang w:bidi="ar-SA"/>
          <w14:ligatures w14:val="standardContextual"/>
        </w:rPr>
        <w:t>Environmental Science &amp; Technology</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53</w:t>
      </w:r>
      <w:r w:rsidRPr="000E3363">
        <w:rPr>
          <w:rFonts w:ascii="Times New Roman" w:eastAsia="Aptos" w:hAnsi="Times New Roman"/>
          <w:kern w:val="2"/>
          <w:szCs w:val="22"/>
          <w:lang w:bidi="ar-SA"/>
          <w14:ligatures w14:val="standardContextual"/>
        </w:rPr>
        <w:t>(12), 6834–6844. https://doi.org/10.1021/acs.est.9b00103</w:t>
      </w:r>
    </w:p>
    <w:p w14:paraId="0F06BFCB"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Marais, L., &amp; Cloete, J. (2017). The role of secondary cities in managing urbanisation in South Africa. </w:t>
      </w:r>
      <w:r w:rsidRPr="000E3363">
        <w:rPr>
          <w:rFonts w:ascii="Times New Roman" w:eastAsia="Aptos" w:hAnsi="Times New Roman"/>
          <w:i/>
          <w:iCs/>
          <w:kern w:val="2"/>
          <w:szCs w:val="22"/>
          <w:lang w:bidi="ar-SA"/>
          <w14:ligatures w14:val="standardContextual"/>
        </w:rPr>
        <w:t>Development Southern Africa</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34</w:t>
      </w:r>
      <w:r w:rsidRPr="000E3363">
        <w:rPr>
          <w:rFonts w:ascii="Times New Roman" w:eastAsia="Aptos" w:hAnsi="Times New Roman"/>
          <w:kern w:val="2"/>
          <w:szCs w:val="22"/>
          <w:lang w:bidi="ar-SA"/>
          <w14:ligatures w14:val="standardContextual"/>
        </w:rPr>
        <w:t>(2), 182–195. https://doi.org/10.1080/0376835X.2016.1259993</w:t>
      </w:r>
    </w:p>
    <w:p w14:paraId="10F890EA"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Møller-Jensen, L., Agergaard, J., Andreasen, M. H., Kofie, R. Y., Yiran, G. A. B., &amp; Oteng-Ababio, M. (2023). Probing political paradox: Urban expansion, floods risk vulnerability and social justice in urban Africa. </w:t>
      </w:r>
      <w:r w:rsidRPr="000E3363">
        <w:rPr>
          <w:rFonts w:ascii="Times New Roman" w:eastAsia="Aptos" w:hAnsi="Times New Roman"/>
          <w:i/>
          <w:iCs/>
          <w:kern w:val="2"/>
          <w:szCs w:val="22"/>
          <w:lang w:bidi="ar-SA"/>
          <w14:ligatures w14:val="standardContextual"/>
        </w:rPr>
        <w:t>Journal of Urban Affairs</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45</w:t>
      </w:r>
      <w:r w:rsidRPr="000E3363">
        <w:rPr>
          <w:rFonts w:ascii="Times New Roman" w:eastAsia="Aptos" w:hAnsi="Times New Roman"/>
          <w:kern w:val="2"/>
          <w:szCs w:val="22"/>
          <w:lang w:bidi="ar-SA"/>
          <w14:ligatures w14:val="standardContextual"/>
        </w:rPr>
        <w:t>(3), 505–521. https://doi.org/10.1080/07352166.2022.2108436</w:t>
      </w:r>
    </w:p>
    <w:p w14:paraId="2ADC1409"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lastRenderedPageBreak/>
        <w:t xml:space="preserve">Ning, Y., Liu, S., Zhao, S., Liu, M., Gao, H., &amp; Gong, P. (2022). Urban growth rates, trajectories, and multi-dimensional disparities in China. </w:t>
      </w:r>
      <w:r w:rsidRPr="000E3363">
        <w:rPr>
          <w:rFonts w:ascii="Times New Roman" w:eastAsia="Aptos" w:hAnsi="Times New Roman"/>
          <w:i/>
          <w:iCs/>
          <w:kern w:val="2"/>
          <w:szCs w:val="22"/>
          <w:lang w:bidi="ar-SA"/>
          <w14:ligatures w14:val="standardContextual"/>
        </w:rPr>
        <w:t>Cities</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126</w:t>
      </w:r>
      <w:r w:rsidRPr="000E3363">
        <w:rPr>
          <w:rFonts w:ascii="Times New Roman" w:eastAsia="Aptos" w:hAnsi="Times New Roman"/>
          <w:kern w:val="2"/>
          <w:szCs w:val="22"/>
          <w:lang w:bidi="ar-SA"/>
          <w14:ligatures w14:val="standardContextual"/>
        </w:rPr>
        <w:t>, 103717. https://doi.org/10.1016/j.cities.2022.103717</w:t>
      </w:r>
    </w:p>
    <w:p w14:paraId="57F96B7E"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OECD/SWAC. (2020). </w:t>
      </w:r>
      <w:r w:rsidRPr="000E3363">
        <w:rPr>
          <w:rFonts w:ascii="Times New Roman" w:eastAsia="Aptos" w:hAnsi="Times New Roman"/>
          <w:i/>
          <w:iCs/>
          <w:kern w:val="2"/>
          <w:szCs w:val="22"/>
          <w:lang w:bidi="ar-SA"/>
          <w14:ligatures w14:val="standardContextual"/>
        </w:rPr>
        <w:t>Africa’s Urbanization Dynamics 2020: Africapolis, Mapping a New Urban Geography, West African Studies</w:t>
      </w:r>
      <w:r w:rsidRPr="000E3363">
        <w:rPr>
          <w:rFonts w:ascii="Times New Roman" w:eastAsia="Aptos" w:hAnsi="Times New Roman"/>
          <w:kern w:val="2"/>
          <w:szCs w:val="22"/>
          <w:lang w:bidi="ar-SA"/>
          <w14:ligatures w14:val="standardContextual"/>
        </w:rPr>
        <w:t>. OECD Publishing. https://doi.org/10.1787/b6bccb81-en</w:t>
      </w:r>
    </w:p>
    <w:p w14:paraId="169DB2E4" w14:textId="77777777" w:rsidR="000E3363" w:rsidRPr="000E3363" w:rsidRDefault="000E3363" w:rsidP="009112A5">
      <w:pPr>
        <w:spacing w:before="240" w:line="240" w:lineRule="auto"/>
        <w:ind w:left="720" w:hanging="720"/>
        <w:rPr>
          <w:rFonts w:ascii="Times New Roman" w:eastAsia="Aptos" w:hAnsi="Times New Roman"/>
          <w:kern w:val="2"/>
          <w:szCs w:val="22"/>
          <w:lang w:val="fr-FR" w:bidi="ar-SA"/>
          <w14:ligatures w14:val="standardContextual"/>
        </w:rPr>
      </w:pPr>
      <w:r w:rsidRPr="000E3363">
        <w:rPr>
          <w:rFonts w:ascii="Times New Roman" w:eastAsia="Aptos" w:hAnsi="Times New Roman"/>
          <w:kern w:val="2"/>
          <w:szCs w:val="22"/>
          <w:lang w:bidi="ar-SA"/>
          <w14:ligatures w14:val="standardContextual"/>
        </w:rPr>
        <w:t xml:space="preserve">Razzu, G. (2005). Urban redevelopment, cultural heritage, poverty and redistribution: The case of Old Accra and Adawso House. </w:t>
      </w:r>
      <w:r w:rsidRPr="000E3363">
        <w:rPr>
          <w:rFonts w:ascii="Times New Roman" w:eastAsia="Aptos" w:hAnsi="Times New Roman"/>
          <w:i/>
          <w:iCs/>
          <w:kern w:val="2"/>
          <w:szCs w:val="22"/>
          <w:lang w:val="fr-FR" w:bidi="ar-SA"/>
          <w14:ligatures w14:val="standardContextual"/>
        </w:rPr>
        <w:t>Habitat International</w:t>
      </w:r>
      <w:r w:rsidRPr="000E3363">
        <w:rPr>
          <w:rFonts w:ascii="Times New Roman" w:eastAsia="Aptos" w:hAnsi="Times New Roman"/>
          <w:kern w:val="2"/>
          <w:szCs w:val="22"/>
          <w:lang w:val="fr-FR" w:bidi="ar-SA"/>
          <w14:ligatures w14:val="standardContextual"/>
        </w:rPr>
        <w:t xml:space="preserve">, </w:t>
      </w:r>
      <w:r w:rsidRPr="000E3363">
        <w:rPr>
          <w:rFonts w:ascii="Times New Roman" w:eastAsia="Aptos" w:hAnsi="Times New Roman"/>
          <w:i/>
          <w:iCs/>
          <w:kern w:val="2"/>
          <w:szCs w:val="22"/>
          <w:lang w:val="fr-FR" w:bidi="ar-SA"/>
          <w14:ligatures w14:val="standardContextual"/>
        </w:rPr>
        <w:t>29</w:t>
      </w:r>
      <w:r w:rsidRPr="000E3363">
        <w:rPr>
          <w:rFonts w:ascii="Times New Roman" w:eastAsia="Aptos" w:hAnsi="Times New Roman"/>
          <w:kern w:val="2"/>
          <w:szCs w:val="22"/>
          <w:lang w:val="fr-FR" w:bidi="ar-SA"/>
          <w14:ligatures w14:val="standardContextual"/>
        </w:rPr>
        <w:t>(3), 399–419. https://doi.org/10.1016/j.habitatint.2003.12.002</w:t>
      </w:r>
    </w:p>
    <w:p w14:paraId="3AE4A0CE" w14:textId="77777777" w:rsidR="000E3363" w:rsidRPr="000E3363" w:rsidRDefault="000E3363" w:rsidP="009112A5">
      <w:pPr>
        <w:spacing w:before="240" w:line="240" w:lineRule="auto"/>
        <w:ind w:left="720" w:hanging="720"/>
        <w:rPr>
          <w:rFonts w:ascii="Times New Roman" w:eastAsia="Aptos" w:hAnsi="Times New Roman"/>
          <w:kern w:val="2"/>
          <w:szCs w:val="22"/>
          <w:lang w:val="fr-FR" w:bidi="ar-SA"/>
          <w14:ligatures w14:val="standardContextual"/>
        </w:rPr>
      </w:pPr>
      <w:r w:rsidRPr="000E3363">
        <w:rPr>
          <w:rFonts w:ascii="Times New Roman" w:eastAsia="Aptos" w:hAnsi="Times New Roman"/>
          <w:kern w:val="2"/>
          <w:szCs w:val="22"/>
          <w:lang w:val="fr-FR" w:bidi="ar-SA"/>
          <w14:ligatures w14:val="standardContextual"/>
        </w:rPr>
        <w:t xml:space="preserve">Salem, M., Tsurusaki, N., &amp; Divigalpitiya, P. (2019). </w:t>
      </w:r>
      <w:r w:rsidRPr="000E3363">
        <w:rPr>
          <w:rFonts w:ascii="Times New Roman" w:eastAsia="Aptos" w:hAnsi="Times New Roman"/>
          <w:kern w:val="2"/>
          <w:szCs w:val="22"/>
          <w:lang w:bidi="ar-SA"/>
          <w14:ligatures w14:val="standardContextual"/>
        </w:rPr>
        <w:t xml:space="preserve">Analyzing the Driving Factors Causing Urban Expansion in the Peri-Urban Areas Using Logistic Regression: A Case Study of the Greater Cairo Region. </w:t>
      </w:r>
      <w:r w:rsidRPr="000E3363">
        <w:rPr>
          <w:rFonts w:ascii="Times New Roman" w:eastAsia="Aptos" w:hAnsi="Times New Roman"/>
          <w:i/>
          <w:iCs/>
          <w:kern w:val="2"/>
          <w:szCs w:val="22"/>
          <w:lang w:val="fr-FR" w:bidi="ar-SA"/>
          <w14:ligatures w14:val="standardContextual"/>
        </w:rPr>
        <w:t>Infrastructures</w:t>
      </w:r>
      <w:r w:rsidRPr="000E3363">
        <w:rPr>
          <w:rFonts w:ascii="Times New Roman" w:eastAsia="Aptos" w:hAnsi="Times New Roman"/>
          <w:kern w:val="2"/>
          <w:szCs w:val="22"/>
          <w:lang w:val="fr-FR" w:bidi="ar-SA"/>
          <w14:ligatures w14:val="standardContextual"/>
        </w:rPr>
        <w:t xml:space="preserve">, </w:t>
      </w:r>
      <w:r w:rsidRPr="000E3363">
        <w:rPr>
          <w:rFonts w:ascii="Times New Roman" w:eastAsia="Aptos" w:hAnsi="Times New Roman"/>
          <w:i/>
          <w:iCs/>
          <w:kern w:val="2"/>
          <w:szCs w:val="22"/>
          <w:lang w:val="fr-FR" w:bidi="ar-SA"/>
          <w14:ligatures w14:val="standardContextual"/>
        </w:rPr>
        <w:t>4</w:t>
      </w:r>
      <w:r w:rsidRPr="000E3363">
        <w:rPr>
          <w:rFonts w:ascii="Times New Roman" w:eastAsia="Aptos" w:hAnsi="Times New Roman"/>
          <w:kern w:val="2"/>
          <w:szCs w:val="22"/>
          <w:lang w:val="fr-FR" w:bidi="ar-SA"/>
          <w14:ligatures w14:val="standardContextual"/>
        </w:rPr>
        <w:t>(1). https://doi.org/10.3390/infrastructures4010004</w:t>
      </w:r>
    </w:p>
    <w:p w14:paraId="6FF9DFB7"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466964">
        <w:rPr>
          <w:rFonts w:ascii="Times New Roman" w:eastAsia="Aptos" w:hAnsi="Times New Roman"/>
          <w:kern w:val="2"/>
          <w:szCs w:val="22"/>
          <w:lang w:val="fr-FR" w:bidi="ar-SA"/>
          <w14:ligatures w14:val="standardContextual"/>
        </w:rPr>
        <w:t xml:space="preserve">Seto, K., Fragkias, M., Guneralp, B., &amp; Reilly, M. (2011). </w:t>
      </w:r>
      <w:r w:rsidRPr="000E3363">
        <w:rPr>
          <w:rFonts w:ascii="Times New Roman" w:eastAsia="Aptos" w:hAnsi="Times New Roman"/>
          <w:kern w:val="2"/>
          <w:szCs w:val="22"/>
          <w:lang w:bidi="ar-SA"/>
          <w14:ligatures w14:val="standardContextual"/>
        </w:rPr>
        <w:t xml:space="preserve">A Meta-Analysis of Global Urban Land Expansion. </w:t>
      </w:r>
      <w:r w:rsidRPr="000E3363">
        <w:rPr>
          <w:rFonts w:ascii="Times New Roman" w:eastAsia="Aptos" w:hAnsi="Times New Roman"/>
          <w:i/>
          <w:iCs/>
          <w:kern w:val="2"/>
          <w:szCs w:val="22"/>
          <w:lang w:bidi="ar-SA"/>
          <w14:ligatures w14:val="standardContextual"/>
        </w:rPr>
        <w:t>PLOS ONE</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6</w:t>
      </w:r>
      <w:r w:rsidRPr="000E3363">
        <w:rPr>
          <w:rFonts w:ascii="Times New Roman" w:eastAsia="Aptos" w:hAnsi="Times New Roman"/>
          <w:kern w:val="2"/>
          <w:szCs w:val="22"/>
          <w:lang w:bidi="ar-SA"/>
          <w14:ligatures w14:val="standardContextual"/>
        </w:rPr>
        <w:t>(8). https://doi.org/10.1371/journal.pone.0023777</w:t>
      </w:r>
    </w:p>
    <w:p w14:paraId="60086A5C"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Shores, A., Johnson, H., Fugate, D., &amp; Laituri, M. (2019). Networks of need: A geospatial analysis of secondary cities. </w:t>
      </w:r>
      <w:r w:rsidRPr="000E3363">
        <w:rPr>
          <w:rFonts w:ascii="Times New Roman" w:eastAsia="Aptos" w:hAnsi="Times New Roman"/>
          <w:i/>
          <w:iCs/>
          <w:kern w:val="2"/>
          <w:szCs w:val="22"/>
          <w:lang w:bidi="ar-SA"/>
          <w14:ligatures w14:val="standardContextual"/>
        </w:rPr>
        <w:t>Applied Network Science</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4</w:t>
      </w:r>
      <w:r w:rsidRPr="000E3363">
        <w:rPr>
          <w:rFonts w:ascii="Times New Roman" w:eastAsia="Aptos" w:hAnsi="Times New Roman"/>
          <w:kern w:val="2"/>
          <w:szCs w:val="22"/>
          <w:lang w:bidi="ar-SA"/>
          <w14:ligatures w14:val="standardContextual"/>
        </w:rPr>
        <w:t>(1), 109. https://doi.org/10.1007/s41109-019-0229-x</w:t>
      </w:r>
    </w:p>
    <w:p w14:paraId="3DE5476E"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Tagnan, J. N., Amponsah, O., Takyi, S. A., Azunre, G. A., &amp; Braimah, I. (2022). A view of urban sprawl through the lens of family nuclearisation. </w:t>
      </w:r>
      <w:r w:rsidRPr="000E3363">
        <w:rPr>
          <w:rFonts w:ascii="Times New Roman" w:eastAsia="Aptos" w:hAnsi="Times New Roman"/>
          <w:i/>
          <w:iCs/>
          <w:kern w:val="2"/>
          <w:szCs w:val="22"/>
          <w:lang w:bidi="ar-SA"/>
          <w14:ligatures w14:val="standardContextual"/>
        </w:rPr>
        <w:t>Habitat International</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123</w:t>
      </w:r>
      <w:r w:rsidRPr="000E3363">
        <w:rPr>
          <w:rFonts w:ascii="Times New Roman" w:eastAsia="Aptos" w:hAnsi="Times New Roman"/>
          <w:kern w:val="2"/>
          <w:szCs w:val="22"/>
          <w:lang w:bidi="ar-SA"/>
          <w14:ligatures w14:val="standardContextual"/>
        </w:rPr>
        <w:t>, 102555. https://doi.org/10.1016/j.habitatint.2022.102555</w:t>
      </w:r>
    </w:p>
    <w:p w14:paraId="1FF2120B"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Watson, V. (2014). African urban fantasies: Dreams or nightmares? </w:t>
      </w:r>
      <w:r w:rsidRPr="000E3363">
        <w:rPr>
          <w:rFonts w:ascii="Times New Roman" w:eastAsia="Aptos" w:hAnsi="Times New Roman"/>
          <w:i/>
          <w:iCs/>
          <w:kern w:val="2"/>
          <w:szCs w:val="22"/>
          <w:lang w:bidi="ar-SA"/>
          <w14:ligatures w14:val="standardContextual"/>
        </w:rPr>
        <w:t>Environment and Urbanization</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26</w:t>
      </w:r>
      <w:r w:rsidRPr="000E3363">
        <w:rPr>
          <w:rFonts w:ascii="Times New Roman" w:eastAsia="Aptos" w:hAnsi="Times New Roman"/>
          <w:kern w:val="2"/>
          <w:szCs w:val="22"/>
          <w:lang w:bidi="ar-SA"/>
          <w14:ligatures w14:val="standardContextual"/>
        </w:rPr>
        <w:t>(1), 215–231. https://doi.org/10.1177/0956247813513705</w:t>
      </w:r>
    </w:p>
    <w:p w14:paraId="24AAE3A0"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Yang, G., Yu, Z., Zhang, J., &amp; Søderkvist Kristensen, L. (2021). From preference to landscape sustainability: A bibliometric review of landscape preference research from 1968 to 2019. </w:t>
      </w:r>
      <w:r w:rsidRPr="000E3363">
        <w:rPr>
          <w:rFonts w:ascii="Times New Roman" w:eastAsia="Aptos" w:hAnsi="Times New Roman"/>
          <w:i/>
          <w:iCs/>
          <w:kern w:val="2"/>
          <w:szCs w:val="22"/>
          <w:lang w:bidi="ar-SA"/>
          <w14:ligatures w14:val="standardContextual"/>
        </w:rPr>
        <w:t>Ecosystem Health and Sustainability</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7</w:t>
      </w:r>
      <w:r w:rsidRPr="000E3363">
        <w:rPr>
          <w:rFonts w:ascii="Times New Roman" w:eastAsia="Aptos" w:hAnsi="Times New Roman"/>
          <w:kern w:val="2"/>
          <w:szCs w:val="22"/>
          <w:lang w:bidi="ar-SA"/>
          <w14:ligatures w14:val="standardContextual"/>
        </w:rPr>
        <w:t>(1), 1948355. https://doi.org/10.1080/20964129.2021.1948355</w:t>
      </w:r>
    </w:p>
    <w:p w14:paraId="4AEB2A5F"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Yeboah, I. E. A., Maingi, J. K., &amp; Arku, G. (2020). ‘World Trade Center, Accra’: Production of urban space for the continued peripheral linkage of Ghana under globalization. </w:t>
      </w:r>
      <w:r w:rsidRPr="000E3363">
        <w:rPr>
          <w:rFonts w:ascii="Times New Roman" w:eastAsia="Aptos" w:hAnsi="Times New Roman"/>
          <w:i/>
          <w:iCs/>
          <w:kern w:val="2"/>
          <w:szCs w:val="22"/>
          <w:lang w:bidi="ar-SA"/>
          <w14:ligatures w14:val="standardContextual"/>
        </w:rPr>
        <w:t>African Geographical Review</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40</w:t>
      </w:r>
      <w:r w:rsidRPr="000E3363">
        <w:rPr>
          <w:rFonts w:ascii="Times New Roman" w:eastAsia="Aptos" w:hAnsi="Times New Roman"/>
          <w:kern w:val="2"/>
          <w:szCs w:val="22"/>
          <w:lang w:bidi="ar-SA"/>
          <w14:ligatures w14:val="standardContextual"/>
        </w:rPr>
        <w:t>(1), 19–32. https://doi.org/10.1080/19376812.2020.1755323</w:t>
      </w:r>
    </w:p>
    <w:p w14:paraId="3AC54FA9"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Yiran, G. A. B., Ablo, A. D., Asem, F. E., &amp; Owusu, G. (2020). Urban Sprawl in sub-Saharan Africa: A review of the literature in selected countries. </w:t>
      </w:r>
      <w:r w:rsidRPr="000E3363">
        <w:rPr>
          <w:rFonts w:ascii="Times New Roman" w:eastAsia="Aptos" w:hAnsi="Times New Roman"/>
          <w:i/>
          <w:iCs/>
          <w:kern w:val="2"/>
          <w:szCs w:val="22"/>
          <w:lang w:bidi="ar-SA"/>
          <w14:ligatures w14:val="standardContextual"/>
        </w:rPr>
        <w:t>Ghana Journal of Geography</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12</w:t>
      </w:r>
      <w:r w:rsidRPr="000E3363">
        <w:rPr>
          <w:rFonts w:ascii="Times New Roman" w:eastAsia="Aptos" w:hAnsi="Times New Roman"/>
          <w:kern w:val="2"/>
          <w:szCs w:val="22"/>
          <w:lang w:bidi="ar-SA"/>
          <w14:ligatures w14:val="standardContextual"/>
        </w:rPr>
        <w:t>(1), 1–28. https://doi.org/10.4314/gjg.v12i1.1</w:t>
      </w:r>
    </w:p>
    <w:p w14:paraId="3E8DD55F" w14:textId="77777777" w:rsidR="000E3363" w:rsidRPr="000E3363" w:rsidRDefault="000E3363" w:rsidP="009112A5">
      <w:pPr>
        <w:spacing w:before="240" w:line="240" w:lineRule="auto"/>
        <w:ind w:left="720" w:hanging="720"/>
        <w:rPr>
          <w:rFonts w:ascii="Times New Roman" w:eastAsia="Aptos" w:hAnsi="Times New Roman"/>
          <w:kern w:val="2"/>
          <w:szCs w:val="22"/>
          <w:lang w:bidi="ar-SA"/>
          <w14:ligatures w14:val="standardContextual"/>
        </w:rPr>
      </w:pPr>
      <w:r w:rsidRPr="000E3363">
        <w:rPr>
          <w:rFonts w:ascii="Times New Roman" w:eastAsia="Aptos" w:hAnsi="Times New Roman"/>
          <w:kern w:val="2"/>
          <w:szCs w:val="22"/>
          <w:lang w:bidi="ar-SA"/>
          <w14:ligatures w14:val="standardContextual"/>
        </w:rPr>
        <w:t xml:space="preserve">Zhao, S. (2011). Simulation of Mass Fire-Spread in Urban Densely Built Areas Based on Irregular Coarse Cellular Automata. </w:t>
      </w:r>
      <w:r w:rsidRPr="000E3363">
        <w:rPr>
          <w:rFonts w:ascii="Times New Roman" w:eastAsia="Aptos" w:hAnsi="Times New Roman"/>
          <w:i/>
          <w:iCs/>
          <w:kern w:val="2"/>
          <w:szCs w:val="22"/>
          <w:lang w:bidi="ar-SA"/>
          <w14:ligatures w14:val="standardContextual"/>
        </w:rPr>
        <w:t>Fire Technology</w:t>
      </w:r>
      <w:r w:rsidRPr="000E3363">
        <w:rPr>
          <w:rFonts w:ascii="Times New Roman" w:eastAsia="Aptos" w:hAnsi="Times New Roman"/>
          <w:kern w:val="2"/>
          <w:szCs w:val="22"/>
          <w:lang w:bidi="ar-SA"/>
          <w14:ligatures w14:val="standardContextual"/>
        </w:rPr>
        <w:t xml:space="preserve">, </w:t>
      </w:r>
      <w:r w:rsidRPr="000E3363">
        <w:rPr>
          <w:rFonts w:ascii="Times New Roman" w:eastAsia="Aptos" w:hAnsi="Times New Roman"/>
          <w:i/>
          <w:iCs/>
          <w:kern w:val="2"/>
          <w:szCs w:val="22"/>
          <w:lang w:bidi="ar-SA"/>
          <w14:ligatures w14:val="standardContextual"/>
        </w:rPr>
        <w:t>47</w:t>
      </w:r>
      <w:r w:rsidRPr="000E3363">
        <w:rPr>
          <w:rFonts w:ascii="Times New Roman" w:eastAsia="Aptos" w:hAnsi="Times New Roman"/>
          <w:kern w:val="2"/>
          <w:szCs w:val="22"/>
          <w:lang w:bidi="ar-SA"/>
          <w14:ligatures w14:val="standardContextual"/>
        </w:rPr>
        <w:t>(3), 721–749. https://doi.org/10.1007/s10694-010-0187-4</w:t>
      </w:r>
    </w:p>
    <w:p w14:paraId="08CB9F00" w14:textId="30BBE8B2" w:rsidR="00590F94" w:rsidRPr="00103457" w:rsidRDefault="000E3363" w:rsidP="005D42BA">
      <w:pPr>
        <w:spacing w:after="160" w:line="240" w:lineRule="auto"/>
        <w:rPr>
          <w:rFonts w:ascii="Aptos" w:eastAsia="Aptos" w:hAnsi="Aptos"/>
          <w:b/>
          <w:bCs/>
          <w:sz w:val="22"/>
          <w:szCs w:val="22"/>
          <w:lang w:bidi="ar-SA"/>
          <w14:ligatures w14:val="standardContextual"/>
        </w:rPr>
      </w:pPr>
      <w:r w:rsidRPr="000E3363">
        <w:rPr>
          <w:rFonts w:ascii="Times New Roman" w:eastAsia="Aptos" w:hAnsi="Times New Roman"/>
          <w:kern w:val="2"/>
          <w:lang w:bidi="ar-SA"/>
          <w14:ligatures w14:val="standardContextual"/>
        </w:rPr>
        <w:fldChar w:fldCharType="end"/>
      </w:r>
    </w:p>
    <w:p w14:paraId="433EB609" w14:textId="17F2966F" w:rsidR="00B865D1" w:rsidRPr="00103457" w:rsidRDefault="00DA7E24" w:rsidP="002B23DE">
      <w:pPr>
        <w:pStyle w:val="Heading1"/>
      </w:pPr>
      <w:bookmarkStart w:id="122" w:name="_Toc172288745"/>
      <w:r w:rsidRPr="00DA7E24">
        <w:lastRenderedPageBreak/>
        <w:t xml:space="preserve">Chapter </w:t>
      </w:r>
      <w:r w:rsidR="00D307AF">
        <w:t>4</w:t>
      </w:r>
      <w:r w:rsidR="00590F94">
        <w:t xml:space="preserve">: </w:t>
      </w:r>
      <w:r w:rsidR="00B865D1" w:rsidRPr="00103457">
        <w:t xml:space="preserve">Projecting </w:t>
      </w:r>
      <w:r w:rsidR="003278D7">
        <w:t>U</w:t>
      </w:r>
      <w:r w:rsidR="00B865D1" w:rsidRPr="00103457">
        <w:t xml:space="preserve">rban </w:t>
      </w:r>
      <w:r w:rsidR="003278D7">
        <w:t>E</w:t>
      </w:r>
      <w:r w:rsidR="00B865D1" w:rsidRPr="00103457">
        <w:t xml:space="preserve">xpansion </w:t>
      </w:r>
      <w:r w:rsidR="003278D7">
        <w:t>A</w:t>
      </w:r>
      <w:r w:rsidR="00B865D1" w:rsidRPr="00103457">
        <w:t xml:space="preserve">cross the West Africa's </w:t>
      </w:r>
      <w:r w:rsidR="003278D7">
        <w:t>U</w:t>
      </w:r>
      <w:r w:rsidR="00B865D1" w:rsidRPr="00103457">
        <w:t xml:space="preserve">rban </w:t>
      </w:r>
      <w:r w:rsidR="003278D7">
        <w:t>S</w:t>
      </w:r>
      <w:r w:rsidR="00B865D1" w:rsidRPr="00103457">
        <w:t>ystem</w:t>
      </w:r>
      <w:bookmarkEnd w:id="122"/>
    </w:p>
    <w:p w14:paraId="558FBAA7" w14:textId="77777777" w:rsidR="00103457" w:rsidRPr="00103457" w:rsidRDefault="00103457" w:rsidP="00103457">
      <w:pPr>
        <w:spacing w:after="160" w:line="259" w:lineRule="auto"/>
        <w:rPr>
          <w:rFonts w:ascii="Aptos" w:eastAsia="Aptos" w:hAnsi="Aptos"/>
          <w:b/>
          <w:bCs/>
          <w:sz w:val="22"/>
          <w:szCs w:val="22"/>
          <w:lang w:bidi="ar-SA"/>
          <w14:ligatures w14:val="standardContextual"/>
        </w:rPr>
      </w:pPr>
    </w:p>
    <w:p w14:paraId="05F88B2A" w14:textId="77777777" w:rsidR="00103457" w:rsidRPr="00103457" w:rsidRDefault="00103457" w:rsidP="00103457">
      <w:pPr>
        <w:spacing w:after="160" w:line="259" w:lineRule="auto"/>
        <w:rPr>
          <w:rFonts w:ascii="Aptos" w:eastAsia="Aptos" w:hAnsi="Aptos"/>
          <w:b/>
          <w:bCs/>
          <w:sz w:val="22"/>
          <w:szCs w:val="22"/>
          <w:lang w:bidi="ar-SA"/>
          <w14:ligatures w14:val="standardContextual"/>
        </w:rPr>
      </w:pPr>
    </w:p>
    <w:p w14:paraId="2AFF6C5A" w14:textId="77777777" w:rsidR="00103457" w:rsidRPr="00103457" w:rsidRDefault="00103457" w:rsidP="00103457">
      <w:pPr>
        <w:spacing w:after="160" w:line="259" w:lineRule="auto"/>
        <w:rPr>
          <w:rFonts w:ascii="Aptos" w:eastAsia="Aptos" w:hAnsi="Aptos"/>
          <w:b/>
          <w:bCs/>
          <w:sz w:val="22"/>
          <w:szCs w:val="22"/>
          <w:lang w:bidi="ar-SA"/>
          <w14:ligatures w14:val="standardContextual"/>
        </w:rPr>
      </w:pPr>
    </w:p>
    <w:p w14:paraId="23EC84F9" w14:textId="77777777" w:rsidR="00103457" w:rsidRPr="00103457" w:rsidRDefault="00103457" w:rsidP="00103457">
      <w:pPr>
        <w:spacing w:after="160" w:line="259" w:lineRule="auto"/>
        <w:rPr>
          <w:rFonts w:ascii="Aptos" w:eastAsia="Aptos" w:hAnsi="Aptos"/>
          <w:b/>
          <w:bCs/>
          <w:sz w:val="22"/>
          <w:szCs w:val="22"/>
          <w:lang w:bidi="ar-SA"/>
          <w14:ligatures w14:val="standardContextual"/>
        </w:rPr>
      </w:pPr>
    </w:p>
    <w:p w14:paraId="43B61AD9" w14:textId="77777777" w:rsidR="00103457" w:rsidRPr="00103457" w:rsidRDefault="00103457" w:rsidP="00103457">
      <w:pPr>
        <w:spacing w:after="160" w:line="259" w:lineRule="auto"/>
        <w:rPr>
          <w:rFonts w:ascii="Aptos" w:eastAsia="Aptos" w:hAnsi="Aptos"/>
          <w:b/>
          <w:bCs/>
          <w:sz w:val="22"/>
          <w:szCs w:val="22"/>
          <w:lang w:bidi="ar-SA"/>
          <w14:ligatures w14:val="standardContextual"/>
        </w:rPr>
      </w:pPr>
    </w:p>
    <w:p w14:paraId="3C30E13B" w14:textId="77777777" w:rsidR="00103457" w:rsidRPr="00103457" w:rsidRDefault="00103457" w:rsidP="00103457">
      <w:pPr>
        <w:spacing w:after="160" w:line="259" w:lineRule="auto"/>
        <w:rPr>
          <w:rFonts w:ascii="Aptos" w:eastAsia="Aptos" w:hAnsi="Aptos"/>
          <w:b/>
          <w:bCs/>
          <w:sz w:val="22"/>
          <w:szCs w:val="22"/>
          <w:lang w:bidi="ar-SA"/>
          <w14:ligatures w14:val="standardContextual"/>
        </w:rPr>
      </w:pPr>
    </w:p>
    <w:p w14:paraId="3A3D6B93" w14:textId="77777777" w:rsidR="00103457" w:rsidRPr="00103457" w:rsidRDefault="00103457" w:rsidP="00103457">
      <w:pPr>
        <w:spacing w:after="160" w:line="259" w:lineRule="auto"/>
        <w:rPr>
          <w:rFonts w:ascii="Aptos" w:eastAsia="Aptos" w:hAnsi="Aptos"/>
          <w:b/>
          <w:bCs/>
          <w:sz w:val="22"/>
          <w:szCs w:val="22"/>
          <w:lang w:bidi="ar-SA"/>
          <w14:ligatures w14:val="standardContextual"/>
        </w:rPr>
      </w:pPr>
    </w:p>
    <w:p w14:paraId="6154C9C1" w14:textId="77777777" w:rsidR="00103457" w:rsidRDefault="00103457" w:rsidP="00103457">
      <w:pPr>
        <w:spacing w:after="160" w:line="259" w:lineRule="auto"/>
        <w:rPr>
          <w:rFonts w:ascii="Aptos" w:eastAsia="Aptos" w:hAnsi="Aptos"/>
          <w:b/>
          <w:bCs/>
          <w:sz w:val="22"/>
          <w:szCs w:val="22"/>
          <w:lang w:bidi="ar-SA"/>
          <w14:ligatures w14:val="standardContextual"/>
        </w:rPr>
      </w:pPr>
    </w:p>
    <w:p w14:paraId="3AB7B98B" w14:textId="77777777" w:rsidR="00590F94" w:rsidRDefault="00590F94" w:rsidP="00103457">
      <w:pPr>
        <w:spacing w:after="160" w:line="259" w:lineRule="auto"/>
        <w:rPr>
          <w:rFonts w:ascii="Aptos" w:eastAsia="Aptos" w:hAnsi="Aptos"/>
          <w:b/>
          <w:bCs/>
          <w:sz w:val="22"/>
          <w:szCs w:val="22"/>
          <w:lang w:bidi="ar-SA"/>
          <w14:ligatures w14:val="standardContextual"/>
        </w:rPr>
      </w:pPr>
    </w:p>
    <w:p w14:paraId="39447FD5" w14:textId="77777777" w:rsidR="00590F94" w:rsidRDefault="00590F94" w:rsidP="00103457">
      <w:pPr>
        <w:spacing w:after="160" w:line="259" w:lineRule="auto"/>
        <w:rPr>
          <w:rFonts w:ascii="Aptos" w:eastAsia="Aptos" w:hAnsi="Aptos"/>
          <w:b/>
          <w:bCs/>
          <w:sz w:val="22"/>
          <w:szCs w:val="22"/>
          <w:lang w:bidi="ar-SA"/>
          <w14:ligatures w14:val="standardContextual"/>
        </w:rPr>
      </w:pPr>
    </w:p>
    <w:p w14:paraId="666F9D0D" w14:textId="77777777" w:rsidR="00590F94" w:rsidRDefault="00590F94" w:rsidP="00103457">
      <w:pPr>
        <w:spacing w:after="160" w:line="259" w:lineRule="auto"/>
        <w:rPr>
          <w:rFonts w:ascii="Aptos" w:eastAsia="Aptos" w:hAnsi="Aptos"/>
          <w:b/>
          <w:bCs/>
          <w:sz w:val="22"/>
          <w:szCs w:val="22"/>
          <w:lang w:bidi="ar-SA"/>
          <w14:ligatures w14:val="standardContextual"/>
        </w:rPr>
      </w:pPr>
    </w:p>
    <w:p w14:paraId="1DC25408" w14:textId="77777777" w:rsidR="00590F94" w:rsidRPr="00103457" w:rsidRDefault="00590F94" w:rsidP="00103457">
      <w:pPr>
        <w:spacing w:after="160" w:line="259" w:lineRule="auto"/>
        <w:rPr>
          <w:rFonts w:ascii="Aptos" w:eastAsia="Aptos" w:hAnsi="Aptos"/>
          <w:b/>
          <w:bCs/>
          <w:sz w:val="22"/>
          <w:szCs w:val="22"/>
          <w:lang w:bidi="ar-SA"/>
          <w14:ligatures w14:val="standardContextual"/>
        </w:rPr>
      </w:pPr>
    </w:p>
    <w:p w14:paraId="63241AA2" w14:textId="77777777" w:rsidR="000951F5" w:rsidRDefault="000951F5" w:rsidP="00B865D1">
      <w:pPr>
        <w:spacing w:line="360" w:lineRule="auto"/>
        <w:jc w:val="both"/>
        <w:rPr>
          <w:rFonts w:ascii="Times New Roman" w:eastAsia="Aptos" w:hAnsi="Times New Roman"/>
          <w:lang w:bidi="ar-SA"/>
          <w14:ligatures w14:val="standardContextual"/>
        </w:rPr>
      </w:pPr>
    </w:p>
    <w:p w14:paraId="5F41BE38" w14:textId="77777777" w:rsidR="000951F5" w:rsidRDefault="000951F5" w:rsidP="00B865D1">
      <w:pPr>
        <w:spacing w:line="360" w:lineRule="auto"/>
        <w:jc w:val="both"/>
        <w:rPr>
          <w:rFonts w:ascii="Times New Roman" w:eastAsia="Aptos" w:hAnsi="Times New Roman"/>
          <w:lang w:bidi="ar-SA"/>
          <w14:ligatures w14:val="standardContextual"/>
        </w:rPr>
      </w:pPr>
    </w:p>
    <w:p w14:paraId="250C5A3B" w14:textId="77777777" w:rsidR="00687127" w:rsidRDefault="00687127" w:rsidP="00B865D1">
      <w:pPr>
        <w:spacing w:line="360" w:lineRule="auto"/>
        <w:jc w:val="both"/>
        <w:rPr>
          <w:rFonts w:ascii="Times New Roman" w:eastAsia="Aptos" w:hAnsi="Times New Roman"/>
          <w:lang w:bidi="ar-SA"/>
          <w14:ligatures w14:val="standardContextual"/>
        </w:rPr>
      </w:pPr>
    </w:p>
    <w:p w14:paraId="0ED82535" w14:textId="77777777" w:rsidR="00687127" w:rsidRDefault="00687127" w:rsidP="00B865D1">
      <w:pPr>
        <w:spacing w:line="360" w:lineRule="auto"/>
        <w:jc w:val="both"/>
        <w:rPr>
          <w:rFonts w:ascii="Times New Roman" w:eastAsia="Aptos" w:hAnsi="Times New Roman"/>
          <w:lang w:bidi="ar-SA"/>
          <w14:ligatures w14:val="standardContextual"/>
        </w:rPr>
      </w:pPr>
    </w:p>
    <w:p w14:paraId="5AF4B6DA" w14:textId="77777777" w:rsidR="00687127" w:rsidRDefault="00687127" w:rsidP="00B865D1">
      <w:pPr>
        <w:spacing w:line="360" w:lineRule="auto"/>
        <w:jc w:val="both"/>
        <w:rPr>
          <w:rFonts w:ascii="Times New Roman" w:eastAsia="Aptos" w:hAnsi="Times New Roman"/>
          <w:lang w:bidi="ar-SA"/>
          <w14:ligatures w14:val="standardContextual"/>
        </w:rPr>
      </w:pPr>
    </w:p>
    <w:p w14:paraId="1A8E852D" w14:textId="77777777" w:rsidR="00687127" w:rsidRDefault="00687127" w:rsidP="00B865D1">
      <w:pPr>
        <w:spacing w:line="360" w:lineRule="auto"/>
        <w:jc w:val="both"/>
        <w:rPr>
          <w:rFonts w:ascii="Times New Roman" w:eastAsia="Aptos" w:hAnsi="Times New Roman"/>
          <w:lang w:bidi="ar-SA"/>
          <w14:ligatures w14:val="standardContextual"/>
        </w:rPr>
      </w:pPr>
    </w:p>
    <w:p w14:paraId="24FC7D94" w14:textId="77777777" w:rsidR="00687127" w:rsidRDefault="00687127" w:rsidP="00B865D1">
      <w:pPr>
        <w:spacing w:line="360" w:lineRule="auto"/>
        <w:jc w:val="both"/>
        <w:rPr>
          <w:rFonts w:ascii="Times New Roman" w:eastAsia="Aptos" w:hAnsi="Times New Roman"/>
          <w:lang w:bidi="ar-SA"/>
          <w14:ligatures w14:val="standardContextual"/>
        </w:rPr>
      </w:pPr>
    </w:p>
    <w:p w14:paraId="75FC925F" w14:textId="77777777" w:rsidR="00626715" w:rsidRDefault="00626715" w:rsidP="00B865D1">
      <w:pPr>
        <w:spacing w:line="360" w:lineRule="auto"/>
        <w:jc w:val="both"/>
        <w:rPr>
          <w:rFonts w:ascii="Times New Roman" w:eastAsia="Aptos" w:hAnsi="Times New Roman"/>
          <w:lang w:bidi="ar-SA"/>
          <w14:ligatures w14:val="standardContextual"/>
        </w:rPr>
      </w:pPr>
    </w:p>
    <w:p w14:paraId="5E6647E0" w14:textId="77777777" w:rsidR="00687127" w:rsidRDefault="00687127" w:rsidP="00B865D1">
      <w:pPr>
        <w:spacing w:line="360" w:lineRule="auto"/>
        <w:jc w:val="both"/>
        <w:rPr>
          <w:rFonts w:ascii="Times New Roman" w:eastAsia="Aptos" w:hAnsi="Times New Roman"/>
          <w:lang w:bidi="ar-SA"/>
          <w14:ligatures w14:val="standardContextual"/>
        </w:rPr>
      </w:pPr>
    </w:p>
    <w:p w14:paraId="7D8EB3F8" w14:textId="77777777" w:rsidR="00687127" w:rsidRDefault="00687127" w:rsidP="00B865D1">
      <w:pPr>
        <w:spacing w:line="360" w:lineRule="auto"/>
        <w:jc w:val="both"/>
        <w:rPr>
          <w:rFonts w:ascii="Times New Roman" w:eastAsia="Aptos" w:hAnsi="Times New Roman"/>
          <w:lang w:bidi="ar-SA"/>
          <w14:ligatures w14:val="standardContextual"/>
        </w:rPr>
      </w:pPr>
    </w:p>
    <w:p w14:paraId="0ED983FF" w14:textId="77777777" w:rsidR="005A49BB" w:rsidRDefault="005A49BB" w:rsidP="00B865D1">
      <w:pPr>
        <w:spacing w:line="360" w:lineRule="auto"/>
        <w:jc w:val="both"/>
        <w:rPr>
          <w:rFonts w:ascii="Times New Roman" w:eastAsia="Aptos" w:hAnsi="Times New Roman"/>
          <w:lang w:bidi="ar-SA"/>
          <w14:ligatures w14:val="standardContextual"/>
        </w:rPr>
      </w:pPr>
    </w:p>
    <w:p w14:paraId="33EB56CF" w14:textId="77777777" w:rsidR="000951F5" w:rsidRDefault="000951F5" w:rsidP="00B865D1">
      <w:pPr>
        <w:spacing w:line="360" w:lineRule="auto"/>
        <w:jc w:val="both"/>
        <w:rPr>
          <w:rFonts w:ascii="Times New Roman" w:eastAsia="Aptos" w:hAnsi="Times New Roman"/>
          <w:lang w:bidi="ar-SA"/>
          <w14:ligatures w14:val="standardContextual"/>
        </w:rPr>
      </w:pPr>
    </w:p>
    <w:p w14:paraId="423AE696" w14:textId="525FE287" w:rsidR="00B865D1" w:rsidRPr="00103457" w:rsidRDefault="00B865D1" w:rsidP="00B865D1">
      <w:pPr>
        <w:spacing w:line="360" w:lineRule="auto"/>
        <w:jc w:val="both"/>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Keywords: FUTURES, West Africa urban system, urban expansion, cities, input variables</w:t>
      </w:r>
    </w:p>
    <w:p w14:paraId="0CCCEBC6" w14:textId="77777777" w:rsidR="00103457" w:rsidRPr="00103457" w:rsidRDefault="00103457" w:rsidP="00103457">
      <w:pPr>
        <w:spacing w:after="160" w:line="259" w:lineRule="auto"/>
        <w:rPr>
          <w:rFonts w:ascii="Aptos" w:eastAsia="Aptos" w:hAnsi="Aptos"/>
          <w:b/>
          <w:bCs/>
          <w:sz w:val="22"/>
          <w:szCs w:val="22"/>
          <w:lang w:bidi="ar-SA"/>
          <w14:ligatures w14:val="standardContextual"/>
        </w:rPr>
      </w:pPr>
    </w:p>
    <w:p w14:paraId="20677245" w14:textId="77777777" w:rsidR="00103457" w:rsidRPr="00103457" w:rsidRDefault="00103457" w:rsidP="00103457">
      <w:pPr>
        <w:spacing w:after="160" w:line="259" w:lineRule="auto"/>
        <w:rPr>
          <w:rFonts w:ascii="Aptos" w:eastAsia="Aptos" w:hAnsi="Aptos"/>
          <w:b/>
          <w:bCs/>
          <w:sz w:val="22"/>
          <w:szCs w:val="22"/>
          <w:lang w:bidi="ar-SA"/>
          <w14:ligatures w14:val="standardContextual"/>
        </w:rPr>
      </w:pPr>
    </w:p>
    <w:p w14:paraId="6C2D820E" w14:textId="0E7151CB" w:rsidR="00103457" w:rsidRPr="00103457" w:rsidRDefault="00103457" w:rsidP="002B23DE">
      <w:pPr>
        <w:pStyle w:val="Heading1"/>
      </w:pPr>
      <w:bookmarkStart w:id="123" w:name="_Toc172288746"/>
      <w:r w:rsidRPr="00103457">
        <w:lastRenderedPageBreak/>
        <w:t>Abstract</w:t>
      </w:r>
      <w:bookmarkEnd w:id="123"/>
    </w:p>
    <w:p w14:paraId="0C3DAE80" w14:textId="4EF82A82" w:rsidR="009557BC" w:rsidRDefault="00BF7E8C" w:rsidP="007630B8">
      <w:pPr>
        <w:rPr>
          <w:rFonts w:ascii="Times New Roman" w:eastAsia="Aptos" w:hAnsi="Times New Roman"/>
          <w:lang w:bidi="ar-SA"/>
          <w14:ligatures w14:val="standardContextual"/>
        </w:rPr>
      </w:pPr>
      <w:r w:rsidRPr="5929D2E2">
        <w:rPr>
          <w:rFonts w:ascii="Times New Roman" w:hAnsi="Times New Roman"/>
        </w:rPr>
        <w:t xml:space="preserve">Most previous spatiotemporal urban simulation studies in West Africa mostly focused on individual cities with an urban population of over a million. However, cities of varying population sizes in the region are increasingly interconnected, and urbanization extends beyond individual city boundaries. To further explore potential future development patterns and for consideration of their implications for urban planning and environmental protection, we used the </w:t>
      </w:r>
      <w:r w:rsidRPr="5929D2E2">
        <w:rPr>
          <w:rFonts w:ascii="Times New Roman" w:hAnsi="Times New Roman"/>
          <w:b/>
          <w:bCs/>
        </w:rPr>
        <w:t>FUT</w:t>
      </w:r>
      <w:r w:rsidRPr="5929D2E2">
        <w:rPr>
          <w:rFonts w:ascii="Times New Roman" w:hAnsi="Times New Roman"/>
        </w:rPr>
        <w:t xml:space="preserve">ure </w:t>
      </w:r>
      <w:r w:rsidRPr="5929D2E2">
        <w:rPr>
          <w:rFonts w:ascii="Times New Roman" w:hAnsi="Times New Roman"/>
          <w:b/>
          <w:bCs/>
        </w:rPr>
        <w:t>U</w:t>
      </w:r>
      <w:r w:rsidRPr="5929D2E2">
        <w:rPr>
          <w:rFonts w:ascii="Times New Roman" w:hAnsi="Times New Roman"/>
        </w:rPr>
        <w:t xml:space="preserve">rban </w:t>
      </w:r>
      <w:r w:rsidRPr="5929D2E2">
        <w:rPr>
          <w:rFonts w:ascii="Times New Roman" w:hAnsi="Times New Roman"/>
          <w:b/>
          <w:bCs/>
        </w:rPr>
        <w:t>RE</w:t>
      </w:r>
      <w:r w:rsidRPr="5929D2E2">
        <w:rPr>
          <w:rFonts w:ascii="Times New Roman" w:hAnsi="Times New Roman"/>
        </w:rPr>
        <w:t xml:space="preserve">gional and </w:t>
      </w:r>
      <w:r w:rsidRPr="5929D2E2">
        <w:rPr>
          <w:rFonts w:ascii="Times New Roman" w:hAnsi="Times New Roman"/>
          <w:b/>
          <w:bCs/>
        </w:rPr>
        <w:t>S</w:t>
      </w:r>
      <w:r w:rsidRPr="5929D2E2">
        <w:rPr>
          <w:rFonts w:ascii="Times New Roman" w:hAnsi="Times New Roman"/>
        </w:rPr>
        <w:t>imulation (FUTURES) model. First, we calibrated and validated FUTURES for the study area, and then we projected urban expansion in West Africa until 2050 with a one</w:t>
      </w:r>
      <w:r w:rsidR="00B57FA5">
        <w:rPr>
          <w:rFonts w:ascii="Times New Roman" w:hAnsi="Times New Roman"/>
        </w:rPr>
        <w:t>-</w:t>
      </w:r>
      <w:r w:rsidRPr="5929D2E2">
        <w:rPr>
          <w:rFonts w:ascii="Times New Roman" w:hAnsi="Times New Roman"/>
        </w:rPr>
        <w:t xml:space="preserve">year time step and a spatial resolution of 30 meters. The results indicate that the lack of consistent, high-resolution spatial data for the input variables limited FUTURES’ ability to represent urban expansion differences for cities of different sizes (small, medium, and large cities). New developments were mostly influenced by proximity to previous developments and elevation and hillshade were generally less important factors across cities. Simulation of potential future developed areas indicated an increase in the simulated developed area increased of 8.7 times between 2020 and 2050, with most of the expansion occurring between 2030 – 2040 and generally high annual expansion rates of 3.8% to 14.3% across the study area. </w:t>
      </w:r>
      <w:r w:rsidRPr="5929D2E2">
        <w:rPr>
          <w:rFonts w:ascii="Times New Roman" w:hAnsi="Times New Roman"/>
          <w:color w:val="000000" w:themeColor="text1"/>
        </w:rPr>
        <w:t>Also, the simulation results show dispersed urban expansion, which is often costly to people and the environment.</w:t>
      </w:r>
      <w:r w:rsidRPr="5929D2E2">
        <w:rPr>
          <w:rFonts w:ascii="Times New Roman" w:hAnsi="Times New Roman"/>
        </w:rPr>
        <w:t xml:space="preserve"> Overall, the availability of consistent finer-scale input data would tremendously increase the quality of </w:t>
      </w:r>
      <w:r w:rsidR="0010552E">
        <w:rPr>
          <w:rFonts w:ascii="Times New Roman" w:hAnsi="Times New Roman"/>
        </w:rPr>
        <w:t>projections</w:t>
      </w:r>
      <w:r w:rsidR="00B410E0">
        <w:rPr>
          <w:rFonts w:ascii="Times New Roman" w:hAnsi="Times New Roman"/>
        </w:rPr>
        <w:t xml:space="preserve">. </w:t>
      </w:r>
      <w:r w:rsidR="0090108D">
        <w:rPr>
          <w:rFonts w:ascii="Times New Roman" w:hAnsi="Times New Roman"/>
        </w:rPr>
        <w:t>U</w:t>
      </w:r>
      <w:r w:rsidRPr="5929D2E2">
        <w:rPr>
          <w:rFonts w:ascii="Times New Roman" w:hAnsi="Times New Roman"/>
        </w:rPr>
        <w:t xml:space="preserve">rban expansion modelers </w:t>
      </w:r>
      <w:r w:rsidR="0090108D">
        <w:rPr>
          <w:rFonts w:ascii="Times New Roman" w:hAnsi="Times New Roman"/>
        </w:rPr>
        <w:t>can</w:t>
      </w:r>
      <w:r w:rsidR="00B410E0">
        <w:rPr>
          <w:rFonts w:ascii="Times New Roman" w:hAnsi="Times New Roman"/>
        </w:rPr>
        <w:t xml:space="preserve"> also </w:t>
      </w:r>
      <w:r w:rsidRPr="5929D2E2">
        <w:rPr>
          <w:rFonts w:ascii="Times New Roman" w:hAnsi="Times New Roman"/>
        </w:rPr>
        <w:t>run multiple future simulations of urban expansion across the study area and incorporat</w:t>
      </w:r>
      <w:r w:rsidR="00B410E0">
        <w:rPr>
          <w:rFonts w:ascii="Times New Roman" w:hAnsi="Times New Roman"/>
        </w:rPr>
        <w:t>e</w:t>
      </w:r>
      <w:r w:rsidRPr="5929D2E2">
        <w:rPr>
          <w:rFonts w:ascii="Times New Roman" w:hAnsi="Times New Roman"/>
        </w:rPr>
        <w:t xml:space="preserve"> policy-relevant scenarios to better support decision-making in West Africa.</w:t>
      </w:r>
    </w:p>
    <w:p w14:paraId="53E24391" w14:textId="77777777" w:rsidR="00B865D1" w:rsidRDefault="00B865D1" w:rsidP="00103457">
      <w:pPr>
        <w:spacing w:line="360" w:lineRule="auto"/>
        <w:rPr>
          <w:rFonts w:ascii="Times New Roman" w:eastAsia="Aptos" w:hAnsi="Times New Roman"/>
          <w:lang w:bidi="ar-SA"/>
          <w14:ligatures w14:val="standardContextual"/>
        </w:rPr>
      </w:pPr>
    </w:p>
    <w:p w14:paraId="7E167500" w14:textId="77777777" w:rsidR="00B865D1" w:rsidRPr="00103457" w:rsidRDefault="00B865D1" w:rsidP="00103457">
      <w:pPr>
        <w:spacing w:line="360" w:lineRule="auto"/>
        <w:rPr>
          <w:rFonts w:ascii="Times New Roman" w:eastAsia="Aptos" w:hAnsi="Times New Roman"/>
          <w:lang w:bidi="ar-SA"/>
          <w14:ligatures w14:val="standardContextual"/>
        </w:rPr>
      </w:pPr>
    </w:p>
    <w:p w14:paraId="0CC01C1A" w14:textId="77777777" w:rsidR="00CD495B" w:rsidRPr="00CD495B" w:rsidRDefault="00CD495B" w:rsidP="00CD495B">
      <w:pPr>
        <w:pStyle w:val="ListParagraph"/>
        <w:keepNext/>
        <w:numPr>
          <w:ilvl w:val="0"/>
          <w:numId w:val="10"/>
        </w:numPr>
        <w:contextualSpacing w:val="0"/>
        <w:outlineLvl w:val="1"/>
        <w:rPr>
          <w:rFonts w:asciiTheme="majorHAnsi" w:hAnsiTheme="majorHAnsi"/>
          <w:b/>
          <w:bCs/>
          <w:iCs/>
          <w:vanish/>
          <w:szCs w:val="28"/>
          <w:lang w:bidi="ar-SA"/>
        </w:rPr>
      </w:pPr>
    </w:p>
    <w:p w14:paraId="365F986C" w14:textId="17A414D6" w:rsidR="00103457" w:rsidRPr="00CD495B" w:rsidRDefault="00103457" w:rsidP="00590F94">
      <w:pPr>
        <w:pStyle w:val="Heading2"/>
      </w:pPr>
      <w:bookmarkStart w:id="124" w:name="_Toc172288747"/>
      <w:r w:rsidRPr="00CD495B">
        <w:t>Introduction</w:t>
      </w:r>
      <w:bookmarkEnd w:id="124"/>
    </w:p>
    <w:p w14:paraId="1DFA12B8" w14:textId="77777777" w:rsidR="00DB4731" w:rsidRPr="00601982" w:rsidRDefault="00DB4731" w:rsidP="007630B8">
      <w:pPr>
        <w:rPr>
          <w:rFonts w:ascii="Times New Roman" w:hAnsi="Times New Roman"/>
          <w:color w:val="000000"/>
          <w:shd w:val="clear" w:color="auto" w:fill="FFFFFF"/>
        </w:rPr>
      </w:pPr>
      <w:r>
        <w:rPr>
          <w:rFonts w:ascii="Times New Roman" w:hAnsi="Times New Roman"/>
          <w:color w:val="000000"/>
          <w:shd w:val="clear" w:color="auto" w:fill="FFFFFF"/>
        </w:rPr>
        <w:t>In 2022,</w:t>
      </w:r>
      <w:r w:rsidRPr="00601982">
        <w:rPr>
          <w:rFonts w:ascii="Times New Roman" w:hAnsi="Times New Roman"/>
          <w:color w:val="000000"/>
          <w:shd w:val="clear" w:color="auto" w:fill="FFFFFF"/>
        </w:rPr>
        <w:t xml:space="preserve"> 57% of the </w:t>
      </w:r>
      <w:r>
        <w:rPr>
          <w:rFonts w:ascii="Times New Roman" w:hAnsi="Times New Roman"/>
          <w:color w:val="000000"/>
          <w:shd w:val="clear" w:color="auto" w:fill="FFFFFF"/>
        </w:rPr>
        <w:t xml:space="preserve">global </w:t>
      </w:r>
      <w:r w:rsidRPr="00601982">
        <w:rPr>
          <w:rFonts w:ascii="Times New Roman" w:hAnsi="Times New Roman"/>
          <w:color w:val="000000"/>
          <w:shd w:val="clear" w:color="auto" w:fill="FFFFFF"/>
        </w:rPr>
        <w:t>population res</w:t>
      </w:r>
      <w:r>
        <w:rPr>
          <w:rFonts w:ascii="Times New Roman" w:hAnsi="Times New Roman"/>
          <w:color w:val="000000"/>
          <w:shd w:val="clear" w:color="auto" w:fill="FFFFFF"/>
        </w:rPr>
        <w:t>ided</w:t>
      </w:r>
      <w:r w:rsidRPr="00601982">
        <w:rPr>
          <w:rFonts w:ascii="Times New Roman" w:hAnsi="Times New Roman"/>
          <w:color w:val="000000"/>
          <w:shd w:val="clear" w:color="auto" w:fill="FFFFFF"/>
        </w:rPr>
        <w:t xml:space="preserve"> in urban centers</w:t>
      </w:r>
      <w:r>
        <w:rPr>
          <w:rFonts w:ascii="Times New Roman" w:hAnsi="Times New Roman"/>
          <w:color w:val="000000"/>
          <w:shd w:val="clear" w:color="auto" w:fill="FFFFFF"/>
        </w:rPr>
        <w:t xml:space="preserve">, and projections are that 90% of future urbanization will occur in low-income countries compared to 10% in </w:t>
      </w:r>
      <w:r w:rsidRPr="00601982">
        <w:rPr>
          <w:rFonts w:ascii="Times New Roman" w:hAnsi="Times New Roman"/>
          <w:color w:val="000000"/>
          <w:shd w:val="clear" w:color="auto" w:fill="FFFFFF"/>
        </w:rPr>
        <w:t>high-income countries</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{"citationID":"VDUvbYce","properties":{"formattedCitation":"(OECD et al., 2022)","plainCitation":"(OECD et al., 2022)","noteIndex":0},"citationItems":[{"id":818,"uris":["http://zotero.org/users/8906743/items/PXW547XN"],"itemData":{"id":818,"type":"book","collection-title":"West African Studies","ISBN":"978-92-64-91580-0","language":"en","note":"DOI: 10.1787/3834ed5b-en","publisher":"OECD","source":"DOI.org (Crossref)","title":"Africa’s Urbanisation Dynamics 2022: The Economic Power of Africa’s Cities","title-short":"Africa’s Urbanisation Dynamics 2022","URL":"https://www.oecd-ilibrary.org/development/africa-s-urbanisation-dynamics-2022_3834ed5b-en","author":[{"literal":"OECD"},{"literal":"United Nations Economic Commission for Africa"},{"literal":"African Development Bank"}],"accessed":{"date-parts":[["2023",4,30]]},"issued":{"date-parts":[["2022",4,26]]}}}],"schema":"https://github.com/citation-style-language/schema/raw/master/csl-citation.json"} </w:instrText>
      </w:r>
      <w:r>
        <w:rPr>
          <w:rFonts w:ascii="Times New Roman" w:hAnsi="Times New Roman"/>
          <w:color w:val="000000"/>
          <w:shd w:val="clear" w:color="auto" w:fill="FFFFFF"/>
        </w:rPr>
        <w:fldChar w:fldCharType="separate"/>
      </w:r>
      <w:r w:rsidRPr="00421839">
        <w:rPr>
          <w:rFonts w:ascii="Times New Roman" w:hAnsi="Times New Roman"/>
        </w:rPr>
        <w:t>(OECD et al., 2022)</w:t>
      </w:r>
      <w:r>
        <w:rPr>
          <w:rFonts w:ascii="Times New Roman" w:hAnsi="Times New Roman"/>
          <w:color w:val="000000"/>
          <w:shd w:val="clear" w:color="auto" w:fill="FFFFFF"/>
        </w:rPr>
        <w:fldChar w:fldCharType="end"/>
      </w:r>
      <w:r>
        <w:rPr>
          <w:rFonts w:ascii="Times New Roman" w:hAnsi="Times New Roman"/>
          <w:color w:val="000000"/>
          <w:shd w:val="clear" w:color="auto" w:fill="FFFFFF"/>
        </w:rPr>
        <w:t>.</w:t>
      </w:r>
      <w:r w:rsidRPr="00601982">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Most </w:t>
      </w:r>
      <w:r w:rsidRPr="00601982">
        <w:rPr>
          <w:rFonts w:ascii="Times New Roman" w:hAnsi="Times New Roman"/>
          <w:color w:val="000000"/>
          <w:shd w:val="clear" w:color="auto" w:fill="FFFFFF"/>
        </w:rPr>
        <w:t xml:space="preserve">low-income </w:t>
      </w:r>
      <w:r>
        <w:rPr>
          <w:rFonts w:ascii="Times New Roman" w:hAnsi="Times New Roman"/>
          <w:color w:val="000000"/>
          <w:shd w:val="clear" w:color="auto" w:fill="FFFFFF"/>
        </w:rPr>
        <w:t xml:space="preserve">countries in </w:t>
      </w:r>
      <w:r w:rsidRPr="00601982">
        <w:rPr>
          <w:rFonts w:ascii="Times New Roman" w:hAnsi="Times New Roman"/>
          <w:color w:val="000000"/>
          <w:shd w:val="clear" w:color="auto" w:fill="FFFFFF"/>
        </w:rPr>
        <w:t>Africa</w:t>
      </w:r>
      <w:r>
        <w:rPr>
          <w:rFonts w:ascii="Times New Roman" w:hAnsi="Times New Roman"/>
          <w:color w:val="000000"/>
          <w:shd w:val="clear" w:color="auto" w:fill="FFFFFF"/>
        </w:rPr>
        <w:t xml:space="preserve"> display an increase in their urban populations annually by 3.5%, whereas in high-income countries in Europe and North America, the annual growth rate is 0.6%.</w:t>
      </w:r>
      <w:r w:rsidRPr="00601982">
        <w:rPr>
          <w:rFonts w:ascii="Times New Roman" w:hAnsi="Times New Roman"/>
          <w:color w:val="000000"/>
          <w:shd w:val="clear" w:color="auto" w:fill="FFFFFF"/>
        </w:rPr>
        <w:t xml:space="preserve"> Diverse factors influence urban population growth</w:t>
      </w:r>
      <w:r>
        <w:rPr>
          <w:rFonts w:ascii="Times New Roman" w:hAnsi="Times New Roman"/>
          <w:color w:val="000000"/>
          <w:shd w:val="clear" w:color="auto" w:fill="FFFFFF"/>
        </w:rPr>
        <w:t>,</w:t>
      </w:r>
      <w:r w:rsidRPr="00601982">
        <w:rPr>
          <w:rFonts w:ascii="Times New Roman" w:hAnsi="Times New Roman"/>
          <w:color w:val="000000"/>
          <w:shd w:val="clear" w:color="auto" w:fill="FFFFFF"/>
        </w:rPr>
        <w:t xml:space="preserve"> including technological innovations, economic growth, natural population increase, migration, and rural transformation</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{"citationID":"cAprLmVn","properties":{"formattedCitation":"(Gollin et al., 2016; Henderson et al., 2017)","plainCitation":"(Gollin et al., 2016; Henderson et al., 2017)","noteIndex":0},"citationItems":[{"id":787,"uris":["http://zotero.org/users/8906743/items/EG8ED7GW"],"itemData":{"id":787,"type":"article-journal","abstract":"We document a strong positive relationship between natural resource exports and urbanization in a sample of 116 developing nations over the period 1960–2010. In countries that are heavily dependent on resource exports, urbanization appears to be concentrated in “consumption cities” where the economies consist primarily of non-tradable services. These contrast with “production cities” that are more dependent on manufacturing in countries that have industrialized. Consumption cities in resource exporters also appear to perform worse along several measures of welfare. We offer a simple model of structural change that can explain the observed patterns of urbanization and the associated differences in city types. We note that although the development literature often assumes that urbanization is synonymous with industrialization, patterns differ markedly across developing countries. We discuss several possible implications for policy.","container-title":"Journal of Economic Growth","DOI":"10.1007/s10887-015-9121-4","ISSN":"1573-7020","issue":"1","journalAbbreviation":"J Econ Growth","language":"en","page":"35-70","source":"Springer Link","title":"Urbanization with and without industrialization","URL":"https://doi.org/10.1007/s10887-015-9121-4","volume":"21","author":[{"family":"Gollin","given":"Douglas"},{"family":"Jedwab","given":"Remi"},{"family":"Vollrath","given":"Dietrich"}],"accessed":{"date-parts":[["2023",7,27]]},"issued":{"date-parts":[["2016",3,1]]}}},{"id":592,"uris":["http://zotero.org/users/8906743/items/FURC6G3L"],"itemData":{"id":592,"type":"article-journal","abstract":"This paper documents strong but differentiated links between climate and urbanization in large panels of districts and cities in Sub-Saharan Africa, which has dried substantially in the past fifty years. The key dimension of heterogeneity is whether cities are likely to have manufacturing for export outside their regions, as opposed to being exclusively market towns providing local services to agricultural hinterlands. In regions where cities are likely to be manufacturing centers (25% of our sample), drier conditions increase urbanization and total urban incomes. There, urban migration provides an “escape” from negative agricultural moisture shocks. However, in the remaining market towns (75% of our sample), cities just service agriculture. Reduced farm incomes from negative shocks reduce demand for urban services and derived demand for urban labor. There, drying has little impact on urbanization or total urban incomes. Lack of structural transformation in Africa inhibits a better response to climate change.","container-title":"Journal of Development Economics","DOI":"10.1016/j.jdeveco.2016.09.001","ISSN":"03043878","journalAbbreviation":"Journal of Development Economics","language":"en","page":"60-82","source":"DOI.org (Crossref)","title":"Has climate change driven urbanization in Africa?","URL":"https://linkinghub.elsevier.com/retrieve/pii/S0304387816300670","volume":"124","author":[{"family":"Henderson","given":"J. Vernon"},{"family":"Storeygard","given":"Adam"},{"family":"Deichmann","given":"Uwe"}],"accessed":{"date-parts":[["2021",1,31]]},"issued":{"date-parts":[["2017",1]]}}}],"schema":"https://github.com/citation-style-language/schema/raw/master/csl-citation.json"} </w:instrText>
      </w:r>
      <w:r>
        <w:rPr>
          <w:rFonts w:ascii="Times New Roman" w:hAnsi="Times New Roman"/>
          <w:color w:val="000000"/>
          <w:shd w:val="clear" w:color="auto" w:fill="FFFFFF"/>
        </w:rPr>
        <w:fldChar w:fldCharType="separate"/>
      </w:r>
      <w:r w:rsidRPr="00421839">
        <w:rPr>
          <w:rFonts w:ascii="Times New Roman" w:hAnsi="Times New Roman"/>
        </w:rPr>
        <w:t>(Gollin et al., 2016; Henderson et al., 2017)</w:t>
      </w:r>
      <w:r>
        <w:rPr>
          <w:rFonts w:ascii="Times New Roman" w:hAnsi="Times New Roman"/>
          <w:color w:val="000000"/>
          <w:shd w:val="clear" w:color="auto" w:fill="FFFFFF"/>
        </w:rPr>
        <w:fldChar w:fldCharType="end"/>
      </w:r>
      <w:r w:rsidRPr="00601982">
        <w:rPr>
          <w:rFonts w:ascii="Times New Roman" w:hAnsi="Times New Roman"/>
          <w:color w:val="000000"/>
          <w:shd w:val="clear" w:color="auto" w:fill="FFFFFF"/>
        </w:rPr>
        <w:t xml:space="preserve">. These factors manifest </w:t>
      </w:r>
      <w:r>
        <w:rPr>
          <w:rFonts w:ascii="Times New Roman" w:hAnsi="Times New Roman"/>
          <w:color w:val="000000"/>
          <w:shd w:val="clear" w:color="auto" w:fill="FFFFFF"/>
        </w:rPr>
        <w:t xml:space="preserve">in the landscape </w:t>
      </w:r>
      <w:r w:rsidRPr="00601982">
        <w:rPr>
          <w:rFonts w:ascii="Times New Roman" w:hAnsi="Times New Roman"/>
          <w:color w:val="000000"/>
          <w:shd w:val="clear" w:color="auto" w:fill="FFFFFF"/>
        </w:rPr>
        <w:t xml:space="preserve">through increased demand for new developments, resulting in urban expansion. However, the emergence of </w:t>
      </w:r>
      <w:r>
        <w:rPr>
          <w:rFonts w:ascii="Times New Roman" w:hAnsi="Times New Roman"/>
          <w:color w:val="000000"/>
          <w:shd w:val="clear" w:color="auto" w:fill="FFFFFF"/>
        </w:rPr>
        <w:t xml:space="preserve">developed areas in the landscape </w:t>
      </w:r>
      <w:r w:rsidRPr="00601982">
        <w:rPr>
          <w:rFonts w:ascii="Times New Roman" w:hAnsi="Times New Roman"/>
          <w:color w:val="000000"/>
          <w:shd w:val="clear" w:color="auto" w:fill="FFFFFF"/>
        </w:rPr>
        <w:t xml:space="preserve">depends on </w:t>
      </w:r>
      <w:r>
        <w:rPr>
          <w:rFonts w:ascii="Times New Roman" w:hAnsi="Times New Roman"/>
          <w:color w:val="000000"/>
          <w:shd w:val="clear" w:color="auto" w:fill="FFFFFF"/>
        </w:rPr>
        <w:t xml:space="preserve">several </w:t>
      </w:r>
      <w:r w:rsidRPr="00601982">
        <w:rPr>
          <w:rFonts w:ascii="Times New Roman" w:hAnsi="Times New Roman"/>
          <w:color w:val="000000"/>
          <w:shd w:val="clear" w:color="auto" w:fill="FFFFFF"/>
        </w:rPr>
        <w:t>conditions, including proximity</w:t>
      </w:r>
      <w:r>
        <w:rPr>
          <w:rFonts w:ascii="Times New Roman" w:hAnsi="Times New Roman"/>
          <w:color w:val="000000"/>
          <w:shd w:val="clear" w:color="auto" w:fill="FFFFFF"/>
        </w:rPr>
        <w:t xml:space="preserve"> to existing cities and other</w:t>
      </w:r>
      <w:r w:rsidRPr="00601982">
        <w:rPr>
          <w:rFonts w:ascii="Times New Roman" w:hAnsi="Times New Roman"/>
          <w:color w:val="000000"/>
          <w:shd w:val="clear" w:color="auto" w:fill="FFFFFF"/>
        </w:rPr>
        <w:t xml:space="preserve"> biophysical, </w:t>
      </w:r>
      <w:r>
        <w:rPr>
          <w:rFonts w:ascii="Times New Roman" w:hAnsi="Times New Roman"/>
          <w:color w:val="000000"/>
          <w:shd w:val="clear" w:color="auto" w:fill="FFFFFF"/>
        </w:rPr>
        <w:t>institutional, and infrastructural characteristics</w:t>
      </w:r>
      <w:r w:rsidRPr="00601982">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These conditions can be represented through spatial variables and incorporated into spatiotemporal simulation models to project future urban growth, defined here as increases in urban populations and developed areas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{"citationID":"3KTIroQX","properties":{"formattedCitation":"(Berbero\\uc0\\u287{}lu et al., 2016; Chaudhuri &amp; Clarke, 2019)","plainCitation":"(Berberoğlu et al., 2016; Chaudhuri &amp; Clarke, 2019)","noteIndex":0},"citationItems":[{"id":174,"uris":["http://zotero.org/users/8906743/items/ENH76XB7"],"itemData":{"id":174,"type":"article-journal","container-title":"Landscape and Urban Planning","DOI":"10.1016/j.landurbplan.2016.04.017","ISSN":"01692046","journalAbbreviation":"Landscape and Urban Planning","language":"en","page":"11-27","source":"DOI.org (Crossref)","title":"Cellular automata modeling approaches to forecast urban growth for adana, Turkey: A comparative approach","title-short":"Cellular automata modeling approaches to forecast urban growth for adana, Turkey","URL":"https://linkinghub.elsevier.com/retrieve/pii/S0169204616300573","volume":"153","author":[{"family":"Berberoğlu","given":"Süha"},{"family":"Akın","given":"Anıl"},{"family":"Clarke","given":"Keith C."}],"accessed":{"date-parts":[["2021",1,31]]},"issued":{"date-parts":[["2016",9]]}}},{"id":172,"uris":["http://zotero.org/users/8906743/items/GLGWMJRK"],"itemData":{"id":172,"type":"article-journal","container-title":"Computers, Environment and Urban Systems","DOI":"10.1016/j.compenvurbsys.2019.101358","ISSN":"01989715","journalAbbreviation":"Computers, Environment and Urban Systems","language":"en","page":"101358","source":"DOI.org (Crossref)","title":"Modeling an Indian megalopolis– A case study on adapting SLEUTH urban growth model","URL":"https://linkinghub.elsevier.com/retrieve/pii/S0198971518303570","volume":"77","author":[{"family":"Chaudhuri","given":"Gargi"},{"family":"Clarke","given":"Keith C."}],"accessed":{"date-parts":[["2021",1,31]]},"issued":{"date-parts":[["2019",9]]}}}],"schema":"https://github.com/citation-style-language/schema/raw/master/csl-citation.json"} </w:instrText>
      </w:r>
      <w:r>
        <w:rPr>
          <w:rFonts w:ascii="Times New Roman" w:hAnsi="Times New Roman"/>
          <w:color w:val="000000"/>
          <w:shd w:val="clear" w:color="auto" w:fill="FFFFFF"/>
        </w:rPr>
        <w:fldChar w:fldCharType="separate"/>
      </w:r>
      <w:r w:rsidRPr="00421839">
        <w:rPr>
          <w:rFonts w:ascii="Times New Roman" w:hAnsi="Times New Roman"/>
        </w:rPr>
        <w:t>(Berberoğlu et al., 2016; Chaudhuri &amp; Clarke, 2019)</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In Africa, more and better information about potential future urban growth trajectories is needed to evaluate the potential social and environmental impacts and inform urban policies and planning strategies. </w:t>
      </w:r>
    </w:p>
    <w:p w14:paraId="1DACDFAF" w14:textId="53EB0EC5" w:rsidR="00DB4731" w:rsidRPr="00EE68C9" w:rsidRDefault="00DB4731" w:rsidP="007630B8">
      <w:pPr>
        <w:ind w:firstLine="360"/>
        <w:rPr>
          <w:rFonts w:ascii="Times New Roman" w:hAnsi="Times New Roman"/>
          <w:color w:val="000000" w:themeColor="text1"/>
        </w:rPr>
      </w:pPr>
      <w:r w:rsidRPr="00601982">
        <w:rPr>
          <w:rFonts w:ascii="Times New Roman" w:hAnsi="Times New Roman"/>
          <w:color w:val="000000"/>
          <w:shd w:val="clear" w:color="auto" w:fill="FFFFFF"/>
        </w:rPr>
        <w:t>Spatially explicit models of urba</w:t>
      </w:r>
      <w:r>
        <w:rPr>
          <w:rFonts w:ascii="Times New Roman" w:hAnsi="Times New Roman"/>
          <w:color w:val="000000"/>
          <w:shd w:val="clear" w:color="auto" w:fill="FFFFFF"/>
        </w:rPr>
        <w:t>n growth</w:t>
      </w:r>
      <w:r w:rsidRPr="00601982">
        <w:rPr>
          <w:rFonts w:ascii="Times New Roman" w:hAnsi="Times New Roman"/>
          <w:color w:val="000000"/>
          <w:shd w:val="clear" w:color="auto" w:fill="FFFFFF"/>
        </w:rPr>
        <w:t xml:space="preserve"> have been used to simulate urban changes under </w:t>
      </w:r>
      <w:r>
        <w:rPr>
          <w:rFonts w:ascii="Times New Roman" w:hAnsi="Times New Roman"/>
          <w:color w:val="000000"/>
          <w:shd w:val="clear" w:color="auto" w:fill="FFFFFF"/>
        </w:rPr>
        <w:t xml:space="preserve">multiple </w:t>
      </w:r>
      <w:r w:rsidRPr="00601982">
        <w:rPr>
          <w:rFonts w:ascii="Times New Roman" w:hAnsi="Times New Roman"/>
          <w:color w:val="000000"/>
          <w:shd w:val="clear" w:color="auto" w:fill="FFFFFF"/>
        </w:rPr>
        <w:t xml:space="preserve">scenarios, and the resulting projections can support researchers in quantifying the expansion types, </w:t>
      </w:r>
      <w:r>
        <w:rPr>
          <w:rFonts w:ascii="Times New Roman" w:hAnsi="Times New Roman"/>
          <w:color w:val="000000"/>
          <w:shd w:val="clear" w:color="auto" w:fill="FFFFFF"/>
        </w:rPr>
        <w:t xml:space="preserve">implementing </w:t>
      </w:r>
      <w:r w:rsidRPr="00601982">
        <w:rPr>
          <w:rFonts w:ascii="Times New Roman" w:hAnsi="Times New Roman"/>
          <w:color w:val="000000"/>
          <w:shd w:val="clear" w:color="auto" w:fill="FFFFFF"/>
        </w:rPr>
        <w:t xml:space="preserve">land use planning, </w:t>
      </w:r>
      <w:r>
        <w:rPr>
          <w:rFonts w:ascii="Times New Roman" w:hAnsi="Times New Roman"/>
          <w:color w:val="000000"/>
          <w:shd w:val="clear" w:color="auto" w:fill="FFFFFF"/>
        </w:rPr>
        <w:t xml:space="preserve">and </w:t>
      </w:r>
      <w:r w:rsidRPr="00601982">
        <w:rPr>
          <w:rFonts w:ascii="Times New Roman" w:hAnsi="Times New Roman"/>
          <w:color w:val="000000"/>
          <w:shd w:val="clear" w:color="auto" w:fill="FFFFFF"/>
        </w:rPr>
        <w:t>assess</w:t>
      </w:r>
      <w:r>
        <w:rPr>
          <w:rFonts w:ascii="Times New Roman" w:hAnsi="Times New Roman"/>
          <w:color w:val="000000"/>
          <w:shd w:val="clear" w:color="auto" w:fill="FFFFFF"/>
        </w:rPr>
        <w:t>ing</w:t>
      </w:r>
      <w:r w:rsidRPr="00601982">
        <w:rPr>
          <w:rFonts w:ascii="Times New Roman" w:hAnsi="Times New Roman"/>
          <w:color w:val="000000"/>
          <w:shd w:val="clear" w:color="auto" w:fill="FFFFFF"/>
        </w:rPr>
        <w:t xml:space="preserve"> urban expansion and its impacts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{"citationID":"O6uEPaxP","properties":{"formattedCitation":"(Chaudhuri &amp; Clarke, 2014; Koch et al., 2018; Shoemaker et al., 2019)","plainCitation":"(Chaudhuri &amp; Clarke, 2014; Koch et al., 2018; Shoemaker et al., 2019)","noteIndex":0},"citationItems":[{"id":605,"uris":["http://zotero.org/users/8906743/items/W8VU62GF"],"itemData":{"id":605,"type":"article-journal","abstract":"This study attempts to establish multi-temporal accuracy of the predicted maps produced by a land use change simulation model over time. Validation of the forecasted results is an essential part of predictive modeling and it becomes even more important when the models are used for decision making purposes. The present study uses a popular land use change model called SLEUTH to investigate the temporal trend of accuracy of the predicted maps. The study ﬁrst investigates the trend of accuracy of the predicted maps from the immediate future to the distant future. Secondly, it investigates the impact of the prediction date range on the accuracy of the predicted maps. The objectives are tested for the city of Gorizia (Italy) using three sets of map comparison techniques, Kappa coefﬁcients, Kappa Simulation and quantity disagreement and allocation disagreement. Results show that, in addition to the model’s performance, the decrease in the accuracy of the predicted maps is dependent on factors such as urban history, uncertainty of input data and accuracy of reference maps.","container-title":"Transactions in GIS","DOI":"10.1111/tgis.12047","ISSN":"13611682","issue":"2","journalAbbreviation":"Transactions in GIS","language":"en","page":"302-320","source":"DOI.org (Crossref)","title":"Temporal Accuracy in Urban Growth Forecasting: A Study Using the SLEUTH Model","URL":"https://onlinelibrary.wiley.com/doi/10.1111/tgis.12047","volume":"18","author":[{"family":"Chaudhuri","given":"Gargi"},{"family":"Clarke","given":"Keith C."}],"accessed":{"date-parts":[["2022",2,4]]},"issued":{"date-parts":[["2014",4]]}}},{"id":829,"uris":["http://zotero.org/users/8906743/items/PE9E9U4U"],"itemData":{"id":829,"type":"article-journal","abstract":"The landscape surrounding urban areas is often used as farmland. With the observed expansion of urban areas over the last decades and a projected continuation of this trend, our objective was to analyze how urbanization affects food supply and demand in The Hashemite Kingdom of Jordan. We used a chain of simulation models covering components of the atmosphere (climate simulations), biosphere (crop yield calculations), and anthroposphere (simulations of urban expansion and land-use change) to calculate the effect of farmland displacement on land and water resources (hydrosphere). Our simulations show that the displacement of farmland itself has hardly any effect on cropland demand, crop yields, or irrigation water requirements. These results indicate that Jordan has sufficient productive areas available to buffer effects of urban expansion on food production for the next decades. However, this picture changes dramatically once we include changes in socioeconomy and climate in our simulations. The isolated effect of climate change results in an expected increase in irrigation water requirements of 19 MCM by 2025 and 64 MCM by 2050. It furthermore leads to an increase in cropland area of 147 km2 by 2025 and 265 km2 by 2050. While the combined analysis of urban expansion, climate change, and socioeconomic change makes optimistic assumptions on the increase in crop yields by 2050, the results still indicate a pronounced effect on cropland demands (2700 km2) and a steep increase in irrigation water requirements (439 MCM). Our simulation results highlight the importance of high resolution, spatially explicit projections of future land changes as well as the importance of spatiotemporal scenario studies at the regional level to help improving water planning strategies.","container-title":"Science of the total environment","DOI":"10.1016/j.scitotenv.2018.04.058","ISSN":"0048-9697","language":"English","note":"PubAg AGID: 5979543","page":"1500-1509","source":"PubAg","title":"Analyzing the relationship between urbanization, food supply and demand, and irrigation requirements in Jordan","volume":"636","author":[{"family":"Koch","given":"Jennifer"},{"literal":"Wimmer, Florian"},{"literal":"Schaldach, Rüdiger"}],"issued":{"date-parts":[["2018"]]}}},{"id":446,"uris":["http://zotero.org/users/8906743/items/XM75AD79"],"itemData":{"id":446,"type":"article-journal","container-title":"Computers, Environment and Urban Systems","DOI":"10.1016/j.compenvurbsys.2018.10.003","ISSN":"01989715","journalAbbreviation":"Computers, Environment and Urban Systems","language":"en","page":"114-125","source":"DOI.org (Crossref)","title":"Anticipating trade-offs between urban patterns and ecosystem service production: Scenario analyses of sprawl alternatives for a rapidly urbanizing region","title-short":"Anticipating trade-offs between urban patterns and ecosystem service production","URL":"https://linkinghub.elsevier.com/retrieve/pii/S0198971518300310","volume":"74","author":[{"family":"Shoemaker","given":"Douglas A."},{"family":"BenDor","given":"Todd K."},{"family":"Meentemeyer","given":"Ross K."}],"accessed":{"date-parts":[["2022",2,4]]},"issued":{"date-parts":[["2019",3]]}}}],"schema":"https://github.com/citation-style-language/schema/raw/master/csl-citation.json"} </w:instrText>
      </w:r>
      <w:r>
        <w:rPr>
          <w:rFonts w:ascii="Times New Roman" w:hAnsi="Times New Roman"/>
          <w:color w:val="000000"/>
          <w:shd w:val="clear" w:color="auto" w:fill="FFFFFF"/>
        </w:rPr>
        <w:fldChar w:fldCharType="separate"/>
      </w:r>
      <w:r w:rsidRPr="00421839">
        <w:rPr>
          <w:rFonts w:ascii="Times New Roman" w:hAnsi="Times New Roman"/>
        </w:rPr>
        <w:t>(Chaudhuri &amp; Clarke, 2014; Koch et al., 2018; Shoemaker et al., 2019)</w:t>
      </w:r>
      <w:r>
        <w:rPr>
          <w:rFonts w:ascii="Times New Roman" w:hAnsi="Times New Roman"/>
          <w:color w:val="000000"/>
          <w:shd w:val="clear" w:color="auto" w:fill="FFFFFF"/>
        </w:rPr>
        <w:fldChar w:fldCharType="end"/>
      </w:r>
      <w:r w:rsidRPr="00601982">
        <w:rPr>
          <w:rFonts w:ascii="Times New Roman" w:hAnsi="Times New Roman"/>
          <w:color w:val="000000"/>
          <w:shd w:val="clear" w:color="auto" w:fill="FFFFFF"/>
        </w:rPr>
        <w:t xml:space="preserve">. </w:t>
      </w:r>
      <w:r w:rsidRPr="00295A54">
        <w:rPr>
          <w:rFonts w:ascii="Times New Roman" w:hAnsi="Times New Roman"/>
          <w:color w:val="000000"/>
          <w:shd w:val="clear" w:color="auto" w:fill="FFFFFF"/>
        </w:rPr>
        <w:t>Thus</w:t>
      </w:r>
      <w:r>
        <w:rPr>
          <w:rFonts w:ascii="Times New Roman" w:hAnsi="Times New Roman"/>
          <w:color w:val="000000"/>
          <w:shd w:val="clear" w:color="auto" w:fill="FFFFFF"/>
        </w:rPr>
        <w:t>, urban growth models are useful planning and decision-making support tools.</w:t>
      </w:r>
      <w:r w:rsidRPr="02D18740">
        <w:rPr>
          <w:rFonts w:ascii="Times New Roman" w:hAnsi="Times New Roman"/>
          <w:color w:val="000000" w:themeColor="text1"/>
        </w:rPr>
        <w:t xml:space="preserve"> They are also a great way</w:t>
      </w:r>
      <w:r>
        <w:rPr>
          <w:rFonts w:ascii="Times New Roman" w:hAnsi="Times New Roman"/>
          <w:color w:val="000000"/>
          <w:shd w:val="clear" w:color="auto" w:fill="FFFFFF"/>
        </w:rPr>
        <w:t xml:space="preserve"> to visualize the outcomes of planning policies, helping to avoid unintended consequences for </w:t>
      </w:r>
      <w:r>
        <w:rPr>
          <w:rFonts w:ascii="Times New Roman" w:hAnsi="Times New Roman"/>
          <w:color w:val="000000"/>
          <w:shd w:val="clear" w:color="auto" w:fill="FFFFFF"/>
        </w:rPr>
        <w:lastRenderedPageBreak/>
        <w:t xml:space="preserve">people and the environment. </w:t>
      </w:r>
      <w:r w:rsidRPr="00601982">
        <w:rPr>
          <w:rFonts w:ascii="Times New Roman" w:hAnsi="Times New Roman"/>
          <w:color w:val="000000"/>
          <w:shd w:val="clear" w:color="auto" w:fill="FFFFFF"/>
        </w:rPr>
        <w:t>Most modeling efforts, including cellular automata (CA), statistical regressions, Markov Chains, and neural networks</w:t>
      </w:r>
      <w:r>
        <w:rPr>
          <w:rFonts w:ascii="Times New Roman" w:hAnsi="Times New Roman"/>
          <w:color w:val="000000"/>
          <w:shd w:val="clear" w:color="auto" w:fill="FFFFFF"/>
        </w:rPr>
        <w:t>,</w:t>
      </w:r>
      <w:r w:rsidRPr="00601982">
        <w:rPr>
          <w:rFonts w:ascii="Times New Roman" w:hAnsi="Times New Roman"/>
          <w:color w:val="000000"/>
          <w:shd w:val="clear" w:color="auto" w:fill="FFFFFF"/>
        </w:rPr>
        <w:t xml:space="preserve"> have been developed and applied in North America, Europe, and Asia</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{"citationID":"MyU2YQVA","properties":{"formattedCitation":"(Clarke, 2018; X. Liu et al., 2017; Meentemeyer et al., 2013; Van Berkel et al., 2019)","plainCitation":"(Clarke, 2018; X. Liu et al., 2017; Meentemeyer et al., 2013; Van Berkel et al., 2019)","noteIndex":0},"citationItems":[{"id":73,"uris":["http://zotero.org/users/8906743/items/MQLKKBJE"],"itemData":{"id":73,"type":"chapter","container-title":"Geomatic Approaches for Modeling Land Change Scenarios","event-place":"Cham","ISBN":"978-3-319-60800-6","language":"en","note":"collection-title: Lecture Notes in Geoinformation and Cartography\nDOI: 10.1007/978-3-319-60801-3_8","page":"139-161","publisher":"Springer International Publishing","publisher-place":"Cham","source":"DOI.org (Crossref)","title":"Land Use Change Modeling with SLEUTH: Improving Calibration with a Genetic Algorithm","title-short":"Land Use Change Modeling with SLEUTH","URL":"http://link.springer.com/10.1007/978-3-319-60801-3_8","editor":[{"family":"Camacho Olmedo","given":"María Teresa"},{"family":"Paegelow","given":"Martin"},{"family":"Mas","given":"Jean-François"},{"family":"Escobar","given":"Francisco"}],"author":[{"family":"Clarke","given":"K. C."}],"accessed":{"date-parts":[["2022",2,4]]},"issued":{"date-parts":[["2018"]]}}},{"id":20,"uris":["http://zotero.org/users/8906743/items/QSGZPQ48"],"itemData":{"id":20,"type":"article-journal","abstract":"Land use and land cover change (LUCC) simulation models are eﬀective and reproducible tools for analyzing both the causes and consequences of future landscape dynamics under various scenarios. Current simulation models primarily focus on the evolution of speciﬁc land use types under the inﬂuence of human activities, but they rarely consider background climatic eﬀects. However, these background climate changes signiﬁcantly aﬀect the landscape dynamics and should be incorporated into long-term LUCC simulations under various humanclimate-included scenarios. In this paper, we propose a future land use simulation (FLUS) model that explicitly simulates the long-term spatial trajectories of multiple LUCCs. The top-down system dynamics and bottom-up cellular automata were interactively coupled during the projection period, which improved the model’s ability to accurately simulate future land use patterns. A self-adaptive inertia and competition mechanism was developed within the CA model to process the complex competitions and interactions between the diﬀerent land use types. The proposed model was applied to an LUCC simulation in China from 2000 to 2010. The results show promising grid-to-grid agreement compared to actual land use, and the simulation accuracy is higher than other wellaccepted models, such as CLUE-S and CA models. The model was further applied to the simulation of four scenarios from 2010 to 2050 that depict diﬀerent development strategies by considering various socio-economic and natural climatic factors. The simulation results and ﬁndings demonstrate that the proposed model is effective for future LUCC simulation under variously designed scenarios. FLUS is available for free download at http://www.geosimulation.cn/FLUS.html.","container-title":"Landscape and Urban Planning","DOI":"10.1016/j.landurbplan.2017.09.019","ISSN":"01692046","journalAbbreviation":"Landscape and Urban Planning","language":"en","page":"94-116","source":"DOI.org (Crossref)","title":"A future land use simulation model (FLUS) for simulating multiple land use scenarios by coupling human and natural effects","URL":"https://linkinghub.elsevier.com/retrieve/pii/S0169204617302396","volume":"168","author":[{"family":"Liu","given":"Xiaoping"},{"family":"Liang","given":"Xun"},{"family":"Li","given":"Xia"},{"family":"Xu","given":"Xiaocong"},{"family":"Ou","given":"Jinpei"},{"family":"Chen","given":"Yimin"},{"family":"Li","given":"Shaoying"},{"family":"Wang","given":"Shaojian"},{"family":"Pei","given":"Fengsong"}],"accessed":{"date-parts":[["2022",3,7]]},"issued":{"date-parts":[["2017",12]]}}},{"id":15,"uris":["http://zotero.org/users/8906743/items/NJBSXY9D"],"itemData":{"id":15,"type":"article-journal","container-title":"Annals of the Association of American Geographers","DOI":"10.1080/00045608.2012.707591","ISSN":"0004-5608, 1467-8306","issue":"4","journalAbbreviation":"Annals of the Association of American Geographers","language":"en","page":"785-807","source":"DOI.org (Crossref)","title":"FUTURES: Multilevel Simulations of Emerging Urban–Rural Landscape Structure Using a Stochastic Patch-Growing Algorithm","title-short":"FUTURES","URL":"http://www.tandfonline.com/doi/abs/10.1080/00045608.2012.707591","volume":"103","author":[{"family":"Meentemeyer","given":"Ross K."},{"family":"Tang","given":"Wenwu"},{"family":"Dorning","given":"Monica A."},{"family":"Vogler","given":"John B."},{"family":"Cunniffe","given":"Nik J."},{"family":"Shoemaker","given":"Douglas A."}],"accessed":{"date-parts":[["2021",3,27]]},"issued":{"date-parts":[["2013",7]]}}},{"id":433,"uris":["http://zotero.org/users/8906743/items/MMML9739"],"itemData":{"id":433,"type":"article-journal","abstract":"Increasing population and rural to urban migration are accelerating urbanization globally, permanently transforming natural systems over large extents. Modelling landscape change over large regions, however, presents particular challenges due to local-scale variations in social and environmental factors that drive land change. We simulated urban development across the South Atlantic States (SAS), a region experiencing rapid population growth and urbanization, using FUTURES—an open source land change model that uses demand for development, local development suitability factors, and a stochastic patch growing algorithm for projecting alternative futures of urban form and landscape change. New advances to the FUTURES modelling framework allow for high resolution projections over large spatial extents by leveraging parallel computing. We simulated the adoption of different urban growth strategies that encourage settlement densiﬁcation in the SAS as alternatives to the region’s increasing sprawl. Evalu</w:instrText>
      </w:r>
      <w:r w:rsidRPr="00845E62">
        <w:rPr>
          <w:rFonts w:ascii="Times New Roman" w:hAnsi="Times New Roman"/>
          <w:color w:val="000000"/>
          <w:shd w:val="clear" w:color="auto" w:fill="FFFFFF"/>
          <w:lang w:val="fr-FR"/>
        </w:rPr>
        <w:instrText>ation of projected patterns indicate a 15% increase in urban lands by 2050 given a status quo development scenario compared to a 14.8% increase for the In</w:instrText>
      </w:r>
      <w:r>
        <w:rPr>
          <w:rFonts w:ascii="Times New Roman" w:hAnsi="Times New Roman"/>
          <w:color w:val="000000"/>
          <w:shd w:val="clear" w:color="auto" w:fill="FFFFFF"/>
        </w:rPr>
        <w:instrText>ﬁ</w:instrText>
      </w:r>
      <w:r w:rsidRPr="00845E62">
        <w:rPr>
          <w:rFonts w:ascii="Times New Roman" w:hAnsi="Times New Roman"/>
          <w:color w:val="000000"/>
          <w:shd w:val="clear" w:color="auto" w:fill="FFFFFF"/>
          <w:lang w:val="fr-FR"/>
        </w:rPr>
        <w:instrText>ll strategy. Status quo development resulted in a 3.72% loss of total forests, 2.97% loss of highly suitable agricultural land, and 3.69% loss of ecologically signi</w:instrText>
      </w:r>
      <w:r>
        <w:rPr>
          <w:rFonts w:ascii="Times New Roman" w:hAnsi="Times New Roman"/>
          <w:color w:val="000000"/>
          <w:shd w:val="clear" w:color="auto" w:fill="FFFFFF"/>
        </w:rPr>
        <w:instrText>ﬁ</w:instrText>
      </w:r>
      <w:r w:rsidRPr="00845E62">
        <w:rPr>
          <w:rFonts w:ascii="Times New Roman" w:hAnsi="Times New Roman"/>
          <w:color w:val="000000"/>
          <w:shd w:val="clear" w:color="auto" w:fill="FFFFFF"/>
          <w:lang w:val="fr-FR"/>
        </w:rPr>
        <w:instrText>cant lands. An alternative In</w:instrText>
      </w:r>
      <w:r>
        <w:rPr>
          <w:rFonts w:ascii="Times New Roman" w:hAnsi="Times New Roman"/>
          <w:color w:val="000000"/>
          <w:shd w:val="clear" w:color="auto" w:fill="FFFFFF"/>
        </w:rPr>
        <w:instrText>ﬁ</w:instrText>
      </w:r>
      <w:r w:rsidRPr="00845E62">
        <w:rPr>
          <w:rFonts w:ascii="Times New Roman" w:hAnsi="Times New Roman"/>
          <w:color w:val="000000"/>
          <w:shd w:val="clear" w:color="auto" w:fill="FFFFFF"/>
          <w:lang w:val="fr-FR"/>
        </w:rPr>
        <w:instrText>ll scenario resulted in similar losses of total forest (3.62%) and ecologically signi</w:instrText>
      </w:r>
      <w:r>
        <w:rPr>
          <w:rFonts w:ascii="Times New Roman" w:hAnsi="Times New Roman"/>
          <w:color w:val="000000"/>
          <w:shd w:val="clear" w:color="auto" w:fill="FFFFFF"/>
        </w:rPr>
        <w:instrText>ﬁ</w:instrText>
      </w:r>
      <w:r w:rsidRPr="00845E62">
        <w:rPr>
          <w:rFonts w:ascii="Times New Roman" w:hAnsi="Times New Roman"/>
          <w:color w:val="000000"/>
          <w:shd w:val="clear" w:color="auto" w:fill="FFFFFF"/>
          <w:lang w:val="fr-FR"/>
        </w:rPr>
        <w:instrText>cant lands (3.63%) yet consumed less agricultural lands (1.23% loss). Moreover, in</w:instrText>
      </w:r>
      <w:r>
        <w:rPr>
          <w:rFonts w:ascii="Times New Roman" w:hAnsi="Times New Roman"/>
          <w:color w:val="000000"/>
          <w:shd w:val="clear" w:color="auto" w:fill="FFFFFF"/>
        </w:rPr>
        <w:instrText>ﬁ</w:instrText>
      </w:r>
      <w:r w:rsidRPr="00845E62">
        <w:rPr>
          <w:rFonts w:ascii="Times New Roman" w:hAnsi="Times New Roman"/>
          <w:color w:val="000000"/>
          <w:shd w:val="clear" w:color="auto" w:fill="FFFFFF"/>
          <w:lang w:val="fr-FR"/>
        </w:rPr>
        <w:instrText xml:space="preserve">ll development patterns differed qualitatively from the status quo and resulted in less fragmentation of the landscape.","container-title":"Land","DOI":"10.3390/land8100144","ISSN":"2073-445X","issue":"10","journalAbbreviation":"Land","language":"en","page":"144","source":"DOI.org (Crossref)","title":"Projecting Urbanization and Landscape Change at Large Scale Using the FUTURES Model","URL":"https://www.mdpi.com/2073-445X/8/10/144","volume":"8","author":[{"family":"Van Berkel","given":"Derek"},{"family":"Shashidharan","given":"Ashwin"},{"family":"Mordecai","given":"Rua"},{"family":"Vatsavai","given":"Raju"},{"family":"Petrasova","given":"Anna"},{"family":"Petras","given":"Vaclav"},{"family":"Mitasova","given":"Helena"},{"family":"Vogler","given":"John"},{"family":"Meentemeyer","given":"Ross"}],"accessed":{"date-parts":[["2022",2,4]]},"issued":{"date-parts":[["2019",9,24]]}}}],"schema":"https://github.com/citation-style-language/schema/raw/master/csl-citation.json"} </w:instrText>
      </w:r>
      <w:r>
        <w:rPr>
          <w:rFonts w:ascii="Times New Roman" w:hAnsi="Times New Roman"/>
          <w:color w:val="000000"/>
          <w:shd w:val="clear" w:color="auto" w:fill="FFFFFF"/>
        </w:rPr>
        <w:fldChar w:fldCharType="separate"/>
      </w:r>
      <w:r w:rsidRPr="00502FA0">
        <w:rPr>
          <w:rFonts w:ascii="Times New Roman" w:hAnsi="Times New Roman"/>
          <w:lang w:val="fr-FR"/>
        </w:rPr>
        <w:t>(Clarke, 2018; Liu et al., 2017; Meentemeyer et al., 2013; Van Berkel et al., 2019)</w:t>
      </w:r>
      <w:r>
        <w:rPr>
          <w:rFonts w:ascii="Times New Roman" w:hAnsi="Times New Roman"/>
          <w:color w:val="000000"/>
          <w:shd w:val="clear" w:color="auto" w:fill="FFFFFF"/>
        </w:rPr>
        <w:fldChar w:fldCharType="end"/>
      </w:r>
      <w:r w:rsidRPr="00421839">
        <w:rPr>
          <w:rFonts w:ascii="Times New Roman" w:hAnsi="Times New Roman"/>
          <w:color w:val="000000"/>
          <w:shd w:val="clear" w:color="auto" w:fill="FFFFFF"/>
          <w:lang w:val="fr-FR"/>
        </w:rPr>
        <w:t xml:space="preserve">. </w:t>
      </w:r>
      <w:r w:rsidRPr="00601982">
        <w:rPr>
          <w:rFonts w:ascii="Times New Roman" w:hAnsi="Times New Roman"/>
          <w:color w:val="000000"/>
          <w:shd w:val="clear" w:color="auto" w:fill="FFFFFF"/>
        </w:rPr>
        <w:t xml:space="preserve">However, there </w:t>
      </w:r>
      <w:r>
        <w:rPr>
          <w:rFonts w:ascii="Times New Roman" w:hAnsi="Times New Roman"/>
          <w:color w:val="000000"/>
          <w:shd w:val="clear" w:color="auto" w:fill="FFFFFF"/>
        </w:rPr>
        <w:t>have</w:t>
      </w:r>
      <w:r w:rsidRPr="00601982">
        <w:rPr>
          <w:rFonts w:ascii="Times New Roman" w:hAnsi="Times New Roman"/>
          <w:color w:val="000000"/>
          <w:shd w:val="clear" w:color="auto" w:fill="FFFFFF"/>
        </w:rPr>
        <w:t xml:space="preserve"> also </w:t>
      </w:r>
      <w:r>
        <w:rPr>
          <w:rFonts w:ascii="Times New Roman" w:hAnsi="Times New Roman"/>
          <w:color w:val="000000"/>
          <w:shd w:val="clear" w:color="auto" w:fill="FFFFFF"/>
        </w:rPr>
        <w:t xml:space="preserve">been </w:t>
      </w:r>
      <w:r w:rsidRPr="00601982">
        <w:rPr>
          <w:rFonts w:ascii="Times New Roman" w:hAnsi="Times New Roman"/>
          <w:color w:val="000000"/>
          <w:shd w:val="clear" w:color="auto" w:fill="FFFFFF"/>
        </w:rPr>
        <w:t xml:space="preserve">notable applications of urban </w:t>
      </w:r>
      <w:r>
        <w:rPr>
          <w:rFonts w:ascii="Times New Roman" w:hAnsi="Times New Roman"/>
          <w:color w:val="000000"/>
          <w:shd w:val="clear" w:color="auto" w:fill="FFFFFF"/>
        </w:rPr>
        <w:t>growth</w:t>
      </w:r>
      <w:r w:rsidRPr="00601982">
        <w:rPr>
          <w:rFonts w:ascii="Times New Roman" w:hAnsi="Times New Roman"/>
          <w:color w:val="000000"/>
          <w:shd w:val="clear" w:color="auto" w:fill="FFFFFF"/>
        </w:rPr>
        <w:t xml:space="preserve"> modeling in Africa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{"citationID":"8khgWwSt","properties":{"formattedCitation":"(Addae &amp; Oppelt, 2019; Agyemang &amp; Silva, 2019; Goncalves et al., 2019; Idowu et al., 2020; Linard et al., 2013; Okwuashi &amp; Ndehedehe, 2021; Seto et al., 2012)","plainCitation":"(Addae &amp; Oppelt, 2019; Agyemang &amp; Silva, 2019; Goncalves et al., 2019; Idowu et al., 2020; Linard et al., 2013; Okwuashi &amp; Ndehedehe, 2021; Seto et al., 2012)","noteIndex":0},"citationItems":[{"id":97,"uris":["http://zotero.org/users/8906743/items/XG7G59LX"],"itemData":{"id":97,"type":"article-journal","abstract":"A rapid increase in the world’s population over the last century has triggered the transformation of the earth surface, especially in urban areas, where more than half of the global population live. Ghana is no exception and a high population growth rate, coupled with economic development over the last three decades, has transformed the Greater Accra region into a hotspot for massive urban growth. The urban extent of the region has expanded extensively, mainly at the expense of the vegetative cover in the region. Although urbanization presents several opportunities, the environmental and social problems cannot be underestimated. Therefore, the need to estimate the rate and extent of land use/land cover changes in the region and the main drivers of these changes is imperative. Geographic Information Systems (GIS) and remote sensing techniques provide effective tools in studying and monitoring land-use/land-cover change over space and time. A post classiﬁcation change detection of multiple Landsat images was conducted to map and analyse the extent and rate of land use/land cover change in the region between 1991 and 2015. Subsequently, the urban extent of the region was forecasted for the year 2025 using the Markov Chain and the Multi-Layer Perceptron neural network, together with drivers representing proximity, biophysical, and socio-economic variables. The results from the research revealed that built-up areas increased by 277% over the 24-year study period. However, forest areas experienced massive reduction, diminishing from 34% in 1991 to 6.5% in 2015. The 2025 projected land use map revealed that the urban extent will massively increase to cover 70% of the study area, as compared to 44% in 2015. The urban extent is also anticipated to spill into the adjoining districts mainly on the western and eastern sides of the region. The success of this research in generating a future land-use map for 2025, together with the other signiﬁcant ﬁndings, demonstrates the usefulness of spatial models as tools for sustainable city planning and environmental management, especially for urban planners in developing countries.","container-title":"Urban Science","DOI":"10.3390/urbansci3010026","ISSN":"2413-8851","issue":"1","journalAbbreviation":"Urban Science","language":"en","page":"26","source":"DOI.org (Crossref)","title":"Land-Use/Land-Cover Change Analysis and Urban Growth Modelling in the Greater Accra Metropolitan Area (GAMA), Ghana","URL":"http://www.mdpi.com/2413-8851/3/1/26","volume":"3","author":[{"family":"Addae","given":"Bright"},{"family":"Oppelt","given":"Natascha"}],"accessed":{"date-parts":[["2021",1,31]]},"issued":{"date-parts":[["2019",2,27]]}}},{"id":95,"uris":["http://zotero.org/users/8906743/items/2U7P8JHP"],"itemData":{"id":95,"type":"article-journal","archive_location":"WOS:000464479200002","container-title":"Applied Geography","DOI":"10.1016/j.apgeog.2019.02.011","ISSN":"0143-6228","journalAbbreviation":"Applied Geography","page":"15-24","title":"Simulating the urban growth of a predominantly informal Ghanaian city-region with a cellular automata model: Implications for urban planning and policy","volume":"105","author":[{"family":"Agyemang","given":"Felix S. K."},{"family":"Silva","given":"Elisabete"}],"issued":{"date-parts":[["2019",4]]}}},{"id":627,"uris":["http://zotero.org/users/8906743/items/A5XXZV3A"],"itemData":{"id":627,"type":"article-journal","abstract":"In recent years, urban growth has become the center of attention and preoccupation for many researchers especially those concerned with urban planning. Some scholars only take into consideration the social dynamism and demographic data of an area of interest while analyzing the urban growth. However, those approaches fail to consider other physical conditions such as the urban extent and exclusion zones (e.g. rivers and forest reserves). This makes it difﬁcult to correctly model the urban expansion as well as simulate for future forecast, which is vital for policymakers and city planners when making informed decisions. This study, therefore, used the Geographic Information System (GIS) to compile the data obtained from a time series of satellite images between 1984 and 2018 for the urban growth model calibration. A modiﬁed cellular automata methodology called SLEUTH was then applied to supervise and forecast the urban sprawl in Praia city, the capital of Cabo Verde from the year 1984 to 2050. The forecasted result showed that breed (100) and road (62) coefﬁcients would inﬂuence the urban growth in Praia city. This means that there is a likelihood of newly generated detached settlements and many new buildings along the roadside.","container-title":"IEEE Access","DOI":"10.1109/ACCESS.2019.2949689","ISSN":"2169-3536","journalAbbreviation":"IEEE Access","language":"en","page":"156430-156442","source":"DOI.org (Crossref)","title":"Simulating Urban Growth Using Cellular Automata Approach (SLEUTH)-A Case Study of Praia City, Cabo Verde","URL":"https://ieeexplore.ieee.org/document/8883160/","volume":"7","author":[{"family":"Goncalves","given":"Tania Mendes"},{"family":"Zhong","given":"Xie"},{"family":"Ziggah","given":"Yao Yevenyo"},{"family":"Dwamena","given":"Brefo Yaw"}],"accessed":{"date-parts":[["2020",10,31]]},"issued":{"date-parts":[["2019"]]}}},{"id":581,"uris":["http://zotero.org/users/8906743/items/4BBU73V5"],"itemData":{"id":581,"type":"article-journal","archive_location":"WOS:000570789800004","container-title":"South African Journal of Geomatics","DOI":"10.4314/sajg.v9i2.11","ISSN":"2225-8531","issue":"2","page":"149-162","title":"Towards achieving Sustainability of coastal environments: Urban Growth analysis and prediction of Lagos, State Nigeria","volume":"9","author":[{"family":"Idowu","given":"TE"},{"family":"Waswa","given":"RM"},{"family":"Lasisi","given":"K"},{"family":"Mubea","given":"K"},{"family":"Nyadawa","given":"M"},{"family":"Kiema","given":"JBK"}],"issued":{"date-parts":[["2020",9]]}}},{"id":21,"uris":["http://zotero.org/users/8906743/items/LQVZXG5S"],"itemData":{"id":21,"type":"article-journal","abstract":"The population of Africa is predicted to double over the next 40 years, driving exceptionally high urban expansion rates that will induce signiﬁcant socio-economic, environmental and health changes. In order to prepare for these changes, it is important to better understand urban growth dynamics in Africa and better predict the spatial pattern of rural-urban conversions. Previous work on urban expansion has been carried out at the city level or at the global level with a relatively coarse 5e10 km resolution. The main objective of the present paper was to develop a modelling approach at an intermediate scale in order to identify factors that inﬂuence spatial patterns of urban expansion in Africa. Boosted Regression Tree models were developed to predict the spatial pattern of rural-urban conversions in every large African city. Urban change data between circa 1990 and circa 2000 available for 20 large cities across Africa were used as training data. Results showed that the urban land in a 1 km neighbourhood and the accessibility to the city centre were the most inﬂuential variables. Results obtained were generally more accurate than results obtained using a distance-based urban expansion model and showed that the spatial pattern of small, compact and fast growing cities were easier to simulate than cities with lower population densities and a lower growth rate. The simulation method developed here will allow the production of spatially detailed urban expansion forecasts for 2020 and 2025 for Africa, data that are increasingly required by global change modellers.","container-title":"Applied Geography","DOI":"10.1016/j.apgeog.2013.07.009","ISSN":"01436228","journalAbbreviation":"Applied Geography","language":"en","page":"23-32","source":"DOI.org (Crossref)","title":"Modelling spatial patterns of urban growth in Africa","URL":"https://linkinghub.elsevier.com/retrieve/pii/S0143622813001707","volume":"44","author":[{"family":"Linard","given":"Catherine"},{"family":"Tatem","given":"Andrew J."},{"family":"Gilbert","given":"Marius"}],"ac</w:instrText>
      </w:r>
      <w:r w:rsidRPr="00421839">
        <w:rPr>
          <w:rFonts w:ascii="Times New Roman" w:hAnsi="Times New Roman"/>
          <w:color w:val="000000"/>
          <w:shd w:val="clear" w:color="auto" w:fill="FFFFFF"/>
          <w:lang w:val="fr-FR"/>
        </w:rPr>
        <w:instrText xml:space="preserve">cessed":{"date-parts":[["2021",1,31]]},"issued":{"date-parts":[["2013",10]]}}},{"id":1,"uris":["http://zotero.org/users/8906743/items/QIX8M8WI"],"itemData":{"id":1,"type":"article-journal","archive_location":"WOS:000654348000063","container-title":"Remote Sensing Applications: Society and Environment","DOI":"10.1016/j.rsase.2020.100461","ISSN":"2352-9385","title":"Integrating machine learning with Markov chain and cellular automata models for modelling urban land use change","volume":"21","author":[{"family":"Okwuashi","given":"Onuwa"},{"family":"Ndehedehe","given":"Christopher E."}],"issued":{"date-parts":[["2021",1]]}}},{"id":374,"uris":["http://zotero.org/users/8906743/items/WUYN92SH"],"itemData":{"id":374,"type":"article-journal","container-title":"Proceedings of the National Academy of Sciences","DOI":"10.1073/pnas.1211658109","ISSN":"0027-8424, 1091-6490","issue":"40","journalAbbreviation":"Proceedings of the National Academy of Sciences","language":"en","page":"16083-16088","source":"DOI.org (Crossref)","title":"Global forecasts of urban expansion to 2030 and direct impacts on biodiversity and carbon pools","URL":"http://www.pnas.org/cgi/doi/10.1073/pnas.1211658109","volume":"109","author":[{"family":"Seto","given":"K. C."},{"family":"Guneralp","given":"B."},{"family":"Hutyra","given":"L. R."}],"accessed":{"date-parts":[["2022",1,30]]},"issued":{"date-parts":[["2012",10,2]]}}}],"schema":"https://github.com/citation-style-language/schema/raw/master/csl-citation.json"} </w:instrText>
      </w:r>
      <w:r>
        <w:rPr>
          <w:rFonts w:ascii="Times New Roman" w:hAnsi="Times New Roman"/>
          <w:color w:val="000000"/>
          <w:shd w:val="clear" w:color="auto" w:fill="FFFFFF"/>
        </w:rPr>
        <w:fldChar w:fldCharType="separate"/>
      </w:r>
      <w:r w:rsidRPr="00421839">
        <w:rPr>
          <w:rFonts w:ascii="Times New Roman" w:hAnsi="Times New Roman"/>
          <w:lang w:val="fr-FR"/>
        </w:rPr>
        <w:t>(Addae &amp; Oppelt, 2019; Agyemang &amp; Silva, 2019; Goncalves et al., 2019; Idowu et al., 2020; Linard et al., 2013; Okwuashi &amp; Ndehedehe, 2021; Seto et al., 2012)</w:t>
      </w:r>
      <w:r>
        <w:rPr>
          <w:rFonts w:ascii="Times New Roman" w:hAnsi="Times New Roman"/>
          <w:color w:val="000000"/>
          <w:shd w:val="clear" w:color="auto" w:fill="FFFFFF"/>
        </w:rPr>
        <w:fldChar w:fldCharType="end"/>
      </w:r>
      <w:r w:rsidRPr="00601982">
        <w:rPr>
          <w:rFonts w:ascii="Times New Roman" w:hAnsi="Times New Roman"/>
          <w:color w:val="000000"/>
          <w:shd w:val="clear" w:color="auto" w:fill="FFFFFF"/>
          <w:lang w:val="fr-FR"/>
        </w:rPr>
        <w:t xml:space="preserve">. </w:t>
      </w:r>
      <w:r w:rsidRPr="00601982">
        <w:rPr>
          <w:rFonts w:ascii="Times New Roman" w:hAnsi="Times New Roman"/>
          <w:color w:val="000000"/>
          <w:shd w:val="clear" w:color="auto" w:fill="FFFFFF"/>
        </w:rPr>
        <w:t xml:space="preserve">Unlike in other world regions with regional-level urban </w:t>
      </w:r>
      <w:r>
        <w:rPr>
          <w:rFonts w:ascii="Times New Roman" w:hAnsi="Times New Roman"/>
          <w:color w:val="000000"/>
          <w:shd w:val="clear" w:color="auto" w:fill="FFFFFF"/>
        </w:rPr>
        <w:t>change</w:t>
      </w:r>
      <w:r w:rsidRPr="00601982">
        <w:rPr>
          <w:rFonts w:ascii="Times New Roman" w:hAnsi="Times New Roman"/>
          <w:color w:val="000000"/>
          <w:shd w:val="clear" w:color="auto" w:fill="FFFFFF"/>
        </w:rPr>
        <w:t xml:space="preserve"> simulations, most future change projections </w:t>
      </w:r>
      <w:r>
        <w:rPr>
          <w:rFonts w:ascii="Times New Roman" w:hAnsi="Times New Roman"/>
          <w:color w:val="000000"/>
          <w:shd w:val="clear" w:color="auto" w:fill="FFFFFF"/>
        </w:rPr>
        <w:t>for</w:t>
      </w:r>
      <w:r w:rsidRPr="00601982">
        <w:rPr>
          <w:rFonts w:ascii="Times New Roman" w:hAnsi="Times New Roman"/>
          <w:color w:val="000000"/>
          <w:shd w:val="clear" w:color="auto" w:fill="FFFFFF"/>
        </w:rPr>
        <w:t xml:space="preserve"> Africa are localized, focusing on individual cities.</w:t>
      </w:r>
      <w:r>
        <w:rPr>
          <w:rFonts w:ascii="Times New Roman" w:hAnsi="Times New Roman"/>
          <w:color w:val="000000"/>
          <w:shd w:val="clear" w:color="auto" w:fill="FFFFFF"/>
        </w:rPr>
        <w:t xml:space="preserve"> There is a need for larger-scale urban change projections in Africa to provide comprehensive and consistent estimates of future urban dynamics</w:t>
      </w:r>
      <w:r w:rsidRPr="5929D2E2">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{"citationID":"JGs5OkzU","properties":{"formattedCitation":"(G\\uc0\\u252{}neralp et al., 2020)","plainCitation":"(Güneralp et al., 2020)","noteIndex":0},"citationItems":[{"id":624,"uris":["http://zotero.org/users/8906743/items/RYJ3GWJE"],"itemData":{"id":624,"type":"article-journal","abstract":"Abstract\n            \n              The physical expansion of urban areas lead to lasting impacts on landscapes and livelihoods. Here, we conduct a global synthesis of trends in urban land expansion, in urban population densities, and lands converted into urban from 1970 to 2010. We find that small-medium urban areas lead their larger counterparts in both rates of urban land expansion and decreases in urban population densities. Urban population densities have consistently declined only in India, China, North America, and Europe with significant exceptions across city sizes. Over 60% of the reported urban expansion was formerly agricultural land with China, Southeast Asia, and Europe in the lead. Counterfactual analysis suggests that, due to the decrease in urban population densities, an estimated 125 000 km\n              2\n              land was converted to urban land uses that could have otherwise remained in cultivation or as natural vegetation. In particular, in India and Nigeria, with much of their populations dependent on agriculture,  85% and 30% more land, respectively, was converted to urban land due to decreasing urban population densities. With increasing urbanization, proactive management of urban land expansion, especially in small and medium cities, will be critical for saving agricultural lands in peri-urban regions while creating equitable and affordable urban landscapes.","container-title":"Environmental Research Letters","DOI":"10.1088/1748-9326/ab6669","ISSN":"1748-9326","issue":"4","journalAbbreviation":"Environ. Res. Lett.","language":"en","page":"044015","source":"DOI.org (Crossref)","title":"Trends in urban land expansion, density, and land transitions from 1970 to 2010: a global synthesis","title-short":"Trends in urban land expansion, density, and land transitions from 1970 to 2010","URL":"https://iopscience.iop.org/article/10.1088/1748-9326/ab6669","volume":"15","author":[{"family":"Güneralp","given":"Burak"},{"family":"Reba","given":"Meredith"},{"family":"Hales","given":"Billy U"},{"family":"Wentz","given":"Elizabeth A"},{"family":"Seto","given":"Karen C"}],"accessed":{"date-parts":[["2023",3,11]]},"issued":{"date-parts":[["2020",4,1]]}}}],"schema":"https://github.com/citation-style-language/schema/raw/master/csl-citation.json"} </w:instrText>
      </w:r>
      <w:r>
        <w:rPr>
          <w:rFonts w:ascii="Times New Roman" w:hAnsi="Times New Roman"/>
        </w:rPr>
        <w:fldChar w:fldCharType="separate"/>
      </w:r>
      <w:r w:rsidRPr="00421839">
        <w:rPr>
          <w:rFonts w:ascii="Times New Roman" w:hAnsi="Times New Roman"/>
        </w:rPr>
        <w:t>(Güneralp et al., 2020)</w:t>
      </w:r>
      <w:r>
        <w:rPr>
          <w:rFonts w:ascii="Times New Roman" w:hAnsi="Times New Roman"/>
        </w:rPr>
        <w:fldChar w:fldCharType="end"/>
      </w:r>
      <w:r w:rsidRPr="5929D2E2">
        <w:rPr>
          <w:rFonts w:ascii="Times New Roman" w:hAnsi="Times New Roman"/>
          <w:color w:val="000000" w:themeColor="text1"/>
        </w:rPr>
        <w:t>.</w:t>
      </w:r>
      <w:r>
        <w:rPr>
          <w:rFonts w:ascii="Times New Roman" w:hAnsi="Times New Roman"/>
          <w:color w:val="000000"/>
          <w:shd w:val="clear" w:color="auto" w:fill="FFFFFF"/>
        </w:rPr>
        <w:t xml:space="preserve"> </w:t>
      </w:r>
    </w:p>
    <w:p w14:paraId="0C0DF0F4" w14:textId="4462C263" w:rsidR="00DB4731" w:rsidRPr="00601982" w:rsidRDefault="00DB4731" w:rsidP="007630B8">
      <w:pPr>
        <w:ind w:firstLine="360"/>
        <w:rPr>
          <w:rFonts w:ascii="Times New Roman" w:hAnsi="Times New Roman"/>
          <w:color w:val="000000"/>
          <w:shd w:val="clear" w:color="auto" w:fill="FFFFFF"/>
        </w:rPr>
      </w:pPr>
      <w:r>
        <w:rPr>
          <w:rFonts w:ascii="Times New Roman" w:hAnsi="Times New Roman"/>
          <w:color w:val="000000"/>
          <w:shd w:val="clear" w:color="auto" w:fill="FFFFFF"/>
        </w:rPr>
        <w:t>U</w:t>
      </w:r>
      <w:r w:rsidRPr="00601982">
        <w:rPr>
          <w:rFonts w:ascii="Times New Roman" w:hAnsi="Times New Roman"/>
          <w:color w:val="000000"/>
          <w:shd w:val="clear" w:color="auto" w:fill="FFFFFF"/>
        </w:rPr>
        <w:t xml:space="preserve">rban landscapes are heterogeneous </w:t>
      </w:r>
      <w:r>
        <w:rPr>
          <w:rFonts w:ascii="Times New Roman" w:hAnsi="Times New Roman"/>
          <w:color w:val="000000"/>
          <w:shd w:val="clear" w:color="auto" w:fill="FFFFFF"/>
        </w:rPr>
        <w:t>and are often classified using</w:t>
      </w:r>
      <w:r w:rsidRPr="00601982">
        <w:rPr>
          <w:rFonts w:ascii="Times New Roman" w:hAnsi="Times New Roman"/>
          <w:color w:val="000000"/>
          <w:shd w:val="clear" w:color="auto" w:fill="FFFFFF"/>
        </w:rPr>
        <w:t xml:space="preserve"> qualitative definitions with different classification schemes</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{"citationID":"3Zv9mYhF","properties":{"formattedCitation":"(Korah et al., 2024)","plainCitation":"(Korah et al., 2024)","noteIndex":0},"citationItems":[{"id":1873,"uris":["http://zotero.org/users/8906743/items/IQT4K3QT"],"itemData":{"id":1873,"type":"article-journal","abstract":"Africa has been a hotspot of rapid urban growth since 2000, yet no review exists that describes the current state of urban growth modeling. This review aims to fill this gap by synthesizing urban growth modeling approaches, input variables and challenges across Africa. Using Web of Science, Google Scholar, Geobase, and Compendex databases, we selected 49 studies that projected urban land use and cover change or modeled probabilities of future urban change associated with a variety of input variables. We found increasing trends in the numbers of studies employing cellular automata, statistical regression, agent-based, video prediction, and integrated approaches. The modeling approaches used and their corresponding increases differed across Africa. The input variables used to project urban growth also varied across subregions. Studies were biased towards populous countries rather than the most urbanized. 78 % of the studies focused on primary cities, while secondary cities were less frequently studied. Comparison of urban growth modeling across multiple regions and for different types of cities is currently difficult due to inconsistent definitions and limited availability of data and computational resources. We recommend that the scientific community develop consistent definitions of African city types and urban land use and land cover classifications, create regional urban land cover products for Africa, and build repositories of models and their input data.","container-title":"Cities","DOI":"10.1016/j.cities.2023.104734","ISSN":"0264-2751","journalAbbreviation":"Cities","page":"104734","source":"ScienceDirect","title":"Understanding urban growth modeling in Africa: Dynamics, drivers, and challenges","title-short":"Understanding urban growth modeling in Africa","URL":"https://www.sciencedirect.com/science/article/pii/S0264275123005462","volume":"146","author":[{"family":"Korah","given":"Andrews"},{"family":"Koch","given":"Jennifer A. M."},{"family":"Wimberly","given":"Michael C."}],"accessed":{"date-parts":[["2024",1,29]]},"issued":{"date-parts":[["2024",3,1]]}}}],"schema":"https://github.com/citation-style-language/schema/raw/master/csl-citation.json"} </w:instrText>
      </w:r>
      <w:r>
        <w:rPr>
          <w:rFonts w:ascii="Times New Roman" w:hAnsi="Times New Roman"/>
          <w:color w:val="000000"/>
          <w:shd w:val="clear" w:color="auto" w:fill="FFFFFF"/>
        </w:rPr>
        <w:fldChar w:fldCharType="separate"/>
      </w:r>
      <w:r w:rsidRPr="00421839">
        <w:rPr>
          <w:rFonts w:ascii="Times New Roman" w:hAnsi="Times New Roman"/>
        </w:rPr>
        <w:t>(Korah et al., 2024)</w:t>
      </w:r>
      <w:r>
        <w:rPr>
          <w:rFonts w:ascii="Times New Roman" w:hAnsi="Times New Roman"/>
          <w:color w:val="000000"/>
          <w:shd w:val="clear" w:color="auto" w:fill="FFFFFF"/>
        </w:rPr>
        <w:fldChar w:fldCharType="end"/>
      </w:r>
      <w:r w:rsidRPr="00601982">
        <w:rPr>
          <w:rFonts w:ascii="Times New Roman" w:hAnsi="Times New Roman"/>
          <w:color w:val="000000"/>
          <w:shd w:val="clear" w:color="auto" w:fill="FFFFFF"/>
        </w:rPr>
        <w:t>.</w:t>
      </w:r>
      <w:r>
        <w:rPr>
          <w:rFonts w:ascii="Times New Roman" w:hAnsi="Times New Roman"/>
          <w:color w:val="000000"/>
          <w:shd w:val="clear" w:color="auto" w:fill="FFFFFF"/>
        </w:rPr>
        <w:t xml:space="preserve"> As a result,</w:t>
      </w:r>
      <w:r w:rsidRPr="00601982">
        <w:rPr>
          <w:rFonts w:ascii="Times New Roman" w:hAnsi="Times New Roman"/>
          <w:color w:val="000000"/>
          <w:shd w:val="clear" w:color="auto" w:fill="FFFFFF"/>
        </w:rPr>
        <w:t xml:space="preserve"> studies </w:t>
      </w:r>
      <w:r>
        <w:rPr>
          <w:rFonts w:ascii="Times New Roman" w:hAnsi="Times New Roman"/>
          <w:color w:val="000000"/>
          <w:shd w:val="clear" w:color="auto" w:fill="FFFFFF"/>
        </w:rPr>
        <w:t xml:space="preserve">in Africa have </w:t>
      </w:r>
      <w:r w:rsidRPr="00601982">
        <w:rPr>
          <w:rFonts w:ascii="Times New Roman" w:hAnsi="Times New Roman"/>
          <w:color w:val="000000"/>
          <w:shd w:val="clear" w:color="auto" w:fill="FFFFFF"/>
        </w:rPr>
        <w:t xml:space="preserve">found that the lack of consistent urban cover data across countries and cities </w:t>
      </w:r>
      <w:r>
        <w:rPr>
          <w:rFonts w:ascii="Times New Roman" w:hAnsi="Times New Roman"/>
          <w:color w:val="000000"/>
          <w:shd w:val="clear" w:color="auto" w:fill="FFFFFF"/>
        </w:rPr>
        <w:t>limited the ability to conduct</w:t>
      </w:r>
      <w:r w:rsidRPr="00601982">
        <w:rPr>
          <w:rFonts w:ascii="Times New Roman" w:hAnsi="Times New Roman"/>
          <w:color w:val="000000"/>
          <w:shd w:val="clear" w:color="auto" w:fill="FFFFFF"/>
        </w:rPr>
        <w:t xml:space="preserve"> large-scale regional urban simulation</w:t>
      </w:r>
      <w:r>
        <w:rPr>
          <w:rFonts w:ascii="Times New Roman" w:hAnsi="Times New Roman"/>
          <w:color w:val="000000"/>
          <w:shd w:val="clear" w:color="auto" w:fill="FFFFFF"/>
        </w:rPr>
        <w:t>s</w:t>
      </w:r>
      <w:r w:rsidRPr="00601982">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{"citationID":"dsGa1iZA","properties":{"formattedCitation":"(G\\uc0\\u252{}neralp et al., 2020; Reba &amp; Seto, 2020)","plainCitation":"(Güneralp et al., 2020; Reba &amp; Seto, 2020)","noteIndex":0},"citationItems":[{"id":624,"uris":["http://zotero.org/users/8906743/items/RYJ3GWJE"],"itemData":{"id":624,"type":"article-journal","abstract":"Abstract\n            \n              The physical expansion of urban areas lead to lasting impacts on landscapes and livelihoods. Here, we conduct a global synthesis of trends in urban land expansion, in urban population densities, and lands converted into urban from 1970 to 2010. We find that small-medium urban areas lead their larger counterparts in both rates of urban land expansion and decreases in urban population densities. Urban population densities have consistently declined only in India, China, North America, and Europe with significant exceptions across city sizes. Over 60% of the reported urban expansion was formerly agricultural land with China, Southeast Asia, and Europe in the lead. Counterfactual analysis suggests that, due to the decrease in urban population densities, an estimated 125 000 km\n              2\n              land was converted to urban land uses that could have otherwise remained in cultivation or as natural vegetation. In particular, in India and Nigeria, with much of their populations dependent on agriculture,  85% and 30% more land, respectively, was converted to urban land due to decreasing urban population densities. With increasing urbanization, proactive management of urban land expansion, especially in small and medium cities, will be critical for saving agricultural lands in peri-urban regions while creating equitable and affordable urban landscapes.","container-title":"Environmental Research Letters","DOI":"10.1088/1748-9326/ab6669","ISSN":"1748-9326","issue":"4","journalAbbreviation":"Environ. Res. Lett.","language":"en","page":"044015","source":"DOI.org (Crossref)","title":"Trends in urban land expansion, density, and land transitions from 1970 to 2010: a global synthesis","title-short":"Trends in urban land expansion, density, and land transitions from 1970 to 2010","URL":"https://iopscience.iop.org/article/10.1088/1748-9326/ab6669","volume":"15","author":[{"family":"Güneralp","given":"Burak"},{"family":"Reba","given":"Meredith"},{"family":"Hales","given":"Billy U"},{"family":"Wentz","given":"Elizabeth A"},{"family":"Seto","given":"Karen C"}],"accessed":{"date-parts":[["2023",3,11]]},"issued":{"date-parts":[["2020",4,1]]}}},{"id":645,"uris":["http://zotero.org/users/8906743/items/7VVGYFRR"],"itemData":{"id":645,"type":"article-journal","abstract":"Historically, change detection reviews have examined and categorized algorithms based on their techniques for the remote sensing community. Here, we synthesize urban land change algorithms by the types of information they provide to a diverse and growing set of user communities. Two goals of the paper are first to synthesize past and current change detection studies to examine urban land change to help users of remote sensing algorithms understand and navigate the vast variety of available methods, and second to identify gaps in knowledge for the urban remote sensing community. We analyzed 644 peer-reviewed research papers published in English-language journals and conducted a systematic review of urban land change algorithms. All papers included in our study focus on urban land change; studies that concentrate on single-date urban classification or mapping for one point in time without an explicit urban land change component are not included in this analysis. The review showed five key results and knowledge gaps. First, most urban change detection algorithms are being developed and applied for only a few regions, with 75% of studies focused on high or upper-middle-income countries and the majority of these on China or the United States. This suggests a major gap in geographic coverage as well as the need for more studies on cities in low and lower-middle-income countries. Second, the results show that 41% of the algorithms have been developed or applied for cities of over 5 million inhabitants. This focus on large cities is problematic given that only 11% of the world's urban population lives in cities with populations greater than 5 million and that most future urban growth will occur in small- and medium-sized towns and cities with populations of fewer than 1 million people. Third, our analysis shows that 62% of the studies use three or fewer time points to measure urban land change with an average study length of 17 years. Since rapidly growing urban areas are highly dynamic, this suggests that existing algorithms using only a few time points are likely missing urban transitions that can only be captured with high temporal frequency analysis. Fourth, we find that urban expansion is the most commonly monitored type of urban land change. Comparatively fewer studies characterized intra-urban change or three-dimensional structural change. Fifth and finally, the results show that an overwhelming majority—87%—of all studies identify only one urban class, highlighting a need for more studies that distinguish intra-urban variation and differentiate multiple urban classes. Our analysis shows that it is very difficult—nearly impossible—to compare across algorithms. Thus, for users of urban land change information, it is difficult to navigate the literature and know which algorithms are most appropriate for a particular use. Taken together, this points to the need for improved reproducibility, replicability, and comparability of studies in order to help harmonize urban land change information across regions and countries. This is especially important given the growing user communities of urban land change products and analysis, especially from policy and practice.","container-title":"Remote Sensing of Environment","DOI":"10.1016/j.rse.2020.111739","ISSN":"00344257","journalAbbreviation":"Remote Sensing of Environment","language":"en","page":"111739","source":"DOI.org (Crossref)","title":"A systematic review and assessment of algorithms to detect, characterize, and monitor urban land change","URL":"https://linkinghub.elsevier.com/retrieve/pii/S0034425720301097","volume":"242","author":[{"family":"Reba","given":"Meredith"},{"family":"Seto","given":"Karen C."}],"accessed":{"date-parts":[["2022",2,4]]},"issued":{"date-parts":[["2020",6]]}}}],"schema":"https://github.com/citation-style-language/schema/raw/master/csl-citation.json"} </w:instrText>
      </w:r>
      <w:r>
        <w:rPr>
          <w:rFonts w:ascii="Times New Roman" w:hAnsi="Times New Roman"/>
          <w:color w:val="000000"/>
          <w:shd w:val="clear" w:color="auto" w:fill="FFFFFF"/>
        </w:rPr>
        <w:fldChar w:fldCharType="separate"/>
      </w:r>
      <w:r w:rsidRPr="00421839">
        <w:rPr>
          <w:rFonts w:ascii="Times New Roman" w:hAnsi="Times New Roman"/>
        </w:rPr>
        <w:t>(Güneralp et al., 2020; Reba &amp; Seto, 2020)</w:t>
      </w:r>
      <w:r>
        <w:rPr>
          <w:rFonts w:ascii="Times New Roman" w:hAnsi="Times New Roman"/>
          <w:color w:val="000000"/>
          <w:shd w:val="clear" w:color="auto" w:fill="FFFFFF"/>
        </w:rPr>
        <w:fldChar w:fldCharType="end"/>
      </w:r>
      <w:r w:rsidRPr="00601982">
        <w:rPr>
          <w:rFonts w:ascii="Times New Roman" w:hAnsi="Times New Roman"/>
          <w:color w:val="000000"/>
          <w:shd w:val="clear" w:color="auto" w:fill="FFFFFF"/>
        </w:rPr>
        <w:t>. Most of the previous urban simulations in the region use</w:t>
      </w:r>
      <w:r>
        <w:rPr>
          <w:rFonts w:ascii="Times New Roman" w:hAnsi="Times New Roman"/>
          <w:color w:val="000000"/>
          <w:shd w:val="clear" w:color="auto" w:fill="FFFFFF"/>
        </w:rPr>
        <w:t>d</w:t>
      </w:r>
      <w:r w:rsidRPr="00601982">
        <w:rPr>
          <w:rFonts w:ascii="Times New Roman" w:hAnsi="Times New Roman"/>
          <w:color w:val="000000"/>
          <w:shd w:val="clear" w:color="auto" w:fill="FFFFFF"/>
        </w:rPr>
        <w:t xml:space="preserve"> urban land cover data for three-time steps with nine-year temporal intervals, making it difficult for models to account for subtle changes </w:t>
      </w:r>
      <w:r w:rsidRPr="00601982">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{"citationID":"JHgJhxeG","properties":{"formattedCitation":"(Aguejdad, 2021; Chaudhuri &amp; Clarke, 2014)","plainCitation":"(Aguejdad, 2021; Chaudhuri &amp; Clarke, 2014)","noteIndex":0},"citationItems":[{"id":284,"uris":["http://zotero.org/users/8906743/items/A228THVK"],"itemData":{"id":284,"type":"article-journal","abstract":"The temporal non-stationarity of land use and cover change (LUCC) processes is one of the main sources of uncertainty that may inﬂuence the calibration and the validation of spatial path-dependent LUCC models. In relation to that, this research aims to investigate the inﬂuence of the temporal non-stationarity of land change on urban growth modeling accuracy based on an empirical approach that uses past LUCC. Accordingly, the urban development in Rennes Metropolitan (France) was simulated using ﬁfteen past calibration intervals which are set from six training dates. The study used Idrisi’s Cellular Automata-Markov model (CA-Markov) which is an inductive pattern-based LUCC software package. The land demand for the simulation year was estimated using the Markov Chain method. Model validation was carried out by assessing the quantity of change, allocation, and spatial patterns accuracy. The quantity disagreement was analyzed by taking into consideration the temporal non-stationarity of change rate over the calibration and the prediction intervals, the model ability to reproduce the past amount of change in the future, and the time duration of the prediction interval. The results show that the calibration interval signiﬁcantly inﬂuenced the amount and the spatial allocation of the estimated change. In addition to that, the spatial allocation of change using CA-Markov depended highly on the basis land cover image rather than the observed transition during the calibration period. Therefore, this study provides useful insights on the role of the training dates in the simulation of non-stationary LUCC.","container-title":"Remote Sensing","DOI":"10.3390/rs13030468","ISSN":"2072-4292","issue":"3","journalAbbreviation":"Remote Sensing","language":"en","page":"468","source":"DOI.org (Crossref)","title":"The Influence of the Calibration Interval on Simulating Non-Stationary Urban Growth Dynamic Using CA-Markov Model","URL":"https://www.mdpi.com/2072-4292/13/3/468","volume":"13","author":[{"family":"Aguejdad","given":"Rahim"}],"accessed":{"date-parts":[["2022",10,2]]},"issued":{"date-parts":[["2021",1,29]]}}},{"id":605,"uris":["http://zotero.org/users/8906743/items/W8VU62GF"],"itemData":{"id":605,"type":"article-journal","abstract":"This study attempts to establish multi-temporal accuracy of the predicted maps produced by a land use change simulation model over time. Validation of the forecasted results is an essential part of predictive modeling and it becomes even more important when the models are used for decision making purposes. The present study uses a popular land use change model called SLEUTH to investigate the temporal trend of accuracy of the predicted maps. The study ﬁrst investigates the trend of accuracy of the predicted maps from the immediate future to the distant future. Secondly, it investigates the impact of the prediction date range on the accuracy of the predicted maps. The objectives are tested for the city of Gorizia (Italy) using three sets of map comparison techniques, Kappa coefﬁcients, Kappa Simulation and quantity disagreement and allocation disagreement. Results show that, in addition to the model’s performance, the decrease in the accuracy of the predicted maps is dependent on factors such as urban history, uncertainty of input data and accuracy of reference maps.","container-title":"Transactions in GIS","DOI":"10.1111/tgis.12047","ISSN":"13611682","issue":"2","journalAbbreviation":"Transactions in GIS","language":"en","page":"302-320","source":"DOI.org (Crossref)","title":"Temporal Accuracy in Urban Growth Forecasting: A Study Using the SLEUTH Model","URL":"https://onlinelibrary.wiley.com/doi/10.1111/tgis.12047","volume":"18","author":[{"family":"Chaudhuri","given":"Gargi"},{"family":"Clarke","given":"Keith C."}],"accessed":{"date-parts":[["2022",2,4]]},"issued":{"date-parts":[["2014",4]]}}}],"schema":"https://github.com/citation-style-language/schema/raw/master/csl-citation.json"} </w:instrText>
      </w:r>
      <w:r w:rsidRPr="00601982">
        <w:rPr>
          <w:rFonts w:ascii="Times New Roman" w:hAnsi="Times New Roman"/>
          <w:color w:val="000000"/>
          <w:shd w:val="clear" w:color="auto" w:fill="FFFFFF"/>
        </w:rPr>
        <w:fldChar w:fldCharType="separate"/>
      </w:r>
      <w:r w:rsidRPr="00421839">
        <w:rPr>
          <w:rFonts w:ascii="Times New Roman" w:hAnsi="Times New Roman"/>
        </w:rPr>
        <w:t>(Aguejdad, 2021; Chaudhuri &amp; Clarke, 2014)</w:t>
      </w:r>
      <w:r w:rsidRPr="00601982">
        <w:rPr>
          <w:rFonts w:ascii="Times New Roman" w:hAnsi="Times New Roman"/>
          <w:color w:val="000000"/>
          <w:shd w:val="clear" w:color="auto" w:fill="FFFFFF"/>
        </w:rPr>
        <w:fldChar w:fldCharType="end"/>
      </w:r>
      <w:r w:rsidRPr="00601982">
        <w:rPr>
          <w:rFonts w:ascii="Times New Roman" w:hAnsi="Times New Roman"/>
          <w:color w:val="000000"/>
          <w:shd w:val="clear" w:color="auto" w:fill="FFFFFF"/>
        </w:rPr>
        <w:t xml:space="preserve">. The West Africa Dataset of Impervious Surface Change (WADISC) </w:t>
      </w:r>
      <w:r>
        <w:rPr>
          <w:rFonts w:ascii="Times New Roman" w:hAnsi="Times New Roman"/>
          <w:color w:val="000000"/>
          <w:shd w:val="clear" w:color="auto" w:fill="FFFFFF"/>
        </w:rPr>
        <w:t>was regionally calibrated with c</w:t>
      </w:r>
      <w:r w:rsidRPr="00601982">
        <w:rPr>
          <w:rFonts w:ascii="Times New Roman" w:hAnsi="Times New Roman"/>
          <w:color w:val="000000"/>
          <w:shd w:val="clear" w:color="auto" w:fill="FFFFFF"/>
        </w:rPr>
        <w:t xml:space="preserve">onsistent </w:t>
      </w:r>
      <w:r>
        <w:rPr>
          <w:rFonts w:ascii="Times New Roman" w:hAnsi="Times New Roman"/>
          <w:color w:val="000000"/>
          <w:shd w:val="clear" w:color="auto" w:fill="FFFFFF"/>
        </w:rPr>
        <w:t xml:space="preserve">annual </w:t>
      </w:r>
      <w:r w:rsidRPr="00601982">
        <w:rPr>
          <w:rFonts w:ascii="Times New Roman" w:hAnsi="Times New Roman"/>
          <w:color w:val="000000"/>
          <w:shd w:val="clear" w:color="auto" w:fill="FFFFFF"/>
        </w:rPr>
        <w:t xml:space="preserve">classification </w:t>
      </w:r>
      <w:r>
        <w:rPr>
          <w:rFonts w:ascii="Times New Roman" w:hAnsi="Times New Roman"/>
          <w:color w:val="000000"/>
          <w:shd w:val="clear" w:color="auto" w:fill="FFFFFF"/>
        </w:rPr>
        <w:t>of developed areas across Ghana, Togo, Benin, and Nigeria</w:t>
      </w:r>
      <w:r w:rsidRPr="00601982">
        <w:rPr>
          <w:rFonts w:ascii="Times New Roman" w:hAnsi="Times New Roman"/>
          <w:color w:val="000000"/>
          <w:shd w:val="clear" w:color="auto" w:fill="FFFFFF"/>
        </w:rPr>
        <w:t xml:space="preserve"> </w:t>
      </w:r>
      <w:r>
        <w:rPr>
          <w:rFonts w:ascii="Times New Roman" w:hAnsi="Times New Roman"/>
          <w:color w:val="000000"/>
          <w:shd w:val="clear" w:color="auto" w:fill="FFFFFF"/>
        </w:rPr>
        <w:t>and addresses these limitations</w:t>
      </w:r>
      <w:r w:rsidR="00E04760">
        <w:rPr>
          <w:rFonts w:ascii="Times New Roman" w:hAnsi="Times New Roman"/>
          <w:color w:val="000000"/>
          <w:shd w:val="clear" w:color="auto" w:fill="FFFFFF"/>
        </w:rPr>
        <w:t xml:space="preserve"> </w:t>
      </w:r>
      <w:r w:rsidR="004F30F3" w:rsidRPr="004F30F3">
        <w:rPr>
          <w:rFonts w:ascii="Times New Roman" w:hAnsi="Times New Roman"/>
          <w:color w:val="000000"/>
          <w:shd w:val="clear" w:color="auto" w:fill="FFFFFF"/>
        </w:rPr>
        <w:fldChar w:fldCharType="begin"/>
      </w:r>
      <w:r w:rsidR="004F30F3" w:rsidRPr="004F30F3">
        <w:rPr>
          <w:rFonts w:ascii="Times New Roman" w:hAnsi="Times New Roman"/>
          <w:color w:val="000000"/>
          <w:shd w:val="clear" w:color="auto" w:fill="FFFFFF"/>
        </w:rPr>
        <w:instrText xml:space="preserve"> ADDIN ZOTERO_ITEM CSL_CITATION {"citationID":"aVnQVqEN","properties":{"formattedCitation":"(Korah &amp; Wimberly, 2024a, 2024b)","plainCitation":"(Korah &amp; Wimberly, 2024a, 2024b)","noteIndex":0},"citationItems":[{"id":2032,"uris":["http://zotero.org/users/8906743/items/QJMXD7GI"],"itemData":{"id":2032,"type":"dataset","DOI":"10.6084/m9.figshare.24716481.v3","genre":"Dataset","publisher":"figshare","source":"figshare.com","title":"WADISC: Annual Impervious Surface Data for Ghana, Togo, Benin, and Nigeria from 2001 – 2020","URL":"https://doi.org/10.6084/m9.figshare.24716481.v3","author":[{"family":"Korah","given":"Andrews"},{"family":"Wimberly","given":"Michael"}],"issued":{"date-parts":[["2024"]]}}},{"id":2091,"uris":["http://zotero.org/users/8906743/items/ZYYWM79L"],"itemData":{"id":2091,"type":"article-journal","abstract":"Impervious surface data are increasingly important for research and planning. Despite the availability of global and local urban land cover maps, regional data are lacking in Africa. We generated annual 30 m impervious cover data from 2001–2020 for Ghana, Togo, Benin, and Nigeria using the Landsat archive. We used random forest to predict impervious cover using 11 spectral indices and applied pixel-level temporal segmentation with the LandTrendr algorithm. Processing with LandTrendr improved the accuracy of the random forest predictions, with higher predicted-observed r2 (0.81), and lower mean error (−0.03), mean absolute error (5.73%), and root mean squared error (9.93%). We classified pixels &gt;20% impervious as developed and &lt; = 20% impervious as undeveloped. This classification had 93% overall accuracy and similar producer’s (79%) and user’s (80%) accuracies for developed area. Our maps had higher accuracy and captured more developed areas than comparable global datasets. This is the first regionally calibrated 30 m resolution impervious dataset in West Africa, which can support research on drivers and impacts of urban expansion and planning for future growth.","container-title":"Scientific Data","DOI":"10.1038/s41597-024-03610-8","ISSN":"2052-4463","issue":"1","journalAbbreviation":"Sci Data","language":"en","license":"2024 The Author(s)","note":"publisher: Nature Publishing Group","page":"791","source":"www.nature.com","title":"Annual Impervious Surface Data from 2001–2020 for West African Countries: Ghana, Togo, Benin and Nigeria","title-short":"Annual Impervious Surface Data from 2001–2020 for West African Countries","URL":"https://www.nature.com/articles/s41597-024-03610-8","volume":"11","author":[{"family":"Korah","given":"Andrews"},{"family":"Wimberly","given":"Michael C."}],"accessed":{"date-parts":[["2024",7,18]]},"issued":{"date-parts":[["2024",7,18]]}}}],"schema":"https://github.com/citation-style-language/schema/raw/master/csl-citation.json"} </w:instrText>
      </w:r>
      <w:r w:rsidR="004F30F3" w:rsidRPr="004F30F3">
        <w:rPr>
          <w:rFonts w:ascii="Times New Roman" w:hAnsi="Times New Roman"/>
          <w:color w:val="000000"/>
          <w:shd w:val="clear" w:color="auto" w:fill="FFFFFF"/>
        </w:rPr>
        <w:fldChar w:fldCharType="separate"/>
      </w:r>
      <w:r w:rsidR="004F30F3" w:rsidRPr="004F30F3">
        <w:rPr>
          <w:rFonts w:ascii="Times New Roman" w:hAnsi="Times New Roman"/>
        </w:rPr>
        <w:t>(Korah &amp; Wimberly, 2024a, 2024b)</w:t>
      </w:r>
      <w:r w:rsidR="004F30F3" w:rsidRPr="004F30F3">
        <w:rPr>
          <w:rFonts w:ascii="Times New Roman" w:hAnsi="Times New Roman"/>
          <w:color w:val="000000"/>
          <w:shd w:val="clear" w:color="auto" w:fill="FFFFFF"/>
        </w:rPr>
        <w:fldChar w:fldCharType="end"/>
      </w:r>
      <w:r w:rsidR="004F30F3" w:rsidRPr="004F30F3">
        <w:rPr>
          <w:rFonts w:ascii="Times New Roman" w:hAnsi="Times New Roman"/>
          <w:color w:val="000000"/>
          <w:shd w:val="clear" w:color="auto" w:fill="FFFFFF"/>
        </w:rPr>
        <w:t>.</w:t>
      </w:r>
      <w:r w:rsidRPr="00601982">
        <w:rPr>
          <w:rFonts w:ascii="Times New Roman" w:hAnsi="Times New Roman"/>
          <w:color w:val="000000"/>
          <w:shd w:val="clear" w:color="auto" w:fill="FFFFFF"/>
        </w:rPr>
        <w:t xml:space="preserve"> Additionally, national road network data are generally inconsistent across countries and biased toward </w:t>
      </w:r>
      <w:r>
        <w:rPr>
          <w:rFonts w:ascii="Times New Roman" w:hAnsi="Times New Roman"/>
          <w:color w:val="000000"/>
          <w:shd w:val="clear" w:color="auto" w:fill="FFFFFF"/>
        </w:rPr>
        <w:t xml:space="preserve">the largest </w:t>
      </w:r>
      <w:r w:rsidRPr="00601982">
        <w:rPr>
          <w:rFonts w:ascii="Times New Roman" w:hAnsi="Times New Roman"/>
          <w:color w:val="000000"/>
          <w:shd w:val="clear" w:color="auto" w:fill="FFFFFF"/>
        </w:rPr>
        <w:t>cities</w:t>
      </w:r>
      <w:r>
        <w:rPr>
          <w:rFonts w:ascii="Times New Roman" w:hAnsi="Times New Roman"/>
          <w:color w:val="000000"/>
          <w:shd w:val="clear" w:color="auto" w:fill="FFFFFF"/>
        </w:rPr>
        <w:t>. H</w:t>
      </w:r>
      <w:r w:rsidRPr="00601982">
        <w:rPr>
          <w:rFonts w:ascii="Times New Roman" w:hAnsi="Times New Roman"/>
          <w:color w:val="000000"/>
          <w:shd w:val="clear" w:color="auto" w:fill="FFFFFF"/>
        </w:rPr>
        <w:t xml:space="preserve">owever, the global road inventory project </w:t>
      </w:r>
      <w:r>
        <w:rPr>
          <w:rFonts w:ascii="Times New Roman" w:hAnsi="Times New Roman"/>
          <w:color w:val="000000"/>
          <w:shd w:val="clear" w:color="auto" w:fill="FFFFFF"/>
        </w:rPr>
        <w:t>has provided</w:t>
      </w:r>
      <w:r w:rsidRPr="00601982">
        <w:rPr>
          <w:rFonts w:ascii="Times New Roman" w:hAnsi="Times New Roman"/>
          <w:color w:val="000000"/>
          <w:shd w:val="clear" w:color="auto" w:fill="FFFFFF"/>
        </w:rPr>
        <w:t xml:space="preserve"> high-quality data across regions, countries, and cities</w:t>
      </w:r>
      <w:r>
        <w:rPr>
          <w:rFonts w:ascii="Times New Roman" w:hAnsi="Times New Roman"/>
          <w:color w:val="000000"/>
          <w:shd w:val="clear" w:color="auto" w:fill="FFFFFF"/>
        </w:rPr>
        <w:t xml:space="preserve">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{"citationID":"vuhjrrhr","properties":{"formattedCitation":"(Meijer et al., 2018)","plainCitation":"(Meijer et al., 2018)","noteIndex":0},"citationItems":[{"id":830,"uris":["http://zotero.org/users/8906743/items/BCF5R4S3"],"itemData":{"id":830,"type":"article-journal","abstract":"Georeferenced information on road infrastructure is essential for spatial planning, socio-economic assessments and environmental impact analyses. Yet current global road maps are typically outdated or characterized by spatial bias in coverage. In the Global Roads Inventory Project we gathered, harmonized and integrated nearly 60 geospatial datasets on road infrastructure into a global roads dataset. The resulting dataset covers 222 countries and includes over 21 million km of roads, which is two to three times the total length in the currently best available country-based global roads datasets. We then related total road length per country to country area, population density, GDP and OECD membership, resulting in a regression model with adjusted R2 of 0.90, and found that that the highest road densities are associated with densely populated and wealthier countries. Applying our regression model to future population densities and GDP estimates from the Shared Socioeconomic Pathway (SSP) scenarios, we obtained a tentative estimate of 3.0–4.7 million km additional road length for the year 2050. Large increases in road length were projected for developing nations in some of the world’s last remaining wilderness areas, such as the Amazon, the Congo basin and New Guinea. This highlights the need for accurate spatial road datasets to underpin strategic spatial planning in order to reduce the impacts of roads in remaining pristine ecosystems.","container-title":"Environmental Research Letters","DOI":"10.1088/1748-9326/aabd42","ISSN":"1748-9326","issue":"6","journalAbbreviation":"Environ. Res. Lett.","language":"en","page":"064006","source":"DOI.org (Crossref)","title":"Global patterns of current and future road infrastructure","URL":"https://iopscience.iop.org/article/10.1088/1748-9326/aabd42","volume":"13","author":[{"family":"Meijer","given":"Johan R"},{"family":"Huijbregts","given":"Mark A J"},{"family":"Schotten","given":"Kees C G J"},{"family":"Schipper","given":"Aafke M"}],"accessed":{"date-parts":[["2022",10,26]]},"issued":{"date-parts":[["2018",6,1]]}}}],"schema":"https://github.com/citation-style-language/schema/raw/master/csl-citation.json"} </w:instrText>
      </w:r>
      <w:r>
        <w:rPr>
          <w:rFonts w:ascii="Times New Roman" w:hAnsi="Times New Roman"/>
          <w:color w:val="000000"/>
          <w:shd w:val="clear" w:color="auto" w:fill="FFFFFF"/>
        </w:rPr>
        <w:fldChar w:fldCharType="separate"/>
      </w:r>
      <w:r w:rsidRPr="00421839">
        <w:rPr>
          <w:rFonts w:ascii="Times New Roman" w:hAnsi="Times New Roman"/>
        </w:rPr>
        <w:t>(Meijer et al., 2018)</w:t>
      </w:r>
      <w:r>
        <w:rPr>
          <w:rFonts w:ascii="Times New Roman" w:hAnsi="Times New Roman"/>
          <w:color w:val="000000"/>
          <w:shd w:val="clear" w:color="auto" w:fill="FFFFFF"/>
        </w:rPr>
        <w:fldChar w:fldCharType="end"/>
      </w:r>
      <w:r w:rsidRPr="00601982">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These </w:t>
      </w:r>
      <w:r>
        <w:rPr>
          <w:rFonts w:ascii="Times New Roman" w:hAnsi="Times New Roman"/>
          <w:color w:val="000000"/>
          <w:shd w:val="clear" w:color="auto" w:fill="FFFFFF"/>
        </w:rPr>
        <w:lastRenderedPageBreak/>
        <w:t xml:space="preserve">newer datasets can support consistent, </w:t>
      </w:r>
      <w:r w:rsidRPr="00601982">
        <w:rPr>
          <w:rFonts w:ascii="Times New Roman" w:hAnsi="Times New Roman"/>
          <w:color w:val="000000"/>
          <w:shd w:val="clear" w:color="auto" w:fill="FFFFFF"/>
        </w:rPr>
        <w:t xml:space="preserve">large-scale urban </w:t>
      </w:r>
      <w:r>
        <w:rPr>
          <w:rFonts w:ascii="Times New Roman" w:hAnsi="Times New Roman"/>
          <w:color w:val="000000"/>
          <w:shd w:val="clear" w:color="auto" w:fill="FFFFFF"/>
        </w:rPr>
        <w:t>growth simulations</w:t>
      </w:r>
      <w:r w:rsidRPr="00601982">
        <w:rPr>
          <w:rFonts w:ascii="Times New Roman" w:hAnsi="Times New Roman"/>
          <w:color w:val="000000"/>
          <w:shd w:val="clear" w:color="auto" w:fill="FFFFFF"/>
        </w:rPr>
        <w:t xml:space="preserve"> across multiple study areas in West Africa, where cities are growing rapidly. </w:t>
      </w:r>
    </w:p>
    <w:p w14:paraId="0DE172D9" w14:textId="3B2ACB40" w:rsidR="00DB4731" w:rsidRPr="00601982" w:rsidRDefault="00DB4731" w:rsidP="007630B8">
      <w:pPr>
        <w:ind w:firstLine="360"/>
        <w:rPr>
          <w:rFonts w:ascii="Times New Roman" w:hAnsi="Times New Roman"/>
          <w:color w:val="000000"/>
          <w:shd w:val="clear" w:color="auto" w:fill="FFFFFF"/>
        </w:rPr>
      </w:pPr>
      <w:r w:rsidRPr="00601982">
        <w:rPr>
          <w:rFonts w:ascii="Times New Roman" w:hAnsi="Times New Roman"/>
          <w:color w:val="000000"/>
          <w:shd w:val="clear" w:color="auto" w:fill="FFFFFF"/>
        </w:rPr>
        <w:t>In West Africa, previous urban growth simulation</w:t>
      </w:r>
      <w:r>
        <w:rPr>
          <w:rFonts w:ascii="Times New Roman" w:hAnsi="Times New Roman"/>
          <w:color w:val="000000"/>
          <w:shd w:val="clear" w:color="auto" w:fill="FFFFFF"/>
        </w:rPr>
        <w:t xml:space="preserve"> studie</w:t>
      </w:r>
      <w:r w:rsidRPr="00601982">
        <w:rPr>
          <w:rFonts w:ascii="Times New Roman" w:hAnsi="Times New Roman"/>
          <w:color w:val="000000"/>
          <w:shd w:val="clear" w:color="auto" w:fill="FFFFFF"/>
        </w:rPr>
        <w:t>s m</w:t>
      </w:r>
      <w:r>
        <w:rPr>
          <w:rFonts w:ascii="Times New Roman" w:hAnsi="Times New Roman"/>
          <w:color w:val="000000"/>
          <w:shd w:val="clear" w:color="auto" w:fill="FFFFFF"/>
        </w:rPr>
        <w:t>ain</w:t>
      </w:r>
      <w:r w:rsidRPr="00601982">
        <w:rPr>
          <w:rFonts w:ascii="Times New Roman" w:hAnsi="Times New Roman"/>
          <w:color w:val="000000"/>
          <w:shd w:val="clear" w:color="auto" w:fill="FFFFFF"/>
        </w:rPr>
        <w:t xml:space="preserve">ly focused on primary cities with greater than a million urban residents. </w:t>
      </w:r>
      <w:r>
        <w:rPr>
          <w:rFonts w:ascii="Times New Roman" w:hAnsi="Times New Roman"/>
          <w:color w:val="000000"/>
          <w:shd w:val="clear" w:color="auto" w:fill="FFFFFF"/>
        </w:rPr>
        <w:t>While these primary</w:t>
      </w:r>
      <w:r w:rsidRPr="00601982">
        <w:rPr>
          <w:rFonts w:ascii="Times New Roman" w:hAnsi="Times New Roman"/>
          <w:color w:val="000000"/>
          <w:shd w:val="clear" w:color="auto" w:fill="FFFFFF"/>
        </w:rPr>
        <w:t xml:space="preserve"> cities have been the focus of future projections, secondary cities with populations of less than or equal to a million are expanding rapidly and contributing more</w:t>
      </w:r>
      <w:r>
        <w:rPr>
          <w:rFonts w:ascii="Times New Roman" w:hAnsi="Times New Roman"/>
          <w:color w:val="000000"/>
          <w:shd w:val="clear" w:color="auto" w:fill="FFFFFF"/>
        </w:rPr>
        <w:t xml:space="preserve"> and more</w:t>
      </w:r>
      <w:r w:rsidRPr="00601982">
        <w:rPr>
          <w:rFonts w:ascii="Times New Roman" w:hAnsi="Times New Roman"/>
          <w:color w:val="000000"/>
          <w:shd w:val="clear" w:color="auto" w:fill="FFFFFF"/>
        </w:rPr>
        <w:t xml:space="preserve"> to West Africa's urban footprint. Between 2001 and 2020, primary cities in the region expanded by 4.1% annually, whereas the secondary cities' expansion rate was 4.5% </w:t>
      </w:r>
      <w:r w:rsidR="008F4B1F" w:rsidRPr="008F4B1F">
        <w:rPr>
          <w:rFonts w:ascii="Times New Roman" w:hAnsi="Times New Roman"/>
          <w:color w:val="000000"/>
          <w:shd w:val="clear" w:color="auto" w:fill="FFFFFF"/>
        </w:rPr>
        <w:fldChar w:fldCharType="begin"/>
      </w:r>
      <w:r w:rsidR="008F4B1F" w:rsidRPr="008F4B1F">
        <w:rPr>
          <w:rFonts w:ascii="Times New Roman" w:hAnsi="Times New Roman"/>
          <w:color w:val="000000"/>
          <w:shd w:val="clear" w:color="auto" w:fill="FFFFFF"/>
        </w:rPr>
        <w:instrText xml:space="preserve"> ADDIN ZOTERO_ITEM CSL_CITATION {"citationID":"YeeqYadE","properties":{"formattedCitation":"(Korah &amp; Wimberly, 2024c)","plainCitation":"(Korah &amp; Wimberly, 2024c)","noteIndex":0},"citationItems":[{"id":1977,"uris":["http://zotero.org/users/8906743/items/889NZRIP"],"itemData":{"id":1977,"type":"article-journal","abstract":"Urban expansion studies are often biased toward large cities with populations greater than 1 million, while small and medium cities with smaller populations are overlooked. We mapped and assessed the expansion of 1603 cities across Ghana, Togo, Benin, and Nigeria using impervious surface data generated from Landsat from 2001 to 2020. We classified pixels with &gt;20 % impervious as developed with 93 % overall accuracy. Total developed area increased 2.3-fold from 4001 km² in 2001 to 9402 km² in 2020. Of the expanded area, more than half (54 %) occurred in small and medium cities, and 73 % was sprawl. The mean annual expansion rate was 4.6 %.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Benin and Togo. Although much attention is focused on large megacities, these results show that smaller and more numerous cities contribute substantially to urban expansion and need to be incorporated into regional assessments of urban growth and its impacts.","container-title":"Sustainable Cities and Society","DOI":"10.1016/j.scs.2024.105381","ISSN":"2210-6707","journalAbbreviation":"Sustainable Cities and Society","page":"105381","source":"ScienceDirect","title":"Smaller cities have large impacts on West Africa's expanding urban system","URL":"https://www.sciencedirect.com/science/article/pii/S2210670724002099","volume":"106","author":[{"family":"Korah","given":"Andrews"},{"family":"Wimberly","given":"Michael C."}],"accessed":{"date-parts":[["2024",4,8]]},"issued":{"date-parts":[["2024",7,1]]}}}],"schema":"https://github.com/citation-style-language/schema/raw/master/csl-citation.json"} </w:instrText>
      </w:r>
      <w:r w:rsidR="008F4B1F" w:rsidRPr="008F4B1F">
        <w:rPr>
          <w:rFonts w:ascii="Times New Roman" w:hAnsi="Times New Roman"/>
          <w:color w:val="000000"/>
          <w:shd w:val="clear" w:color="auto" w:fill="FFFFFF"/>
        </w:rPr>
        <w:fldChar w:fldCharType="separate"/>
      </w:r>
      <w:r w:rsidR="008F4B1F" w:rsidRPr="008F4B1F">
        <w:rPr>
          <w:rFonts w:ascii="Times New Roman" w:hAnsi="Times New Roman"/>
        </w:rPr>
        <w:t>(Korah &amp; Wimberly, 2024c)</w:t>
      </w:r>
      <w:r w:rsidR="008F4B1F" w:rsidRPr="008F4B1F">
        <w:rPr>
          <w:rFonts w:ascii="Times New Roman" w:hAnsi="Times New Roman"/>
          <w:color w:val="000000"/>
          <w:shd w:val="clear" w:color="auto" w:fill="FFFFFF"/>
        </w:rPr>
        <w:fldChar w:fldCharType="end"/>
      </w:r>
      <w:r w:rsidRPr="008F4B1F">
        <w:rPr>
          <w:rFonts w:ascii="Times New Roman" w:hAnsi="Times New Roman"/>
          <w:color w:val="000000"/>
          <w:shd w:val="clear" w:color="auto" w:fill="FFFFFF"/>
        </w:rPr>
        <w:t>.</w:t>
      </w:r>
      <w:r w:rsidRPr="00601982">
        <w:rPr>
          <w:rFonts w:ascii="Times New Roman" w:hAnsi="Times New Roman"/>
          <w:color w:val="000000"/>
          <w:shd w:val="clear" w:color="auto" w:fill="FFFFFF"/>
        </w:rPr>
        <w:t xml:space="preserve"> Also, secondary cities' share of the total urban population was 60% in 2020, and projections are that this percentage will increase to 66% by 2050. </w:t>
      </w:r>
      <w:r>
        <w:rPr>
          <w:rFonts w:ascii="Times New Roman" w:hAnsi="Times New Roman"/>
          <w:color w:val="000000"/>
          <w:shd w:val="clear" w:color="auto" w:fill="FFFFFF"/>
        </w:rPr>
        <w:t>P</w:t>
      </w:r>
      <w:r w:rsidRPr="00601982">
        <w:rPr>
          <w:rFonts w:ascii="Times New Roman" w:hAnsi="Times New Roman"/>
          <w:color w:val="000000"/>
          <w:shd w:val="clear" w:color="auto" w:fill="FFFFFF"/>
        </w:rPr>
        <w:t>rojections of how current population growth rates and U</w:t>
      </w:r>
      <w:r>
        <w:rPr>
          <w:rFonts w:ascii="Times New Roman" w:hAnsi="Times New Roman"/>
          <w:color w:val="000000"/>
          <w:shd w:val="clear" w:color="auto" w:fill="FFFFFF"/>
        </w:rPr>
        <w:t xml:space="preserve">nited </w:t>
      </w:r>
      <w:r w:rsidRPr="00601982">
        <w:rPr>
          <w:rFonts w:ascii="Times New Roman" w:hAnsi="Times New Roman"/>
          <w:color w:val="000000"/>
          <w:shd w:val="clear" w:color="auto" w:fill="FFFFFF"/>
        </w:rPr>
        <w:t>N</w:t>
      </w:r>
      <w:r>
        <w:rPr>
          <w:rFonts w:ascii="Times New Roman" w:hAnsi="Times New Roman"/>
          <w:color w:val="000000"/>
          <w:shd w:val="clear" w:color="auto" w:fill="FFFFFF"/>
        </w:rPr>
        <w:t>ations</w:t>
      </w:r>
      <w:r w:rsidRPr="00601982">
        <w:rPr>
          <w:rFonts w:ascii="Times New Roman" w:hAnsi="Times New Roman"/>
          <w:color w:val="000000"/>
          <w:shd w:val="clear" w:color="auto" w:fill="FFFFFF"/>
        </w:rPr>
        <w:t xml:space="preserve"> population projections translate into</w:t>
      </w:r>
      <w:r>
        <w:rPr>
          <w:rFonts w:ascii="Times New Roman" w:hAnsi="Times New Roman"/>
          <w:color w:val="000000"/>
          <w:shd w:val="clear" w:color="auto" w:fill="FFFFFF"/>
        </w:rPr>
        <w:t xml:space="preserve"> urban</w:t>
      </w:r>
      <w:r w:rsidRPr="00601982">
        <w:rPr>
          <w:rFonts w:ascii="Times New Roman" w:hAnsi="Times New Roman"/>
          <w:color w:val="000000"/>
          <w:shd w:val="clear" w:color="auto" w:fill="FFFFFF"/>
        </w:rPr>
        <w:t xml:space="preserve"> expansion</w:t>
      </w:r>
      <w:r>
        <w:rPr>
          <w:rFonts w:ascii="Times New Roman" w:hAnsi="Times New Roman"/>
          <w:color w:val="000000"/>
          <w:shd w:val="clear" w:color="auto" w:fill="FFFFFF"/>
        </w:rPr>
        <w:t xml:space="preserve"> patterns in the landscape</w:t>
      </w:r>
      <w:r w:rsidRPr="00601982">
        <w:rPr>
          <w:rFonts w:ascii="Times New Roman" w:hAnsi="Times New Roman"/>
          <w:color w:val="000000"/>
          <w:shd w:val="clear" w:color="auto" w:fill="FFFFFF"/>
        </w:rPr>
        <w:t xml:space="preserve"> across countries and cities in West Africa are lacking.</w:t>
      </w:r>
      <w:r>
        <w:rPr>
          <w:rFonts w:ascii="Times New Roman" w:hAnsi="Times New Roman"/>
          <w:color w:val="000000"/>
          <w:shd w:val="clear" w:color="auto" w:fill="FFFFFF"/>
        </w:rPr>
        <w:t xml:space="preserve"> To fully capture the impacts of urbanization across the region, these projections must encompass all cities (and types) within the regional urban network instead of just the largest cities. </w:t>
      </w:r>
    </w:p>
    <w:p w14:paraId="5754F616" w14:textId="20ECAF59" w:rsidR="00903EC6" w:rsidRDefault="00DB4731" w:rsidP="007630B8">
      <w:pPr>
        <w:ind w:firstLine="360"/>
        <w:rPr>
          <w:rFonts w:ascii="Times New Roman" w:hAnsi="Times New Roman"/>
          <w:color w:val="000000"/>
          <w:shd w:val="clear" w:color="auto" w:fill="FFFFFF"/>
        </w:rPr>
      </w:pPr>
      <w:r w:rsidRPr="00601982">
        <w:rPr>
          <w:rFonts w:ascii="Times New Roman" w:hAnsi="Times New Roman"/>
          <w:color w:val="000000"/>
          <w:shd w:val="clear" w:color="auto" w:fill="FFFFFF"/>
        </w:rPr>
        <w:t>Our main objective was to simulate the future urban expansion across Ghana, Togo, Benin, and Nigeria</w:t>
      </w:r>
      <w:r>
        <w:rPr>
          <w:rFonts w:ascii="Times New Roman" w:hAnsi="Times New Roman"/>
          <w:color w:val="000000"/>
          <w:shd w:val="clear" w:color="auto" w:fill="FFFFFF"/>
        </w:rPr>
        <w:t>. We specifically asked three research questions: 1)</w:t>
      </w:r>
      <w:r w:rsidRPr="00601982">
        <w:rPr>
          <w:rFonts w:ascii="Times New Roman" w:hAnsi="Times New Roman"/>
          <w:color w:val="000000"/>
          <w:shd w:val="clear" w:color="auto" w:fill="FFFFFF"/>
        </w:rPr>
        <w:t xml:space="preserve"> </w:t>
      </w:r>
      <w:r>
        <w:rPr>
          <w:rFonts w:ascii="Times New Roman" w:hAnsi="Times New Roman"/>
          <w:color w:val="000000"/>
          <w:shd w:val="clear" w:color="auto" w:fill="FFFFFF"/>
        </w:rPr>
        <w:t>How have different variables influenced urban expansion in cities of varying population sizes? 2) How do model patterns and quantity accuracy vary in cities of varying sizes? 3) How do the amounts and rates of expansion vary across different time intervals from 2020 to 2050? We calibrated the FUTURES model to simulate developed land change from 2016 to 2050 using the WADISC dataset and several input variables. These enable us to understand the best predictors and assess model accuracy</w:t>
      </w:r>
      <w:r w:rsidR="00073078">
        <w:rPr>
          <w:rFonts w:ascii="Times New Roman" w:hAnsi="Times New Roman"/>
          <w:color w:val="000000"/>
          <w:shd w:val="clear" w:color="auto" w:fill="FFFFFF"/>
        </w:rPr>
        <w:t>.</w:t>
      </w:r>
    </w:p>
    <w:p w14:paraId="7AD40DCA" w14:textId="77777777" w:rsidR="00073078" w:rsidRPr="00103457" w:rsidRDefault="00073078" w:rsidP="00DB4731">
      <w:pPr>
        <w:ind w:firstLine="360"/>
        <w:jc w:val="both"/>
        <w:rPr>
          <w:rFonts w:ascii="Times New Roman" w:eastAsia="Aptos" w:hAnsi="Times New Roman"/>
          <w:lang w:bidi="ar-SA"/>
          <w14:ligatures w14:val="standardContextual"/>
        </w:rPr>
      </w:pPr>
    </w:p>
    <w:p w14:paraId="6302F1F3" w14:textId="77777777" w:rsidR="00103457" w:rsidRDefault="00103457" w:rsidP="00590F94">
      <w:pPr>
        <w:pStyle w:val="Heading2"/>
      </w:pPr>
      <w:bookmarkStart w:id="125" w:name="_Toc172288748"/>
      <w:r w:rsidRPr="00103457">
        <w:lastRenderedPageBreak/>
        <w:t>Materials and Methods</w:t>
      </w:r>
      <w:bookmarkEnd w:id="125"/>
    </w:p>
    <w:p w14:paraId="709ADFF5" w14:textId="750A47E7" w:rsidR="008148DB" w:rsidRDefault="008148DB" w:rsidP="007630B8">
      <w:pPr>
        <w:ind w:firstLine="360"/>
      </w:pPr>
      <w:r w:rsidRPr="09B8FE07">
        <w:rPr>
          <w:rFonts w:ascii="Times New Roman" w:hAnsi="Times New Roman"/>
        </w:rPr>
        <w:t>The research involves several processes involving input data preparation, fitting with different sub-models, generation of variable importance, 20 simulation runs for each country, classification of average probabilities of future development, quantifying with landscape quantity and pattern to assess the simulation accuracy, and summary of expansion rates. We summarized these processes in a flow chart (</w:t>
      </w:r>
      <w:r w:rsidRPr="00A739B1">
        <w:rPr>
          <w:rFonts w:ascii="Times New Roman" w:hAnsi="Times New Roman"/>
        </w:rPr>
        <w:fldChar w:fldCharType="begin"/>
      </w:r>
      <w:r w:rsidRPr="00A739B1">
        <w:rPr>
          <w:rFonts w:ascii="Times New Roman" w:hAnsi="Times New Roman"/>
        </w:rPr>
        <w:instrText xml:space="preserve"> REF _Ref171971600 \h </w:instrText>
      </w:r>
      <w:r w:rsidR="00A739B1" w:rsidRPr="00A739B1">
        <w:rPr>
          <w:rFonts w:ascii="Times New Roman" w:hAnsi="Times New Roman"/>
        </w:rPr>
        <w:instrText xml:space="preserve"> \* MERGEFORMAT </w:instrText>
      </w:r>
      <w:r w:rsidRPr="00A739B1">
        <w:rPr>
          <w:rFonts w:ascii="Times New Roman" w:hAnsi="Times New Roman"/>
        </w:rPr>
      </w:r>
      <w:r w:rsidRPr="00A739B1">
        <w:rPr>
          <w:rFonts w:ascii="Times New Roman" w:hAnsi="Times New Roman"/>
        </w:rPr>
        <w:fldChar w:fldCharType="separate"/>
      </w:r>
      <w:r w:rsidR="00B129D9" w:rsidRPr="00B129D9">
        <w:t xml:space="preserve">Figure </w:t>
      </w:r>
      <w:r w:rsidR="00B129D9" w:rsidRPr="00B129D9">
        <w:rPr>
          <w:noProof/>
        </w:rPr>
        <w:t>13</w:t>
      </w:r>
      <w:r w:rsidRPr="00A739B1">
        <w:rPr>
          <w:rFonts w:ascii="Times New Roman" w:hAnsi="Times New Roman"/>
        </w:rPr>
        <w:fldChar w:fldCharType="end"/>
      </w:r>
      <w:r w:rsidRPr="00A739B1">
        <w:rPr>
          <w:rFonts w:ascii="Times New Roman" w:hAnsi="Times New Roman"/>
        </w:rPr>
        <w:t>).</w:t>
      </w:r>
    </w:p>
    <w:p w14:paraId="7929AF3E" w14:textId="77777777" w:rsidR="00246F97" w:rsidRDefault="00A21C57" w:rsidP="00246F97">
      <w:pPr>
        <w:keepNext/>
        <w:ind w:left="360"/>
      </w:pPr>
      <w:r>
        <w:rPr>
          <w:noProof/>
          <w:lang w:bidi="ar-SA"/>
        </w:rPr>
        <mc:AlternateContent>
          <mc:Choice Requires="wpc">
            <w:drawing>
              <wp:inline distT="0" distB="0" distL="0" distR="0" wp14:anchorId="3D3599BC" wp14:editId="3D4E7352">
                <wp:extent cx="5486400" cy="3625795"/>
                <wp:effectExtent l="0" t="0" r="0" b="0"/>
                <wp:docPr id="288871527"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89514659" name="Rectangle 589514659"/>
                        <wps:cNvSpPr/>
                        <wps:spPr>
                          <a:xfrm>
                            <a:off x="1987826" y="63619"/>
                            <a:ext cx="1622066" cy="556488"/>
                          </a:xfrm>
                          <a:prstGeom prst="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821F6E" w14:textId="55398BA8" w:rsidR="005A41EC" w:rsidRPr="005A649E" w:rsidRDefault="005A41EC" w:rsidP="007A34B1">
                              <w:pPr>
                                <w:spacing w:line="240" w:lineRule="auto"/>
                                <w:jc w:val="center"/>
                                <w:rPr>
                                  <w:color w:val="000000" w:themeColor="text1"/>
                                  <w:sz w:val="21"/>
                                  <w:szCs w:val="21"/>
                                </w:rPr>
                              </w:pPr>
                              <w:r w:rsidRPr="005A649E">
                                <w:rPr>
                                  <w:color w:val="000000" w:themeColor="text1"/>
                                  <w:sz w:val="21"/>
                                  <w:szCs w:val="21"/>
                                </w:rPr>
                                <w:t xml:space="preserve">Historical </w:t>
                              </w:r>
                              <w:r>
                                <w:rPr>
                                  <w:color w:val="000000" w:themeColor="text1"/>
                                  <w:sz w:val="21"/>
                                  <w:szCs w:val="21"/>
                                </w:rPr>
                                <w:t>d</w:t>
                              </w:r>
                              <w:r w:rsidRPr="005A649E">
                                <w:rPr>
                                  <w:color w:val="000000" w:themeColor="text1"/>
                                  <w:sz w:val="21"/>
                                  <w:szCs w:val="21"/>
                                </w:rPr>
                                <w:t>eveloped area from 2001 - 2015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6166382" name="Rectangle 1546166382"/>
                        <wps:cNvSpPr/>
                        <wps:spPr>
                          <a:xfrm>
                            <a:off x="3824578" y="63593"/>
                            <a:ext cx="1637969" cy="556415"/>
                          </a:xfrm>
                          <a:prstGeom prst="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5705DA" w14:textId="2D8A917E" w:rsidR="005A41EC" w:rsidRPr="005A649E" w:rsidRDefault="005A41EC" w:rsidP="007A34B1">
                              <w:pPr>
                                <w:spacing w:line="240" w:lineRule="auto"/>
                                <w:jc w:val="center"/>
                                <w:rPr>
                                  <w:color w:val="000000" w:themeColor="text1"/>
                                  <w:sz w:val="21"/>
                                  <w:szCs w:val="21"/>
                                </w:rPr>
                              </w:pPr>
                              <w:r w:rsidRPr="005A649E">
                                <w:rPr>
                                  <w:color w:val="000000" w:themeColor="text1"/>
                                  <w:sz w:val="21"/>
                                  <w:szCs w:val="21"/>
                                </w:rPr>
                                <w:t>Topography, roads, rivers, lakes</w:t>
                              </w:r>
                              <w:r>
                                <w:rPr>
                                  <w:color w:val="000000" w:themeColor="text1"/>
                                  <w:sz w:val="21"/>
                                  <w:szCs w:val="21"/>
                                </w:rPr>
                                <w:t>,</w:t>
                              </w:r>
                              <w:r w:rsidRPr="005A649E">
                                <w:rPr>
                                  <w:color w:val="000000" w:themeColor="text1"/>
                                  <w:sz w:val="21"/>
                                  <w:szCs w:val="21"/>
                                </w:rPr>
                                <w:t xml:space="preserve"> and city centers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399109" name="Rectangle 1684399109"/>
                        <wps:cNvSpPr/>
                        <wps:spPr>
                          <a:xfrm>
                            <a:off x="39756" y="1096514"/>
                            <a:ext cx="1757239" cy="604959"/>
                          </a:xfrm>
                          <a:prstGeom prst="rect">
                            <a:avLst/>
                          </a:prstGeom>
                          <a:noFill/>
                          <a:ln>
                            <a:solidFill>
                              <a:srgbClr val="C00000"/>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63933511" w14:textId="2B021E95" w:rsidR="005A41EC" w:rsidRPr="00F54564" w:rsidRDefault="005A41EC" w:rsidP="00E21A5C">
                              <w:pPr>
                                <w:jc w:val="center"/>
                                <w:rPr>
                                  <w:color w:val="000000" w:themeColor="text1"/>
                                  <w:sz w:val="21"/>
                                  <w:szCs w:val="21"/>
                                </w:rPr>
                              </w:pPr>
                              <w:r w:rsidRPr="00F54564">
                                <w:rPr>
                                  <w:color w:val="000000" w:themeColor="text1"/>
                                  <w:sz w:val="21"/>
                                  <w:szCs w:val="21"/>
                                </w:rPr>
                                <w:t>Quantity of land demand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054247" name="Rectangle 847054247"/>
                        <wps:cNvSpPr/>
                        <wps:spPr>
                          <a:xfrm>
                            <a:off x="2011680" y="1088701"/>
                            <a:ext cx="1598212" cy="612477"/>
                          </a:xfrm>
                          <a:prstGeom prst="rect">
                            <a:avLst/>
                          </a:prstGeom>
                          <a:noFill/>
                          <a:ln>
                            <a:solidFill>
                              <a:srgbClr val="C00000"/>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B5B7618" w14:textId="3D34CEC6" w:rsidR="005A41EC" w:rsidRPr="00F54564" w:rsidRDefault="005A41EC" w:rsidP="00633D08">
                              <w:pPr>
                                <w:spacing w:line="240" w:lineRule="auto"/>
                                <w:jc w:val="center"/>
                                <w:rPr>
                                  <w:color w:val="000000" w:themeColor="text1"/>
                                  <w:sz w:val="21"/>
                                  <w:szCs w:val="21"/>
                                </w:rPr>
                              </w:pPr>
                              <w:r w:rsidRPr="00F54564">
                                <w:rPr>
                                  <w:color w:val="000000" w:themeColor="text1"/>
                                  <w:sz w:val="21"/>
                                  <w:szCs w:val="21"/>
                                </w:rPr>
                                <w:t>Spatial structure of urban expansion using patch growing algorithm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9030553" name="Rectangle 889030553"/>
                        <wps:cNvSpPr/>
                        <wps:spPr>
                          <a:xfrm>
                            <a:off x="3840481" y="1096583"/>
                            <a:ext cx="1622066" cy="604996"/>
                          </a:xfrm>
                          <a:prstGeom prst="rect">
                            <a:avLst/>
                          </a:prstGeom>
                          <a:noFill/>
                          <a:ln>
                            <a:solidFill>
                              <a:srgbClr val="C00000"/>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64630D95" w14:textId="1A930EE5" w:rsidR="005A41EC" w:rsidRPr="00F54564" w:rsidRDefault="005A41EC" w:rsidP="00E262B3">
                              <w:pPr>
                                <w:spacing w:line="240" w:lineRule="auto"/>
                                <w:jc w:val="center"/>
                                <w:rPr>
                                  <w:color w:val="000000" w:themeColor="text1"/>
                                  <w:sz w:val="21"/>
                                  <w:szCs w:val="21"/>
                                </w:rPr>
                              </w:pPr>
                              <w:r w:rsidRPr="00F54564">
                                <w:rPr>
                                  <w:color w:val="000000" w:themeColor="text1"/>
                                  <w:sz w:val="21"/>
                                  <w:szCs w:val="21"/>
                                </w:rPr>
                                <w:t xml:space="preserve">Locations of developments using development potential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877746" name="Rectangle 768877746"/>
                        <wps:cNvSpPr/>
                        <wps:spPr>
                          <a:xfrm>
                            <a:off x="2003729" y="2160757"/>
                            <a:ext cx="1622066" cy="614247"/>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7A144463" w14:textId="6DE306DC" w:rsidR="005A41EC" w:rsidRPr="008D5FB7" w:rsidRDefault="005A41EC" w:rsidP="009C5D85">
                              <w:pPr>
                                <w:spacing w:line="240" w:lineRule="auto"/>
                                <w:jc w:val="center"/>
                                <w:rPr>
                                  <w:color w:val="000000" w:themeColor="text1"/>
                                  <w:sz w:val="21"/>
                                  <w:szCs w:val="21"/>
                                </w:rPr>
                              </w:pPr>
                              <w:r w:rsidRPr="008D5FB7">
                                <w:rPr>
                                  <w:color w:val="000000" w:themeColor="text1"/>
                                  <w:sz w:val="21"/>
                                  <w:szCs w:val="21"/>
                                </w:rPr>
                                <w:t>Probabilities of urban development using 20 simulations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8377020" name="Rectangle 918377020"/>
                        <wps:cNvSpPr/>
                        <wps:spPr>
                          <a:xfrm>
                            <a:off x="47708" y="2161765"/>
                            <a:ext cx="1709530" cy="612795"/>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0778AA3F" w14:textId="3BD7558F" w:rsidR="005A41EC" w:rsidRPr="008D5FB7" w:rsidRDefault="005A41EC" w:rsidP="005936E0">
                              <w:pPr>
                                <w:spacing w:line="240" w:lineRule="auto"/>
                                <w:jc w:val="center"/>
                                <w:rPr>
                                  <w:color w:val="000000" w:themeColor="text1"/>
                                  <w:sz w:val="21"/>
                                  <w:szCs w:val="21"/>
                                </w:rPr>
                              </w:pPr>
                              <w:r w:rsidRPr="008D5FB7">
                                <w:rPr>
                                  <w:color w:val="000000" w:themeColor="text1"/>
                                  <w:sz w:val="21"/>
                                  <w:szCs w:val="21"/>
                                </w:rPr>
                                <w:t>Classification of the development probabilities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3763051" name="Rectangle 2093763051"/>
                        <wps:cNvSpPr/>
                        <wps:spPr>
                          <a:xfrm>
                            <a:off x="3840481" y="2161078"/>
                            <a:ext cx="1622065" cy="629138"/>
                          </a:xfrm>
                          <a:prstGeom prst="rect">
                            <a:avLst/>
                          </a:prstGeom>
                          <a:noFill/>
                          <a:ln>
                            <a:solidFill>
                              <a:schemeClr val="accent1"/>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63C219F8" w14:textId="09F89D82" w:rsidR="005A41EC" w:rsidRPr="0043541D" w:rsidRDefault="005A41EC" w:rsidP="00CE118A">
                              <w:pPr>
                                <w:spacing w:line="240" w:lineRule="auto"/>
                                <w:jc w:val="center"/>
                                <w:rPr>
                                  <w:color w:val="000000" w:themeColor="text1"/>
                                  <w:sz w:val="21"/>
                                  <w:szCs w:val="21"/>
                                </w:rPr>
                              </w:pPr>
                              <w:r w:rsidRPr="0043541D">
                                <w:rPr>
                                  <w:color w:val="000000" w:themeColor="text1"/>
                                  <w:sz w:val="21"/>
                                  <w:szCs w:val="21"/>
                                </w:rPr>
                                <w:t>Clip to Africapolis city boundaries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549776" name="Rectangle 385549776"/>
                        <wps:cNvSpPr/>
                        <wps:spPr>
                          <a:xfrm>
                            <a:off x="3904091" y="3148148"/>
                            <a:ext cx="1558456" cy="42879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8468565" w14:textId="1ED8879D" w:rsidR="005A41EC" w:rsidRPr="002F1A49" w:rsidRDefault="005A41EC" w:rsidP="006E5C23">
                              <w:pPr>
                                <w:spacing w:line="240" w:lineRule="auto"/>
                                <w:jc w:val="center"/>
                                <w:rPr>
                                  <w:color w:val="000000" w:themeColor="text1"/>
                                  <w:sz w:val="21"/>
                                  <w:szCs w:val="21"/>
                                </w:rPr>
                              </w:pPr>
                              <w:r w:rsidRPr="002F1A49">
                                <w:rPr>
                                  <w:color w:val="000000" w:themeColor="text1"/>
                                  <w:sz w:val="21"/>
                                  <w:szCs w:val="21"/>
                                </w:rPr>
                                <w:t>Analysis of variable importance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1126229" name="Rectangle 1711126229"/>
                        <wps:cNvSpPr/>
                        <wps:spPr>
                          <a:xfrm>
                            <a:off x="2003729" y="3156167"/>
                            <a:ext cx="1653871" cy="42879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7C2F60" w14:textId="4D689F00" w:rsidR="005A41EC" w:rsidRPr="002F1A49" w:rsidRDefault="005A41EC" w:rsidP="002C6CD6">
                              <w:pPr>
                                <w:spacing w:line="240" w:lineRule="auto"/>
                                <w:jc w:val="center"/>
                                <w:rPr>
                                  <w:color w:val="000000" w:themeColor="text1"/>
                                  <w:sz w:val="21"/>
                                  <w:szCs w:val="21"/>
                                </w:rPr>
                              </w:pPr>
                              <w:r w:rsidRPr="002F1A49">
                                <w:rPr>
                                  <w:color w:val="000000" w:themeColor="text1"/>
                                  <w:sz w:val="21"/>
                                  <w:szCs w:val="21"/>
                                </w:rPr>
                                <w:t>Quantity and pattern landscape metrics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166240" name="Rectangle 86166240"/>
                        <wps:cNvSpPr/>
                        <wps:spPr>
                          <a:xfrm>
                            <a:off x="55659" y="3148215"/>
                            <a:ext cx="1709530" cy="428727"/>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7A9BA3" w14:textId="3B054746" w:rsidR="005A41EC" w:rsidRPr="002F1A49" w:rsidRDefault="005A41EC" w:rsidP="00C4252F">
                              <w:pPr>
                                <w:spacing w:line="240" w:lineRule="auto"/>
                                <w:jc w:val="center"/>
                                <w:rPr>
                                  <w:color w:val="000000" w:themeColor="text1"/>
                                  <w:sz w:val="21"/>
                                  <w:szCs w:val="21"/>
                                </w:rPr>
                              </w:pPr>
                              <w:r w:rsidRPr="002F1A49">
                                <w:rPr>
                                  <w:color w:val="000000" w:themeColor="text1"/>
                                  <w:sz w:val="21"/>
                                  <w:szCs w:val="21"/>
                                </w:rPr>
                                <w:t>Expansion rates across countries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8097904" name="Rectangle 908097904"/>
                        <wps:cNvSpPr/>
                        <wps:spPr>
                          <a:xfrm>
                            <a:off x="39756" y="47688"/>
                            <a:ext cx="1749287" cy="572420"/>
                          </a:xfrm>
                          <a:prstGeom prst="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D863FF" w14:textId="382AF3E1" w:rsidR="005A41EC" w:rsidRPr="00065023" w:rsidRDefault="005A41EC" w:rsidP="000B4DD4">
                              <w:pPr>
                                <w:spacing w:line="240" w:lineRule="auto"/>
                                <w:jc w:val="center"/>
                                <w:rPr>
                                  <w:color w:val="000000" w:themeColor="text1"/>
                                  <w:sz w:val="21"/>
                                  <w:szCs w:val="21"/>
                                </w:rPr>
                              </w:pPr>
                              <w:r w:rsidRPr="00065023">
                                <w:rPr>
                                  <w:color w:val="000000" w:themeColor="text1"/>
                                  <w:sz w:val="21"/>
                                  <w:szCs w:val="21"/>
                                </w:rPr>
                                <w:t>Historical population from 2001 – 2020, and projections from 2021-2050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6513469" name="Straight Arrow Connector 2006513469"/>
                        <wps:cNvCnPr/>
                        <wps:spPr>
                          <a:xfrm>
                            <a:off x="2767054" y="635281"/>
                            <a:ext cx="0" cy="4534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85236893" name="Straight Arrow Connector 1685236893"/>
                        <wps:cNvCnPr/>
                        <wps:spPr>
                          <a:xfrm>
                            <a:off x="4603805" y="636139"/>
                            <a:ext cx="0" cy="4603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71461913" name="Straight Arrow Connector 771461913"/>
                        <wps:cNvCnPr/>
                        <wps:spPr>
                          <a:xfrm>
                            <a:off x="978011" y="620008"/>
                            <a:ext cx="0" cy="493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98316110" name="Straight Arrow Connector 1398316110"/>
                        <wps:cNvCnPr/>
                        <wps:spPr>
                          <a:xfrm>
                            <a:off x="1009815" y="2774560"/>
                            <a:ext cx="0" cy="3731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76014770" name="Straight Arrow Connector 876014770"/>
                        <wps:cNvCnPr/>
                        <wps:spPr>
                          <a:xfrm>
                            <a:off x="4664370" y="2790560"/>
                            <a:ext cx="0" cy="3727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88141620" name="Straight Arrow Connector 1588141620"/>
                        <wps:cNvCnPr/>
                        <wps:spPr>
                          <a:xfrm>
                            <a:off x="2759102" y="1701307"/>
                            <a:ext cx="0" cy="4693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01349911" name="Straight Arrow Connector 2101349911"/>
                        <wps:cNvCnPr/>
                        <wps:spPr>
                          <a:xfrm>
                            <a:off x="4616801" y="1701608"/>
                            <a:ext cx="0" cy="4692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7264259" name="Straight Arrow Connector 677264259"/>
                        <wps:cNvCnPr/>
                        <wps:spPr>
                          <a:xfrm>
                            <a:off x="995726" y="1682382"/>
                            <a:ext cx="0" cy="4686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66372172" name="Straight Arrow Connector 566372172"/>
                        <wps:cNvCnPr/>
                        <wps:spPr>
                          <a:xfrm flipH="1">
                            <a:off x="3617843" y="1709530"/>
                            <a:ext cx="246491" cy="4691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6216556" name="Straight Arrow Connector 1876216556"/>
                        <wps:cNvCnPr/>
                        <wps:spPr>
                          <a:xfrm>
                            <a:off x="1796995" y="1701336"/>
                            <a:ext cx="222636" cy="4852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5773640" name="Straight Arrow Connector 475773640"/>
                        <wps:cNvCnPr/>
                        <wps:spPr>
                          <a:xfrm>
                            <a:off x="1757238" y="2789769"/>
                            <a:ext cx="246491" cy="3658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0794068" name="Straight Arrow Connector 260794068"/>
                        <wps:cNvCnPr/>
                        <wps:spPr>
                          <a:xfrm flipH="1">
                            <a:off x="3641697" y="2790114"/>
                            <a:ext cx="198784" cy="382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97648209" name="Straight Arrow Connector 1497648209"/>
                        <wps:cNvCnPr/>
                        <wps:spPr>
                          <a:xfrm flipH="1">
                            <a:off x="1741335" y="2504660"/>
                            <a:ext cx="2703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8411505" name="Straight Arrow Connector 1218411505"/>
                        <wps:cNvCnPr/>
                        <wps:spPr>
                          <a:xfrm flipH="1">
                            <a:off x="3609892" y="1407381"/>
                            <a:ext cx="2385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7415889" name="Straight Arrow Connector 157415889"/>
                        <wps:cNvCnPr/>
                        <wps:spPr>
                          <a:xfrm>
                            <a:off x="1781092" y="1423283"/>
                            <a:ext cx="2385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88356783" name="Straight Arrow Connector 1688356783"/>
                        <wps:cNvCnPr/>
                        <wps:spPr>
                          <a:xfrm>
                            <a:off x="3609892" y="620008"/>
                            <a:ext cx="238540" cy="476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32762245" name="Straight Arrow Connector 732762245"/>
                        <wps:cNvCnPr/>
                        <wps:spPr>
                          <a:xfrm flipH="1">
                            <a:off x="1773141" y="620008"/>
                            <a:ext cx="222636" cy="5090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3D3599BC" id="Canvas 23" o:spid="_x0000_s1051" editas="canvas" style="width:6in;height:285.5pt;mso-position-horizontal-relative:char;mso-position-vertical-relative:line" coordsize="54864,36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">
                <v:shape id="_x0000_s1052" type="#_x0000_t75" style="position:absolute;width:54864;height:36252;visibility:visible;mso-wrap-style:square" filled="t">
                  <v:fill o:detectmouseclick="t"/>
                  <v:path o:connecttype="none"/>
                </v:shape>
                <v:rect id="Rectangle 589514659" o:spid="_x0000_s1053" style="position:absolute;left:19878;top:636;width:16220;height:5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" filled="f" strokecolor="#4f81bd [3204]" strokeweight="2pt">
                  <v:textbox>
                    <w:txbxContent>
                      <w:p w14:paraId="34821F6E" w14:textId="55398BA8" w:rsidR="005A41EC" w:rsidRPr="005A649E" w:rsidRDefault="005A41EC" w:rsidP="007A34B1">
                        <w:pPr>
                          <w:spacing w:line="240" w:lineRule="auto"/>
                          <w:jc w:val="center"/>
                          <w:rPr>
                            <w:color w:val="000000" w:themeColor="text1"/>
                            <w:sz w:val="21"/>
                            <w:szCs w:val="21"/>
                          </w:rPr>
                        </w:pPr>
                        <w:r w:rsidRPr="005A649E">
                          <w:rPr>
                            <w:color w:val="000000" w:themeColor="text1"/>
                            <w:sz w:val="21"/>
                            <w:szCs w:val="21"/>
                          </w:rPr>
                          <w:t xml:space="preserve">Historical </w:t>
                        </w:r>
                        <w:r>
                          <w:rPr>
                            <w:color w:val="000000" w:themeColor="text1"/>
                            <w:sz w:val="21"/>
                            <w:szCs w:val="21"/>
                          </w:rPr>
                          <w:t>d</w:t>
                        </w:r>
                        <w:r w:rsidRPr="005A649E">
                          <w:rPr>
                            <w:color w:val="000000" w:themeColor="text1"/>
                            <w:sz w:val="21"/>
                            <w:szCs w:val="21"/>
                          </w:rPr>
                          <w:t>eveloped area from 2001 - 2015</w:t>
                        </w:r>
                      </w:p>
                    </w:txbxContent>
                  </v:textbox>
                </v:rect>
                <v:rect id="Rectangle 1546166382" o:spid="_x0000_s1054" style="position:absolute;left:38245;top:635;width:16380;height:5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" filled="f" strokecolor="#4f81bd [3204]" strokeweight="2pt">
                  <v:textbox>
                    <w:txbxContent>
                      <w:p w14:paraId="1F5705DA" w14:textId="2D8A917E" w:rsidR="005A41EC" w:rsidRPr="005A649E" w:rsidRDefault="005A41EC" w:rsidP="007A34B1">
                        <w:pPr>
                          <w:spacing w:line="240" w:lineRule="auto"/>
                          <w:jc w:val="center"/>
                          <w:rPr>
                            <w:color w:val="000000" w:themeColor="text1"/>
                            <w:sz w:val="21"/>
                            <w:szCs w:val="21"/>
                          </w:rPr>
                        </w:pPr>
                        <w:r w:rsidRPr="005A649E">
                          <w:rPr>
                            <w:color w:val="000000" w:themeColor="text1"/>
                            <w:sz w:val="21"/>
                            <w:szCs w:val="21"/>
                          </w:rPr>
                          <w:t>Topography, roads, rivers, lakes</w:t>
                        </w:r>
                        <w:r>
                          <w:rPr>
                            <w:color w:val="000000" w:themeColor="text1"/>
                            <w:sz w:val="21"/>
                            <w:szCs w:val="21"/>
                          </w:rPr>
                          <w:t>,</w:t>
                        </w:r>
                        <w:r w:rsidRPr="005A649E">
                          <w:rPr>
                            <w:color w:val="000000" w:themeColor="text1"/>
                            <w:sz w:val="21"/>
                            <w:szCs w:val="21"/>
                          </w:rPr>
                          <w:t xml:space="preserve"> and city centers data</w:t>
                        </w:r>
                      </w:p>
                    </w:txbxContent>
                  </v:textbox>
                </v:rect>
                <v:rect id="Rectangle 1684399109" o:spid="_x0000_s1055" style="position:absolute;left:397;top:10965;width:17572;height:6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" filled="f" strokecolor="#c00000" strokeweight="2pt">
                  <v:stroke dashstyle="dash"/>
                  <v:textbox>
                    <w:txbxContent>
                      <w:p w14:paraId="63933511" w14:textId="2B021E95" w:rsidR="005A41EC" w:rsidRPr="00F54564" w:rsidRDefault="005A41EC" w:rsidP="00E21A5C">
                        <w:pPr>
                          <w:jc w:val="center"/>
                          <w:rPr>
                            <w:color w:val="000000" w:themeColor="text1"/>
                            <w:sz w:val="21"/>
                            <w:szCs w:val="21"/>
                          </w:rPr>
                        </w:pPr>
                        <w:r w:rsidRPr="00F54564">
                          <w:rPr>
                            <w:color w:val="000000" w:themeColor="text1"/>
                            <w:sz w:val="21"/>
                            <w:szCs w:val="21"/>
                          </w:rPr>
                          <w:t>Quantity of land demand</w:t>
                        </w:r>
                      </w:p>
                    </w:txbxContent>
                  </v:textbox>
                </v:rect>
                <v:rect id="Rectangle 847054247" o:spid="_x0000_s1056" style="position:absolute;left:20116;top:10887;width:15982;height:6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" filled="f" strokecolor="#c00000" strokeweight="2pt">
                  <v:stroke dashstyle="dash"/>
                  <v:textbox>
                    <w:txbxContent>
                      <w:p w14:paraId="4B5B7618" w14:textId="3D34CEC6" w:rsidR="005A41EC" w:rsidRPr="00F54564" w:rsidRDefault="005A41EC" w:rsidP="00633D08">
                        <w:pPr>
                          <w:spacing w:line="240" w:lineRule="auto"/>
                          <w:jc w:val="center"/>
                          <w:rPr>
                            <w:color w:val="000000" w:themeColor="text1"/>
                            <w:sz w:val="21"/>
                            <w:szCs w:val="21"/>
                          </w:rPr>
                        </w:pPr>
                        <w:r w:rsidRPr="00F54564">
                          <w:rPr>
                            <w:color w:val="000000" w:themeColor="text1"/>
                            <w:sz w:val="21"/>
                            <w:szCs w:val="21"/>
                          </w:rPr>
                          <w:t>Spatial structure of urban expansion using patch growing algorithm</w:t>
                        </w:r>
                      </w:p>
                    </w:txbxContent>
                  </v:textbox>
                </v:rect>
                <v:rect id="Rectangle 889030553" o:spid="_x0000_s1057" style="position:absolute;left:38404;top:10965;width:16221;height:6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" filled="f" strokecolor="#c00000" strokeweight="2pt">
                  <v:stroke dashstyle="dash"/>
                  <v:textbox>
                    <w:txbxContent>
                      <w:p w14:paraId="64630D95" w14:textId="1A930EE5" w:rsidR="005A41EC" w:rsidRPr="00F54564" w:rsidRDefault="005A41EC" w:rsidP="00E262B3">
                        <w:pPr>
                          <w:spacing w:line="240" w:lineRule="auto"/>
                          <w:jc w:val="center"/>
                          <w:rPr>
                            <w:color w:val="000000" w:themeColor="text1"/>
                            <w:sz w:val="21"/>
                            <w:szCs w:val="21"/>
                          </w:rPr>
                        </w:pPr>
                        <w:r w:rsidRPr="00F54564">
                          <w:rPr>
                            <w:color w:val="000000" w:themeColor="text1"/>
                            <w:sz w:val="21"/>
                            <w:szCs w:val="21"/>
                          </w:rPr>
                          <w:t xml:space="preserve">Locations of developments using development potential </w:t>
                        </w:r>
                      </w:p>
                    </w:txbxContent>
                  </v:textbox>
                </v:rect>
                <v:rect id="Rectangle 768877746" o:spid="_x0000_s1058" style="position:absolute;left:20037;top:21607;width:16220;height:6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" filled="f" strokecolor="black [3213]" strokeweight="2pt">
                  <v:stroke dashstyle="dash"/>
                  <v:textbox>
                    <w:txbxContent>
                      <w:p w14:paraId="7A144463" w14:textId="6DE306DC" w:rsidR="005A41EC" w:rsidRPr="008D5FB7" w:rsidRDefault="005A41EC" w:rsidP="009C5D85">
                        <w:pPr>
                          <w:spacing w:line="240" w:lineRule="auto"/>
                          <w:jc w:val="center"/>
                          <w:rPr>
                            <w:color w:val="000000" w:themeColor="text1"/>
                            <w:sz w:val="21"/>
                            <w:szCs w:val="21"/>
                          </w:rPr>
                        </w:pPr>
                        <w:r w:rsidRPr="008D5FB7">
                          <w:rPr>
                            <w:color w:val="000000" w:themeColor="text1"/>
                            <w:sz w:val="21"/>
                            <w:szCs w:val="21"/>
                          </w:rPr>
                          <w:t>Probabilities of urban development using 20 simulations</w:t>
                        </w:r>
                      </w:p>
                    </w:txbxContent>
                  </v:textbox>
                </v:rect>
                <v:rect id="Rectangle 918377020" o:spid="_x0000_s1059" style="position:absolute;left:477;top:21617;width:17095;height:6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" filled="f" strokecolor="black [3213]" strokeweight="2pt">
                  <v:stroke dashstyle="dash"/>
                  <v:textbox>
                    <w:txbxContent>
                      <w:p w14:paraId="0778AA3F" w14:textId="3BD7558F" w:rsidR="005A41EC" w:rsidRPr="008D5FB7" w:rsidRDefault="005A41EC" w:rsidP="005936E0">
                        <w:pPr>
                          <w:spacing w:line="240" w:lineRule="auto"/>
                          <w:jc w:val="center"/>
                          <w:rPr>
                            <w:color w:val="000000" w:themeColor="text1"/>
                            <w:sz w:val="21"/>
                            <w:szCs w:val="21"/>
                          </w:rPr>
                        </w:pPr>
                        <w:r w:rsidRPr="008D5FB7">
                          <w:rPr>
                            <w:color w:val="000000" w:themeColor="text1"/>
                            <w:sz w:val="21"/>
                            <w:szCs w:val="21"/>
                          </w:rPr>
                          <w:t>Classification of the development probabilities</w:t>
                        </w:r>
                      </w:p>
                    </w:txbxContent>
                  </v:textbox>
                </v:rect>
                <v:rect id="Rectangle 2093763051" o:spid="_x0000_s1060" style="position:absolute;left:38404;top:21610;width:16221;height:6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" filled="f" strokecolor="#4f81bd [3204]" strokeweight="2pt">
                  <v:textbox>
                    <w:txbxContent>
                      <w:p w14:paraId="63C219F8" w14:textId="09F89D82" w:rsidR="005A41EC" w:rsidRPr="0043541D" w:rsidRDefault="005A41EC" w:rsidP="00CE118A">
                        <w:pPr>
                          <w:spacing w:line="240" w:lineRule="auto"/>
                          <w:jc w:val="center"/>
                          <w:rPr>
                            <w:color w:val="000000" w:themeColor="text1"/>
                            <w:sz w:val="21"/>
                            <w:szCs w:val="21"/>
                          </w:rPr>
                        </w:pPr>
                        <w:r w:rsidRPr="0043541D">
                          <w:rPr>
                            <w:color w:val="000000" w:themeColor="text1"/>
                            <w:sz w:val="21"/>
                            <w:szCs w:val="21"/>
                          </w:rPr>
                          <w:t>Clip to Africapolis city boundaries</w:t>
                        </w:r>
                      </w:p>
                    </w:txbxContent>
                  </v:textbox>
                </v:rect>
                <v:rect id="Rectangle 385549776" o:spid="_x0000_s1061" style="position:absolute;left:39040;top:31481;width:15585;height:4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" filled="f" strokecolor="#0a121c [484]" strokeweight="2pt">
                  <v:textbox>
                    <w:txbxContent>
                      <w:p w14:paraId="18468565" w14:textId="1ED8879D" w:rsidR="005A41EC" w:rsidRPr="002F1A49" w:rsidRDefault="005A41EC" w:rsidP="006E5C23">
                        <w:pPr>
                          <w:spacing w:line="240" w:lineRule="auto"/>
                          <w:jc w:val="center"/>
                          <w:rPr>
                            <w:color w:val="000000" w:themeColor="text1"/>
                            <w:sz w:val="21"/>
                            <w:szCs w:val="21"/>
                          </w:rPr>
                        </w:pPr>
                        <w:r w:rsidRPr="002F1A49">
                          <w:rPr>
                            <w:color w:val="000000" w:themeColor="text1"/>
                            <w:sz w:val="21"/>
                            <w:szCs w:val="21"/>
                          </w:rPr>
                          <w:t>Analysis of variable importance</w:t>
                        </w:r>
                      </w:p>
                    </w:txbxContent>
                  </v:textbox>
                </v:rect>
                <v:rect id="Rectangle 1711126229" o:spid="_x0000_s1062" style="position:absolute;left:20037;top:31561;width:16539;height:4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" filled="f" strokecolor="black [3213]" strokeweight="2pt">
                  <v:textbox>
                    <w:txbxContent>
                      <w:p w14:paraId="5C7C2F60" w14:textId="4D689F00" w:rsidR="005A41EC" w:rsidRPr="002F1A49" w:rsidRDefault="005A41EC" w:rsidP="002C6CD6">
                        <w:pPr>
                          <w:spacing w:line="240" w:lineRule="auto"/>
                          <w:jc w:val="center"/>
                          <w:rPr>
                            <w:color w:val="000000" w:themeColor="text1"/>
                            <w:sz w:val="21"/>
                            <w:szCs w:val="21"/>
                          </w:rPr>
                        </w:pPr>
                        <w:r w:rsidRPr="002F1A49">
                          <w:rPr>
                            <w:color w:val="000000" w:themeColor="text1"/>
                            <w:sz w:val="21"/>
                            <w:szCs w:val="21"/>
                          </w:rPr>
                          <w:t>Quantity and pattern landscape metrics</w:t>
                        </w:r>
                      </w:p>
                    </w:txbxContent>
                  </v:textbox>
                </v:rect>
                <v:rect id="Rectangle 86166240" o:spid="_x0000_s1063" style="position:absolute;left:556;top:31482;width:17095;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" filled="f" strokecolor="black [3213]" strokeweight="2pt">
                  <v:textbox>
                    <w:txbxContent>
                      <w:p w14:paraId="287A9BA3" w14:textId="3B054746" w:rsidR="005A41EC" w:rsidRPr="002F1A49" w:rsidRDefault="005A41EC" w:rsidP="00C4252F">
                        <w:pPr>
                          <w:spacing w:line="240" w:lineRule="auto"/>
                          <w:jc w:val="center"/>
                          <w:rPr>
                            <w:color w:val="000000" w:themeColor="text1"/>
                            <w:sz w:val="21"/>
                            <w:szCs w:val="21"/>
                          </w:rPr>
                        </w:pPr>
                        <w:r w:rsidRPr="002F1A49">
                          <w:rPr>
                            <w:color w:val="000000" w:themeColor="text1"/>
                            <w:sz w:val="21"/>
                            <w:szCs w:val="21"/>
                          </w:rPr>
                          <w:t>Expansion rates across countries</w:t>
                        </w:r>
                      </w:p>
                    </w:txbxContent>
                  </v:textbox>
                </v:rect>
                <v:rect id="Rectangle 908097904" o:spid="_x0000_s1064" style="position:absolute;left:397;top:476;width:17493;height: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" filled="f" strokecolor="#4f81bd [3204]" strokeweight="2pt">
                  <v:textbox>
                    <w:txbxContent>
                      <w:p w14:paraId="33D863FF" w14:textId="382AF3E1" w:rsidR="005A41EC" w:rsidRPr="00065023" w:rsidRDefault="005A41EC" w:rsidP="000B4DD4">
                        <w:pPr>
                          <w:spacing w:line="240" w:lineRule="auto"/>
                          <w:jc w:val="center"/>
                          <w:rPr>
                            <w:color w:val="000000" w:themeColor="text1"/>
                            <w:sz w:val="21"/>
                            <w:szCs w:val="21"/>
                          </w:rPr>
                        </w:pPr>
                        <w:r w:rsidRPr="00065023">
                          <w:rPr>
                            <w:color w:val="000000" w:themeColor="text1"/>
                            <w:sz w:val="21"/>
                            <w:szCs w:val="21"/>
                          </w:rPr>
                          <w:t>Historical population from 2001 – 2020, and projections from 2021-2050</w:t>
                        </w:r>
                      </w:p>
                    </w:txbxContent>
                  </v:textbox>
                </v:rect>
                <v:shape id="Straight Arrow Connector 2006513469" o:spid="_x0000_s1065" type="#_x0000_t32" style="position:absolute;left:27670;top:6352;width:0;height:4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" strokecolor="black [3040]">
                  <v:stroke endarrow="block"/>
                </v:shape>
                <v:shape id="Straight Arrow Connector 1685236893" o:spid="_x0000_s1066" type="#_x0000_t32" style="position:absolute;left:46038;top:6361;width:0;height:4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" strokecolor="black [3040]">
                  <v:stroke endarrow="block"/>
                </v:shape>
                <v:shape id="Straight Arrow Connector 771461913" o:spid="_x0000_s1067" type="#_x0000_t32" style="position:absolute;left:9780;top:6200;width:0;height:4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" strokecolor="black [3040]">
                  <v:stroke endarrow="block"/>
                </v:shape>
                <v:shape id="Straight Arrow Connector 1398316110" o:spid="_x0000_s1068" type="#_x0000_t32" style="position:absolute;left:10098;top:27745;width:0;height:37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" strokecolor="black [3040]">
                  <v:stroke endarrow="block"/>
                </v:shape>
                <v:shape id="Straight Arrow Connector 876014770" o:spid="_x0000_s1069" type="#_x0000_t32" style="position:absolute;left:46643;top:27905;width:0;height:37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" strokecolor="black [3040]">
                  <v:stroke endarrow="block"/>
                </v:shape>
                <v:shape id="Straight Arrow Connector 1588141620" o:spid="_x0000_s1070" type="#_x0000_t32" style="position:absolute;left:27591;top:17013;width:0;height:46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" strokecolor="black [3040]">
                  <v:stroke endarrow="block"/>
                </v:shape>
                <v:shape id="Straight Arrow Connector 2101349911" o:spid="_x0000_s1071" type="#_x0000_t32" style="position:absolute;left:46168;top:17016;width:0;height:46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" strokecolor="black [3040]">
                  <v:stroke endarrow="block"/>
                </v:shape>
                <v:shape id="Straight Arrow Connector 677264259" o:spid="_x0000_s1072" type="#_x0000_t32" style="position:absolute;left:9957;top:16823;width:0;height:46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" strokecolor="black [3040]">
                  <v:stroke endarrow="block"/>
                </v:shape>
                <v:shape id="Straight Arrow Connector 566372172" o:spid="_x0000_s1073" type="#_x0000_t32" style="position:absolute;left:36178;top:17095;width:2465;height:46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" strokecolor="black [3040]">
                  <v:stroke endarrow="block"/>
                </v:shape>
                <v:shape id="Straight Arrow Connector 1876216556" o:spid="_x0000_s1074" type="#_x0000_t32" style="position:absolute;left:17969;top:17013;width:2227;height:4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" strokecolor="black [3040]">
                  <v:stroke endarrow="block"/>
                </v:shape>
                <v:shape id="Straight Arrow Connector 475773640" o:spid="_x0000_s1075" type="#_x0000_t32" style="position:absolute;left:17572;top:27897;width:2465;height:36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" strokecolor="black [3040]">
                  <v:stroke endarrow="block"/>
                </v:shape>
                <v:shape id="Straight Arrow Connector 260794068" o:spid="_x0000_s1076" type="#_x0000_t32" style="position:absolute;left:36416;top:27901;width:1988;height:38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" strokecolor="black [3040]">
                  <v:stroke endarrow="block"/>
                </v:shape>
                <v:shape id="Straight Arrow Connector 1497648209" o:spid="_x0000_s1077" type="#_x0000_t32" style="position:absolute;left:17413;top:25046;width:270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" strokecolor="black [3040]">
                  <v:stroke endarrow="block"/>
                </v:shape>
                <v:shape id="Straight Arrow Connector 1218411505" o:spid="_x0000_s1078" type="#_x0000_t32" style="position:absolute;left:36098;top:14073;width:238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" strokecolor="black [3040]">
                  <v:stroke endarrow="block"/>
                </v:shape>
                <v:shape id="Straight Arrow Connector 157415889" o:spid="_x0000_s1079" type="#_x0000_t32" style="position:absolute;left:17810;top:14232;width:23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" strokecolor="black [3040]">
                  <v:stroke endarrow="block"/>
                </v:shape>
                <v:shape id="Straight Arrow Connector 1688356783" o:spid="_x0000_s1080" type="#_x0000_t32" style="position:absolute;left:36098;top:6200;width:2386;height:47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" strokecolor="black [3040]">
                  <v:stroke endarrow="block"/>
                </v:shape>
                <v:shape id="Straight Arrow Connector 732762245" o:spid="_x0000_s1081" type="#_x0000_t32" style="position:absolute;left:17731;top:6200;width:2226;height:50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" strokecolor="black [3040]">
                  <v:stroke endarrow="block"/>
                </v:shape>
                <w10:anchorlock/>
              </v:group>
            </w:pict>
          </mc:Fallback>
        </mc:AlternateContent>
      </w:r>
    </w:p>
    <w:p w14:paraId="5427F376" w14:textId="09C10C8D" w:rsidR="00F35B8D" w:rsidRPr="009B005C" w:rsidRDefault="00F35B8D" w:rsidP="00F35B8D">
      <w:pPr>
        <w:spacing w:line="240" w:lineRule="auto"/>
        <w:rPr>
          <w:b/>
          <w:bCs/>
        </w:rPr>
      </w:pPr>
      <w:bookmarkStart w:id="126" w:name="_Ref171971600"/>
      <w:bookmarkStart w:id="127" w:name="_Toc172233510"/>
      <w:bookmarkStart w:id="128" w:name="_Ref169967076"/>
      <w:r w:rsidRPr="00752572">
        <w:rPr>
          <w:b/>
          <w:bCs/>
        </w:rPr>
        <w:t xml:space="preserve">Figure </w:t>
      </w:r>
      <w:r w:rsidRPr="00752572">
        <w:rPr>
          <w:b/>
          <w:bCs/>
        </w:rPr>
        <w:fldChar w:fldCharType="begin"/>
      </w:r>
      <w:r w:rsidRPr="00752572">
        <w:rPr>
          <w:b/>
          <w:bCs/>
        </w:rPr>
        <w:instrText xml:space="preserve"> SEQ Figure \* ARABIC </w:instrText>
      </w:r>
      <w:r w:rsidRPr="00752572">
        <w:rPr>
          <w:b/>
          <w:bCs/>
        </w:rPr>
        <w:fldChar w:fldCharType="separate"/>
      </w:r>
      <w:r w:rsidR="00B129D9">
        <w:rPr>
          <w:b/>
          <w:bCs/>
          <w:noProof/>
        </w:rPr>
        <w:t>13</w:t>
      </w:r>
      <w:r w:rsidRPr="00752572">
        <w:rPr>
          <w:b/>
          <w:bCs/>
        </w:rPr>
        <w:fldChar w:fldCharType="end"/>
      </w:r>
      <w:bookmarkEnd w:id="126"/>
      <w:r w:rsidRPr="009B005C">
        <w:t>: Flow chart showing the urban simulation process with FUTURES and analysis stages. The blue boxes show the input data, the dashed red boxes indicate the FUTURES sub-models used to fit the input data, the dashed black boxes show simulated outcomes, and the black boxes show the summary and analysis stages.</w:t>
      </w:r>
      <w:bookmarkEnd w:id="127"/>
    </w:p>
    <w:bookmarkEnd w:id="128"/>
    <w:p w14:paraId="43D51501" w14:textId="77777777" w:rsidR="00E128CA" w:rsidRPr="00B47280" w:rsidRDefault="00E128CA" w:rsidP="001F0A93">
      <w:pPr>
        <w:ind w:left="360"/>
        <w:rPr>
          <w:lang w:bidi="ar-SA"/>
        </w:rPr>
      </w:pPr>
    </w:p>
    <w:p w14:paraId="0308F0D1" w14:textId="77777777" w:rsidR="00103457" w:rsidRPr="00103457" w:rsidRDefault="00103457" w:rsidP="00277F12">
      <w:pPr>
        <w:pStyle w:val="Heading3"/>
      </w:pPr>
      <w:bookmarkStart w:id="129" w:name="_Toc172288749"/>
      <w:r w:rsidRPr="00103457">
        <w:t>Study Area</w:t>
      </w:r>
      <w:bookmarkEnd w:id="129"/>
    </w:p>
    <w:p w14:paraId="0CCB98F2" w14:textId="3FBB1F8A" w:rsidR="00D31ED0" w:rsidRPr="00D6792D" w:rsidRDefault="00C1114F" w:rsidP="008F74F9">
      <w:pPr>
        <w:rPr>
          <w:rFonts w:ascii="Times New Roman" w:hAnsi="Times New Roman"/>
        </w:rPr>
      </w:pPr>
      <w:r w:rsidRPr="7D5C592C">
        <w:rPr>
          <w:rFonts w:ascii="Times New Roman" w:hAnsi="Times New Roman"/>
        </w:rPr>
        <w:t xml:space="preserve">This study focuses on Ghana, Togo, Benin, and Nigeria, covering an area of 1.3 million km² </w:t>
      </w:r>
      <w:r w:rsidR="007E4D8C" w:rsidRPr="007E4D8C">
        <w:rPr>
          <w:rFonts w:ascii="Times New Roman" w:hAnsi="Times New Roman"/>
        </w:rPr>
        <w:t>(</w:t>
      </w:r>
      <w:r w:rsidR="007E4D8C" w:rsidRPr="007E4D8C">
        <w:rPr>
          <w:rFonts w:ascii="Times New Roman" w:hAnsi="Times New Roman"/>
        </w:rPr>
        <w:fldChar w:fldCharType="begin"/>
      </w:r>
      <w:r w:rsidR="007E4D8C" w:rsidRPr="007E4D8C">
        <w:rPr>
          <w:rFonts w:ascii="Times New Roman" w:hAnsi="Times New Roman"/>
        </w:rPr>
        <w:instrText xml:space="preserve"> REF _Ref172129281 \h  \* MERGEFORMAT </w:instrText>
      </w:r>
      <w:r w:rsidR="007E4D8C" w:rsidRPr="007E4D8C">
        <w:rPr>
          <w:rFonts w:ascii="Times New Roman" w:hAnsi="Times New Roman"/>
        </w:rPr>
      </w:r>
      <w:r w:rsidR="007E4D8C" w:rsidRPr="007E4D8C">
        <w:rPr>
          <w:rFonts w:ascii="Times New Roman" w:hAnsi="Times New Roman"/>
        </w:rPr>
        <w:fldChar w:fldCharType="separate"/>
      </w:r>
      <w:r w:rsidR="00B129D9" w:rsidRPr="00B129D9">
        <w:t xml:space="preserve">Figure </w:t>
      </w:r>
      <w:r w:rsidR="00B129D9" w:rsidRPr="00B129D9">
        <w:rPr>
          <w:noProof/>
        </w:rPr>
        <w:t>14</w:t>
      </w:r>
      <w:r w:rsidR="007E4D8C" w:rsidRPr="007E4D8C">
        <w:rPr>
          <w:rFonts w:ascii="Times New Roman" w:hAnsi="Times New Roman"/>
        </w:rPr>
        <w:fldChar w:fldCharType="end"/>
      </w:r>
      <w:r w:rsidR="00D31ED0" w:rsidRPr="007E4D8C">
        <w:rPr>
          <w:rFonts w:ascii="Times New Roman" w:hAnsi="Times New Roman"/>
        </w:rPr>
        <w:t>)</w:t>
      </w:r>
      <w:r w:rsidRPr="007E4D8C">
        <w:rPr>
          <w:rFonts w:ascii="Times New Roman" w:hAnsi="Times New Roman"/>
        </w:rPr>
        <w:t>.</w:t>
      </w:r>
      <w:r w:rsidRPr="7D5C592C">
        <w:rPr>
          <w:rFonts w:ascii="Times New Roman" w:hAnsi="Times New Roman"/>
        </w:rPr>
        <w:t xml:space="preserve"> These countries contain 73% of the urban population and 70% of the cities in West Africa in 2020. Between 2000 and 2020, the four countries rapidly increased their urban </w:t>
      </w:r>
      <w:r w:rsidRPr="7D5C592C">
        <w:rPr>
          <w:rFonts w:ascii="Times New Roman" w:hAnsi="Times New Roman"/>
        </w:rPr>
        <w:lastRenderedPageBreak/>
        <w:t xml:space="preserve">population, with an annual growth rate of 4.5% in Togo, 4.1% in Benin, 2.8% in Nigeria, and 2.6% in Ghana </w:t>
      </w:r>
      <w:r>
        <w:rPr>
          <w:rFonts w:ascii="Times New Roman" w:hAnsi="Times New Roman"/>
        </w:rPr>
        <w:fldChar w:fldCharType="begin"/>
      </w:r>
      <w:r>
        <w:rPr>
          <w:rFonts w:ascii="Times New Roman" w:hAnsi="Times New Roman"/>
        </w:rPr>
        <w:instrText xml:space="preserve"> ADDIN ZOTERO_ITEM CSL_CITATION {"citationID":"s4rnnlmJ","properties":{"formattedCitation":"(OECD/SWAC,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Pr>
          <w:rFonts w:ascii="Times New Roman" w:hAnsi="Times New Roman"/>
        </w:rPr>
        <w:fldChar w:fldCharType="separate"/>
      </w:r>
      <w:r w:rsidRPr="002C4362">
        <w:rPr>
          <w:rFonts w:ascii="Times New Roman" w:hAnsi="Times New Roman"/>
        </w:rPr>
        <w:t>(OECD/SWAC, 2020)</w:t>
      </w:r>
      <w:r>
        <w:rPr>
          <w:rFonts w:ascii="Times New Roman" w:hAnsi="Times New Roman"/>
        </w:rPr>
        <w:fldChar w:fldCharType="end"/>
      </w:r>
      <w:r w:rsidRPr="7D5C592C">
        <w:rPr>
          <w:rFonts w:ascii="Times New Roman" w:hAnsi="Times New Roman"/>
        </w:rPr>
        <w:t xml:space="preserve">. We used the city class classification scheme from previous studies in the region </w:t>
      </w:r>
      <w:r w:rsidR="00FC6CAB" w:rsidRPr="00096F30">
        <w:rPr>
          <w:rFonts w:ascii="Times New Roman" w:hAnsi="Times New Roman"/>
        </w:rPr>
        <w:fldChar w:fldCharType="begin"/>
      </w:r>
      <w:r w:rsidR="00FC6CAB" w:rsidRPr="00096F30">
        <w:rPr>
          <w:rFonts w:ascii="Times New Roman" w:hAnsi="Times New Roman"/>
        </w:rPr>
        <w:instrText xml:space="preserve"> ADDIN ZOTERO_ITEM CSL_CITATION {"citationID":"S5K1uSuM","properties":{"formattedCitation":"(Korah et al., 2024; Korah &amp; Wimberly, 2024c)","plainCitation":"(Korah et al., 2024; Korah &amp; Wimberly, 2024c)","noteIndex":0},"citationItems":[{"id":1873,"uris":["http://zotero.org/users/8906743/items/IQT4K3QT"],"itemData":{"id":1873,"type":"article-journal","abstract":"Africa has been a hotspot of rapid urban growth since 2000, yet no review exists that describes the current state of urban growth modeling. This review aims to fill this gap by synthesizing urban growth modeling approaches, input variables and challenges across Africa. Using Web of Science, Google Scholar, Geobase, and Compendex databases, we selected 49 studies that projected urban land use and cover change or modeled probabilities of future urban change associated with a variety of input variables. We found increasing trends in the numbers of studies employing cellular automata, statistical regression, agent-based, video prediction, and integrated approaches. The modeling approaches used and their corresponding increases differed across Africa. The input variables used to project urban growth also varied across subregions. Studies were biased towards populous countries rather than the most urbanized. 78 % of the studies focused on primary cities, while secondary cities were less frequently studied. Comparison of urban growth modeling across multiple regions and for different types of cities is currently difficult due to inconsistent definitions and limited availability of data and computational resources. We recommend that the scientific community develop consistent definitions of African city types and urban land use and land cover classifications, create regional urban land cover products for Africa, and build repositories of models and their input data.","container-title":"Cities","DOI":"10.1016/j.cities.2023.104734","ISSN":"0264-2751","journalAbbreviation":"Cities","page":"104734","source":"ScienceDirect","title":"Understanding urban growth modeling in Africa: Dynamics, drivers, and challenges","title-short":"Understanding urban growth modeling in Africa","URL":"https://www.sciencedirect.com/science/article/pii/S0264275123005462","volume":"146","author":[{"family":"Korah","given":"Andrews"},{"family":"Koch","given":"Jennifer A. M."},{"family":"Wimberly","given":"Michael C."}],"accessed":{"date-parts":[["2024",1,29]]},"issued":{"date-parts":[["2024",3,1]]}}},{"id":1977,"uris":["http://zotero.org/users/8906743/items/889NZRIP"],"itemData":{"id":1977,"type":"article-journal","abstract":"Urban expansion studies are often biased toward large cities with populations greater than 1 million, while small and medium cities with smaller populations are overlooked. We mapped and assessed the expansion of 1603 cities across Ghana, Togo, Benin, and Nigeria using impervious surface data generated from Landsat from 2001 to 2020. We classified pixels with &gt;20 % impervious as developed with 93 % overall accuracy. Total developed area increased 2.3-fold from 4001 km² in 2001 to 9402 km² in 2020. Of the expanded area, more than half (54 %) occurred in small and medium cities, and 73 % was sprawl. The mean annual expansion rate was 4.6 %.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Benin and Togo. Although much attention is focused on large megacities, these results show that smaller and more numerous cities contribute substantially to urban expansion and need to be incorporated into regional assessments of urban growth and its impacts.","container-title":"Sustainable Cities and Society","DOI":"10.1016/j.scs.2024.105381","ISSN":"2210-6707","journalAbbreviation":"Sustainable Cities and Society","page":"105381","source":"ScienceDirect","title":"Smaller cities have large impacts on West Africa's expanding urban system","URL":"https://www.sciencedirect.com/science/article/pii/S2210670724002099","volume":"106","author":[{"family":"Korah","given":"Andrews"},{"family":"Wimberly","given":"Michael C."}],"accessed":{"date-parts":[["2024",4,8]]},"issued":{"date-parts":[["2024",7,1]]}}}],"schema":"https://github.com/citation-style-language/schema/raw/master/csl-citation.json"} </w:instrText>
      </w:r>
      <w:r w:rsidR="00FC6CAB" w:rsidRPr="00096F30">
        <w:rPr>
          <w:rFonts w:ascii="Times New Roman" w:hAnsi="Times New Roman"/>
        </w:rPr>
        <w:fldChar w:fldCharType="separate"/>
      </w:r>
      <w:r w:rsidR="00FC6CAB" w:rsidRPr="00096F30">
        <w:rPr>
          <w:rFonts w:ascii="Times New Roman" w:hAnsi="Times New Roman"/>
        </w:rPr>
        <w:t>(Korah et al., 2024; Korah &amp; Wimberly, 2024c)</w:t>
      </w:r>
      <w:r w:rsidR="00FC6CAB" w:rsidRPr="00096F30">
        <w:rPr>
          <w:rFonts w:ascii="Times New Roman" w:hAnsi="Times New Roman"/>
        </w:rPr>
        <w:fldChar w:fldCharType="end"/>
      </w:r>
      <w:r w:rsidR="00FC6CAB" w:rsidRPr="00096F30">
        <w:rPr>
          <w:rFonts w:ascii="Times New Roman" w:hAnsi="Times New Roman"/>
        </w:rPr>
        <w:t>.</w:t>
      </w:r>
      <w:r w:rsidRPr="7D5C592C">
        <w:rPr>
          <w:rFonts w:ascii="Times New Roman" w:hAnsi="Times New Roman"/>
        </w:rPr>
        <w:t xml:space="preserve"> Across the study area, 81% of the cities are small (population &gt; 10,000 and &lt;= 50,000), 18% medium (population &gt; 50,000 and =&lt; 1,000,000), and 1% large (population &gt; 1,000,000). These cities are generally concentrated in the coastal part of the countries, with very sparse distribution northwards </w:t>
      </w:r>
      <w:r w:rsidR="00D31ED0" w:rsidRPr="00521DC3">
        <w:rPr>
          <w:rFonts w:ascii="Times New Roman" w:hAnsi="Times New Roman"/>
        </w:rPr>
        <w:t>(</w:t>
      </w:r>
      <w:bookmarkStart w:id="130" w:name="_Ref171971618"/>
      <w:r w:rsidR="00521DC3" w:rsidRPr="00521DC3">
        <w:rPr>
          <w:rFonts w:ascii="Times New Roman" w:hAnsi="Times New Roman"/>
        </w:rPr>
        <w:fldChar w:fldCharType="begin"/>
      </w:r>
      <w:r w:rsidR="00521DC3" w:rsidRPr="00521DC3">
        <w:rPr>
          <w:rFonts w:ascii="Times New Roman" w:hAnsi="Times New Roman"/>
        </w:rPr>
        <w:instrText xml:space="preserve"> REF _Ref172129281 \h  \* MERGEFORMAT </w:instrText>
      </w:r>
      <w:r w:rsidR="00521DC3" w:rsidRPr="00521DC3">
        <w:rPr>
          <w:rFonts w:ascii="Times New Roman" w:hAnsi="Times New Roman"/>
        </w:rPr>
      </w:r>
      <w:r w:rsidR="00521DC3" w:rsidRPr="00521DC3">
        <w:rPr>
          <w:rFonts w:ascii="Times New Roman" w:hAnsi="Times New Roman"/>
        </w:rPr>
        <w:fldChar w:fldCharType="separate"/>
      </w:r>
      <w:r w:rsidR="00B129D9" w:rsidRPr="00B129D9">
        <w:t xml:space="preserve">Figure </w:t>
      </w:r>
      <w:r w:rsidR="00B129D9" w:rsidRPr="00B129D9">
        <w:rPr>
          <w:noProof/>
        </w:rPr>
        <w:t>14</w:t>
      </w:r>
      <w:r w:rsidR="00521DC3" w:rsidRPr="00521DC3">
        <w:rPr>
          <w:rFonts w:ascii="Times New Roman" w:hAnsi="Times New Roman"/>
        </w:rPr>
        <w:fldChar w:fldCharType="end"/>
      </w:r>
      <w:r w:rsidR="00521DC3" w:rsidRPr="00521DC3">
        <w:rPr>
          <w:rFonts w:ascii="Times New Roman" w:hAnsi="Times New Roman"/>
        </w:rPr>
        <w:t>).</w:t>
      </w:r>
    </w:p>
    <w:p w14:paraId="47229E98" w14:textId="227BDC20" w:rsidR="00B34407" w:rsidRDefault="00135722" w:rsidP="00D31ED0">
      <w:pPr>
        <w:spacing w:line="240" w:lineRule="auto"/>
        <w:rPr>
          <w:b/>
          <w:bCs/>
        </w:rPr>
      </w:pPr>
      <w:bookmarkStart w:id="131" w:name="_Ref171976002"/>
      <w:r>
        <w:rPr>
          <w:b/>
          <w:bCs/>
          <w:noProof/>
        </w:rPr>
        <w:drawing>
          <wp:inline distT="0" distB="0" distL="0" distR="0" wp14:anchorId="04B884BB" wp14:editId="78CBB75F">
            <wp:extent cx="5793991" cy="3387256"/>
            <wp:effectExtent l="0" t="0" r="0" b="3810"/>
            <wp:docPr id="100342606" name="Picture 52" descr="A map of nigeria with a map and 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2606" name="Picture 52" descr="A map of nigeria with a map and a map of the country&#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13468" cy="3398643"/>
                    </a:xfrm>
                    <a:prstGeom prst="rect">
                      <a:avLst/>
                    </a:prstGeom>
                  </pic:spPr>
                </pic:pic>
              </a:graphicData>
            </a:graphic>
          </wp:inline>
        </w:drawing>
      </w:r>
    </w:p>
    <w:p w14:paraId="39156300" w14:textId="7BB2BCF0" w:rsidR="00283202" w:rsidRPr="00D31ED0" w:rsidRDefault="00D31ED0" w:rsidP="00D31ED0">
      <w:pPr>
        <w:spacing w:line="240" w:lineRule="auto"/>
        <w:rPr>
          <w:rFonts w:ascii="Times New Roman" w:hAnsi="Times New Roman"/>
          <w:szCs w:val="18"/>
        </w:rPr>
      </w:pPr>
      <w:bookmarkStart w:id="132" w:name="_Ref172129281"/>
      <w:bookmarkStart w:id="133" w:name="_Toc172233511"/>
      <w:r w:rsidRPr="00D31ED0">
        <w:rPr>
          <w:b/>
          <w:bCs/>
        </w:rPr>
        <w:t xml:space="preserve">Figure </w:t>
      </w:r>
      <w:r w:rsidRPr="00D31ED0">
        <w:rPr>
          <w:b/>
          <w:bCs/>
        </w:rPr>
        <w:fldChar w:fldCharType="begin"/>
      </w:r>
      <w:r w:rsidRPr="00D31ED0">
        <w:rPr>
          <w:b/>
          <w:bCs/>
        </w:rPr>
        <w:instrText xml:space="preserve"> SEQ Figure \* ARABIC </w:instrText>
      </w:r>
      <w:r w:rsidRPr="00D31ED0">
        <w:rPr>
          <w:b/>
          <w:bCs/>
        </w:rPr>
        <w:fldChar w:fldCharType="separate"/>
      </w:r>
      <w:r w:rsidR="00B129D9">
        <w:rPr>
          <w:b/>
          <w:bCs/>
          <w:noProof/>
        </w:rPr>
        <w:t>14</w:t>
      </w:r>
      <w:r w:rsidRPr="00D31ED0">
        <w:rPr>
          <w:b/>
          <w:bCs/>
        </w:rPr>
        <w:fldChar w:fldCharType="end"/>
      </w:r>
      <w:bookmarkEnd w:id="131"/>
      <w:bookmarkEnd w:id="132"/>
      <w:r>
        <w:t xml:space="preserve">: </w:t>
      </w:r>
      <w:r w:rsidRPr="00482F9B">
        <w:t>Distribution of small, medium, and large cities across administrative unit level 2 boundaries (FAO UN, 2014), in the study area. The level 2 boundaries represent the 16 regions in Ghana, 5 régions in Togo, 12 départments in Benin, and 37 states in Niger</w:t>
      </w:r>
      <w:r>
        <w:t xml:space="preserve">ia. </w:t>
      </w:r>
      <w:r w:rsidRPr="00056076">
        <w:rPr>
          <w:rFonts w:ascii="Times New Roman" w:hAnsi="Times New Roman"/>
        </w:rPr>
        <w:t>The large cities are in red, the medium in blue, and the small cities in yellow.</w:t>
      </w:r>
      <w:bookmarkEnd w:id="133"/>
      <w:r>
        <w:t xml:space="preserve"> </w:t>
      </w:r>
      <w:bookmarkStart w:id="134" w:name="_Ref169281875"/>
      <w:bookmarkEnd w:id="130"/>
    </w:p>
    <w:p w14:paraId="381C5269" w14:textId="77777777" w:rsidR="00103457" w:rsidRPr="00103457" w:rsidRDefault="00103457" w:rsidP="00590F94">
      <w:pPr>
        <w:jc w:val="both"/>
        <w:rPr>
          <w:rFonts w:ascii="Times New Roman" w:eastAsia="Aptos" w:hAnsi="Times New Roman"/>
          <w:color w:val="000000"/>
          <w:shd w:val="clear" w:color="auto" w:fill="FFFFFF"/>
          <w:lang w:bidi="ar-SA"/>
          <w14:ligatures w14:val="standardContextual"/>
        </w:rPr>
      </w:pPr>
      <w:bookmarkStart w:id="135" w:name="_Hlk162538867"/>
      <w:bookmarkEnd w:id="134"/>
    </w:p>
    <w:p w14:paraId="319255B8" w14:textId="77777777" w:rsidR="00103457" w:rsidRPr="00103457" w:rsidRDefault="00103457" w:rsidP="00277F12">
      <w:pPr>
        <w:pStyle w:val="Heading3"/>
      </w:pPr>
      <w:bookmarkStart w:id="136" w:name="_Toc172288750"/>
      <w:r w:rsidRPr="00103457">
        <w:t>FUTURES model</w:t>
      </w:r>
      <w:bookmarkEnd w:id="136"/>
    </w:p>
    <w:p w14:paraId="43DBE7C4" w14:textId="77777777" w:rsidR="00F06EC1" w:rsidRDefault="00F06EC1" w:rsidP="006163D0">
      <w:pPr>
        <w:ind w:firstLine="360"/>
        <w:rPr>
          <w:rFonts w:ascii="Times New Roman" w:hAnsi="Times New Roman"/>
        </w:rPr>
      </w:pPr>
      <w:bookmarkStart w:id="137" w:name="_Hlk162539324"/>
      <w:bookmarkEnd w:id="135"/>
      <w:r w:rsidRPr="00355B09">
        <w:rPr>
          <w:rFonts w:ascii="Times New Roman" w:hAnsi="Times New Roman"/>
        </w:rPr>
        <w:t>FUTURES</w:t>
      </w:r>
      <w:r>
        <w:rPr>
          <w:rFonts w:ascii="Times New Roman" w:hAnsi="Times New Roman"/>
        </w:rPr>
        <w:t xml:space="preserve"> is developed for regional scale simulations, and it</w:t>
      </w:r>
      <w:r w:rsidRPr="00355B09">
        <w:rPr>
          <w:rFonts w:ascii="Times New Roman" w:hAnsi="Times New Roman"/>
        </w:rPr>
        <w:t xml:space="preserve"> </w:t>
      </w:r>
      <w:r>
        <w:rPr>
          <w:rFonts w:ascii="Times New Roman" w:hAnsi="Times New Roman"/>
        </w:rPr>
        <w:t xml:space="preserve">couples three submodels, including POTENTIAL, DEMAND, and the Patch-Growing Algorithm (PGA), to simulate the location and extent of change </w:t>
      </w:r>
      <w:r>
        <w:rPr>
          <w:rFonts w:ascii="Times New Roman" w:hAnsi="Times New Roman"/>
        </w:rPr>
        <w:fldChar w:fldCharType="begin"/>
      </w:r>
      <w:r>
        <w:rPr>
          <w:rFonts w:ascii="Times New Roman" w:hAnsi="Times New Roman"/>
        </w:rPr>
        <w:instrText xml:space="preserve"> ADDIN ZOTERO_ITEM CSL_CITATION {"citationID":"8nnuPfBA","properties":{"formattedCitation":"(Dorning et al., 2015; Meentemeyer et al., 2013)","plainCitation":"(Dorning et al., 2015; Meentemeyer et al., 2013)","noteIndex":0},"citationItems":[{"id":70,"uris":["http://zotero.org/users/8906743/items/8GDQSD33"],"itemData":{"id":70,"type":"article-journal","container-title":"Landscape and Urban Planning","DOI":"10.1016/j.landurbplan.2014.11.011","ISSN":"01692046","journalAbbreviation":"Landscape and Urban Planning","language":"en","page":"28-39","source":"DOI.org (Crossref)","title":"Simulating urbanization scenarios reveals tradeoffs between conservation planning strategies","URL":"https://linkinghub.elsevier.com/retrieve/pii/S0169204614002710","volume":"136","author":[{"family":"Dorning","given":"Monica A."},{"family":"Koch","given":"Jennifer"},{"family":"Shoemaker","given":"Douglas A."},{"family":"Meentemeyer","given":"Ross K."}],"accessed":{"date-parts":[["2021",3,27]]},"issued":{"date-parts":[["2015",4]]}}},{"id":15,"uris":["http://zotero.org/users/8906743/items/NJBSXY9D"],"itemData":{"id":15,"type":"article-journal","container-title":"Annals of the Association of American Geographers","DOI":"10.1080/00045608.2012.707591","ISSN":"0004-5608, 1467-8306","issue":"4","journalAbbreviation":"Annals of the Association of American Geographers","language":"en","page":"785-807","source":"DOI.org (Crossref)","title":"FUTURES: Multilevel Simulations of Emerging Urban–Rural Landscape Structure Using a Stochastic Patch-Growing Algorithm","title-short":"FUTURES","URL":"http://www.tandfonline.com/doi/abs/10.1080/00045608.2012.707591","volume":"103","author":[{"family":"Meentemeyer","given":"Ross K."},{"family":"Tang","given":"Wenwu"},{"family":"Dorning","given":"Monica A."},{"family":"Vogler","given":"John B."},{"family":"Cunniffe","given":"Nik J."},{"family":"Shoemaker","given":"Douglas A."}],"accessed":{"date-parts":[["2021",3,27]]},"issued":{"date-parts":[["2013",7]]}}}],"schema":"https://github.com/citation-style-language/schema/raw/master/csl-citation.json"} </w:instrText>
      </w:r>
      <w:r>
        <w:rPr>
          <w:rFonts w:ascii="Times New Roman" w:hAnsi="Times New Roman"/>
        </w:rPr>
        <w:fldChar w:fldCharType="separate"/>
      </w:r>
      <w:r w:rsidRPr="002C4362">
        <w:rPr>
          <w:rFonts w:ascii="Times New Roman" w:hAnsi="Times New Roman"/>
        </w:rPr>
        <w:t>(Dorning et al., 2015; Meentemeyer et al., 2013)</w:t>
      </w:r>
      <w:r>
        <w:rPr>
          <w:rFonts w:ascii="Times New Roman" w:hAnsi="Times New Roman"/>
        </w:rPr>
        <w:fldChar w:fldCharType="end"/>
      </w:r>
      <w:r>
        <w:rPr>
          <w:rFonts w:ascii="Times New Roman" w:hAnsi="Times New Roman"/>
        </w:rPr>
        <w:t xml:space="preserve">. The </w:t>
      </w:r>
      <w:r>
        <w:rPr>
          <w:rFonts w:ascii="Times New Roman" w:hAnsi="Times New Roman"/>
        </w:rPr>
        <w:lastRenderedPageBreak/>
        <w:t xml:space="preserve">POTENTIAL submodel </w:t>
      </w:r>
      <w:r w:rsidRPr="7D5C592C">
        <w:rPr>
          <w:rFonts w:ascii="Times New Roman" w:hAnsi="Times New Roman"/>
        </w:rPr>
        <w:t>identifies</w:t>
      </w:r>
      <w:r>
        <w:rPr>
          <w:rFonts w:ascii="Times New Roman" w:hAnsi="Times New Roman"/>
        </w:rPr>
        <w:t xml:space="preserve"> suitable locations for potential future developments based on multilevel logistic regression that establishes relationships between spatial predictors and urban land change. The DEMAND submodel associates population numbers and historical developed area maps to quantify the expected rate of developed land conversion at the national level. The per-capita land demand relationship can follow one of several trends: (1) linear; (2) logarithmic, where the land demand curve is concave, initially increasing faster but slowing in later years; or (3) exponential, with initially slow land demand and faster in future years. The PGA applies a stochastic approach that iteratively selects suitable locations, combining cells and patches to better mimic the size and shape of developments in space and over time </w:t>
      </w:r>
      <w:r>
        <w:rPr>
          <w:rFonts w:ascii="Times New Roman" w:hAnsi="Times New Roman"/>
        </w:rPr>
        <w:fldChar w:fldCharType="begin"/>
      </w:r>
      <w:r>
        <w:rPr>
          <w:rFonts w:ascii="Times New Roman" w:hAnsi="Times New Roman"/>
        </w:rPr>
        <w:instrText xml:space="preserve"> ADDIN ZOTERO_ITEM CSL_CITATION {"citationID":"G5yFlVWE","properties":{"formattedCitation":"(Meentemeyer et al., 2013)","plainCitation":"(Meentemeyer et al., 2013)","noteIndex":0},"citationItems":[{"id":15,"uris":["http://zotero.org/users/8906743/items/NJBSXY9D"],"itemData":{"id":15,"type":"article-journal","container-title":"Annals of the Association of American Geographers","DOI":"10.1080/00045608.2012.707591","ISSN":"0004-5608, 1467-8306","issue":"4","journalAbbreviation":"Annals of the Association of American Geographers","language":"en","page":"785-807","source":"DOI.org (Crossref)","title":"FUTURES: Multilevel Simulations of Emerging Urban–Rural Landscape Structure Using a Stochastic Patch-Growing Algorithm","title-short":"FUTURES","URL":"http://www.tandfonline.com/doi/abs/10.1080/00045608.2012.707591","volume":"103","author":[{"family":"Meentemeyer","given":"Ross K."},{"family":"Tang","given":"Wenwu"},{"family":"Dorning","given":"Monica A."},{"family":"Vogler","given":"John B."},{"family":"Cunniffe","given":"Nik J."},{"family":"Shoemaker","given":"Douglas A."}],"accessed":{"date-parts":[["2021",3,27]]},"issued":{"date-parts":[["2013",7]]}}}],"schema":"https://github.com/citation-style-language/schema/raw/master/csl-citation.json"} </w:instrText>
      </w:r>
      <w:r>
        <w:rPr>
          <w:rFonts w:ascii="Times New Roman" w:hAnsi="Times New Roman"/>
        </w:rPr>
        <w:fldChar w:fldCharType="separate"/>
      </w:r>
      <w:r w:rsidRPr="002C4362">
        <w:rPr>
          <w:rFonts w:ascii="Times New Roman" w:hAnsi="Times New Roman"/>
        </w:rPr>
        <w:t>(Meentemeyer et al., 2013)</w:t>
      </w:r>
      <w:r>
        <w:rPr>
          <w:rFonts w:ascii="Times New Roman" w:hAnsi="Times New Roman"/>
        </w:rPr>
        <w:fldChar w:fldCharType="end"/>
      </w:r>
      <w:r>
        <w:rPr>
          <w:rFonts w:ascii="Times New Roman" w:hAnsi="Times New Roman"/>
        </w:rPr>
        <w:t xml:space="preserve">. Previous applications of FUTURES found the model to </w:t>
      </w:r>
      <w:r w:rsidRPr="00355B09">
        <w:rPr>
          <w:rFonts w:ascii="Times New Roman" w:hAnsi="Times New Roman"/>
        </w:rPr>
        <w:t xml:space="preserve">produce informative results </w:t>
      </w:r>
      <w:r>
        <w:rPr>
          <w:rFonts w:ascii="Times New Roman" w:hAnsi="Times New Roman"/>
        </w:rPr>
        <w:t xml:space="preserve">for </w:t>
      </w:r>
      <w:r w:rsidRPr="00355B09">
        <w:rPr>
          <w:rFonts w:ascii="Times New Roman" w:hAnsi="Times New Roman"/>
        </w:rPr>
        <w:t xml:space="preserve">urban planning and ecological assessment across </w:t>
      </w:r>
      <w:r>
        <w:rPr>
          <w:rFonts w:ascii="Times New Roman" w:hAnsi="Times New Roman"/>
        </w:rPr>
        <w:t xml:space="preserve">the United States </w:t>
      </w:r>
      <w:r w:rsidRPr="00355B09">
        <w:rPr>
          <w:rFonts w:ascii="Times New Roman" w:hAnsi="Times New Roman"/>
        </w:rPr>
        <w:t xml:space="preserve">under different </w:t>
      </w:r>
      <w:r>
        <w:rPr>
          <w:rFonts w:ascii="Times New Roman" w:hAnsi="Times New Roman"/>
        </w:rPr>
        <w:t xml:space="preserve">expansion and environmental </w:t>
      </w:r>
      <w:r w:rsidRPr="00355B09">
        <w:rPr>
          <w:rFonts w:ascii="Times New Roman" w:hAnsi="Times New Roman"/>
        </w:rPr>
        <w:t xml:space="preserve">management scenarios </w:t>
      </w:r>
      <w:r>
        <w:rPr>
          <w:rFonts w:ascii="Times New Roman" w:hAnsi="Times New Roman"/>
        </w:rPr>
        <w:fldChar w:fldCharType="begin"/>
      </w:r>
      <w:r>
        <w:rPr>
          <w:rFonts w:ascii="Times New Roman" w:hAnsi="Times New Roman"/>
        </w:rPr>
        <w:instrText xml:space="preserve"> ADDIN ZOTERO_ITEM CSL_CITATION {"citationID":"DjkhJ4Jz","properties":{"formattedCitation":"(Dorning et al., 2015; Pickard et al., 2017; Sanchez et al., 2020; Shoemaker et al., 2019; Van Berkel et al., 2019)","plainCitation":"(Dorning et al., 2015; Pickard et al., 2017; Sanchez et al., 2020; Shoemaker et al., 2019; Van Berkel et al., 2019)","noteIndex":0},"citationItems":[{"id":70,"uris":["http://zotero.org/users/8906743/items/8GDQSD33"],"itemData":{"id":70,"type":"article-journal","container-title":"Landscape and Urban Planning","DOI":"10.1016/j.landurbplan.2014.11.011","ISSN":"01692046","journalAbbreviation":"Landscape and Urban Planning","language":"en","page":"28-39","source":"DOI.org (Crossref)","title":"Simulating urbanization scenarios reveals tradeoffs between conservation planning strategies","URL":"https://linkinghub.elsevier.com/retrieve/pii/S0169204614002710","volume":"136","author":[{"family":"Dorning","given":"Monica A."},{"family":"Koch","given":"Jennifer"},{"family":"Shoemaker","given":"Douglas A."},{"family":"Meentemeyer","given":"Ross K."}],"accessed":{"date-parts":[["2021",3,27]]},"issued":{"date-parts":[["2015",4]]}}},{"id":431,"uris":["http://zotero.org/users/8906743/items/97YE2FE5"],"itemData":{"id":431,"type":"article-journal","abstract":"Methods We couple land change and ES models to examine impacts to carbon sequestration, surface water-run off, nitrogen and phosphorus export, organic farming and camping site suitability, to determine trade-offs among the six ES associated with each spatial conﬁguration for western North Carolina.\nResults Consequences of urban conﬁgurations are dramatic, with degraded ES across all scenarios and substantial variation depending on urban pattern, revealing trade-offs. Counter-intuitive trade-offs between carbon sequestration and lands available for organic farming and camping were observed, suggesting that no conﬁgurations result in mutual beneﬁts for all ES.\nConclusions By understanding trade-offs associated with urban conﬁgurations, decision makers can identify ES critical to an area and promote conﬁgurations that enhance those.","container-title":"Landscape Ecology","DOI":"10.1007/s10980-016-0465-8","ISSN":"0921-2973, 1572-9761","issue":"3","journalAbbreviation":"Landscape Ecol","language":"en","page":"617-634","source":"DOI.org (Crossref)","title":"Forecasts of urbanization scenarios reveal trade-offs between landscape change and ecosystem services","URL":"http://link.springer.com/10.1007/s10980-016-0465-8","volume":"32","author":[{"family":"Pickard","given":"Brian R."},{"family":"Van Berkel","given":"Derek"},{"family":"Petrasova","given":"Anna"},{"family":"Meentemeyer","given":"Ross K."}],"accessed":{"date-parts":[["2022",2,4]]},"issued":{"date-parts":[["2017",3]]}}},{"id":448,"uris":["http://zotero.org/users/8906743/items/B22ZX6SK"],"itemData":{"id":448,"type":"article-journal","abstract":"Urban growth and climate change together complicate planning efforts meant to adapt to increasingly scarce water supplies. Several studies have independently examined the impacts of urban planning and climate change on water demand, but little attention has been given to their combined impact. Here we forecast urban water demand using a Geographically Weighted Regression model informed by socio-economic, environmental and landscape pattern metrics. The purpose of our study is to evaluate how future scenarios of population densities and climate warming will jointly affect water demand across two rapidly growing U.S. states (North Carolina and South Carolina). Our forecasts indicate that regional water demand by 2065 will increase by 37%–383% relative to the baseline in 2010, across all scenarios of change. Our results show future water demand will increase under rising temperatures, but could be ameliorated by policies that promote higher density development and urban inﬁll. These water-efﬁcient land use policies show a 5% regional reduction in water demand and up to 25% reduction locally for counties with the highest expected population growth by 2065. For rural counties experiencing depopulation, the land use policies we considered are insufﬁcient to signiﬁcantly reduce water demand. For expanding communities seeking to increase their adaptive capacity to changing socio-environmental conditions, our framework can assist in developing sustainable solutions.","container-title":"Science of The Total Environment","DOI":"10.1016/j.scitotenv.2020.139050","ISSN":"00489697","journalAbbreviation":"Science of The Total Environment","language":"en","page":"139050","source":"DOI.org (Crossref)","title":"Forecasting water demand across a rapidly urbanizing region","URL":"https://linkinghub.elsevier.com/retrieve/pii/S0048969720325675","volume":"730","author":[{"family":"Sanchez","given":"Georgina M."},{"family":"Terando","given":"Adam"},{"family":"Smith","given":"Jordan W."},{"family":"García","given":"Ana M."},{"family":"Wagner","given":"Chad R."},{"family":"Meentemeyer","given":"Ross K."}],"accessed":{"date-parts":[["2022",2,4]]},"issued":{"date-parts":[["2020",8]]}}},{"id":446,"uris":["http://zotero.org/users/8906743/items/XM75AD79"],"itemData":{"id":446,"type":"article-journal","container-title":"Computers, Environment and Urban Systems","DOI":"10.1016/j.compenvurbsys.2018.10.003","ISSN":"01989715","journalAbbreviation":"Computers, Environment and Urban Systems","language":"en","page":"114-125","source":"DOI.org (Crossref)","title":"Anticipating trade-offs between urban patterns and ecosystem service production: Scenario analyses of sprawl alternatives for a rapidly urbanizing region","title-short":"Anticipating trade-offs between urban patterns and ecosystem service production","URL":"https://linkinghub.elsevier.com/retrieve/pii/S0198971518300310","volume":"74","author":[{"family":"Shoemaker","given":"Douglas A."},{"family":"BenDor","given":"Todd K."},{"family":"Meentemeyer","given":"Ross K."}],"accessed":{"date-parts":[["2022",2,4]]},"issued":{"date-parts":[["2019",3]]}}},{"id":433,"uris":["http://zotero.org/users/8906743/items/MMML9739"],"itemData":{"id":433,"type":"article-journal","abstract":"Increasing population and rural to urban migration are accelerating urbanization globally, permanently transforming natural systems over large extents. Modelling landscape change over large regions, however, presents particular challenges due to local-scale variations in social and environmental factors that drive land change. We simulated urban development across the South Atlantic States (SAS), a region experiencing rapid population growth and urbanization, using FUTURES—an open source land change model that uses demand for development, local development suitability factors, and a stochastic patch growing algorithm for projecting alternative futures of urban form and landscape change. New advances to the FUTURES modelling framework allow for high resolution projections over large spatial extents by leveraging parallel computing. We simulated the adoption of different urban growth strategies that encourage settlement densiﬁcation in the SAS as alternatives to the region’s increasing sprawl. Evalu</w:instrText>
      </w:r>
      <w:r w:rsidRPr="002C4362">
        <w:rPr>
          <w:rFonts w:ascii="Times New Roman" w:hAnsi="Times New Roman"/>
          <w:lang w:val="fr-FR"/>
        </w:rPr>
        <w:instrText>ation of projected patterns indicate a 15% increase in urban lands by 2050 given a status quo development scenario compared to a 14.8% increase for the In</w:instrText>
      </w:r>
      <w:r>
        <w:rPr>
          <w:rFonts w:ascii="Times New Roman" w:hAnsi="Times New Roman"/>
        </w:rPr>
        <w:instrText>ﬁ</w:instrText>
      </w:r>
      <w:r w:rsidRPr="002C4362">
        <w:rPr>
          <w:rFonts w:ascii="Times New Roman" w:hAnsi="Times New Roman"/>
          <w:lang w:val="fr-FR"/>
        </w:rPr>
        <w:instrText>ll strategy. Status quo development resulted in a 3.72% loss of total forests, 2.97% loss of highly suitable agricultural land, and 3.69% loss of ecologically signi</w:instrText>
      </w:r>
      <w:r>
        <w:rPr>
          <w:rFonts w:ascii="Times New Roman" w:hAnsi="Times New Roman"/>
        </w:rPr>
        <w:instrText>ﬁ</w:instrText>
      </w:r>
      <w:r w:rsidRPr="002C4362">
        <w:rPr>
          <w:rFonts w:ascii="Times New Roman" w:hAnsi="Times New Roman"/>
          <w:lang w:val="fr-FR"/>
        </w:rPr>
        <w:instrText>cant lands. An alternative In</w:instrText>
      </w:r>
      <w:r>
        <w:rPr>
          <w:rFonts w:ascii="Times New Roman" w:hAnsi="Times New Roman"/>
        </w:rPr>
        <w:instrText>ﬁ</w:instrText>
      </w:r>
      <w:r w:rsidRPr="002C4362">
        <w:rPr>
          <w:rFonts w:ascii="Times New Roman" w:hAnsi="Times New Roman"/>
          <w:lang w:val="fr-FR"/>
        </w:rPr>
        <w:instrText>ll scenario resulted in similar losses of total forest (3.62%) and ecologically signi</w:instrText>
      </w:r>
      <w:r>
        <w:rPr>
          <w:rFonts w:ascii="Times New Roman" w:hAnsi="Times New Roman"/>
        </w:rPr>
        <w:instrText>ﬁ</w:instrText>
      </w:r>
      <w:r w:rsidRPr="002C4362">
        <w:rPr>
          <w:rFonts w:ascii="Times New Roman" w:hAnsi="Times New Roman"/>
          <w:lang w:val="fr-FR"/>
        </w:rPr>
        <w:instrText>cant lands (3.63%) yet consumed less agricultural lands (1.23% loss). Moreover, in</w:instrText>
      </w:r>
      <w:r>
        <w:rPr>
          <w:rFonts w:ascii="Times New Roman" w:hAnsi="Times New Roman"/>
        </w:rPr>
        <w:instrText>ﬁ</w:instrText>
      </w:r>
      <w:r w:rsidRPr="002C4362">
        <w:rPr>
          <w:rFonts w:ascii="Times New Roman" w:hAnsi="Times New Roman"/>
          <w:lang w:val="fr-FR"/>
        </w:rPr>
        <w:instrText xml:space="preserve">ll development patterns differed qualitatively from the status quo and resulted in less fragmentation of the landscape.","container-title":"Land","DOI":"10.3390/land8100144","ISSN":"2073-445X","issue":"10","journalAbbreviation":"Land","language":"en","page":"144","source":"DOI.org (Crossref)","title":"Projecting Urbanization and Landscape Change at Large Scale Using the FUTURES Model","URL":"https://www.mdpi.com/2073-445X/8/10/144","volume":"8","author":[{"family":"Van Berkel","given":"Derek"},{"family":"Shashidharan","given":"Ashwin"},{"family":"Mordecai","given":"Rua"},{"family":"Vatsavai","given":"Raju"},{"family":"Petrasova","given":"Anna"},{"family":"Petras","given":"Vaclav"},{"family":"Mitasova","given":"Helena"},{"family":"Vogler","given":"John"},{"family":"Meentemeyer","given":"Ross"}],"accessed":{"date-parts":[["2022",2,4]]},"issued":{"date-parts":[["2019",9,24]]}}}],"schema":"https://github.com/citation-style-language/schema/raw/master/csl-citation.json"} </w:instrText>
      </w:r>
      <w:r>
        <w:rPr>
          <w:rFonts w:ascii="Times New Roman" w:hAnsi="Times New Roman"/>
        </w:rPr>
        <w:fldChar w:fldCharType="separate"/>
      </w:r>
      <w:r w:rsidRPr="002C4362">
        <w:rPr>
          <w:rFonts w:ascii="Times New Roman" w:hAnsi="Times New Roman"/>
          <w:lang w:val="fr-FR"/>
        </w:rPr>
        <w:t>(Dorning et al., 2015; Pickard et al., 2017; Sanchez et al., 2020; Shoemaker et al., 2019; Van Berkel et al., 2019)</w:t>
      </w:r>
      <w:r>
        <w:rPr>
          <w:rFonts w:ascii="Times New Roman" w:hAnsi="Times New Roman"/>
        </w:rPr>
        <w:fldChar w:fldCharType="end"/>
      </w:r>
      <w:r w:rsidRPr="002C4362">
        <w:rPr>
          <w:rFonts w:ascii="Times New Roman" w:hAnsi="Times New Roman"/>
          <w:lang w:val="fr-FR"/>
        </w:rPr>
        <w:t xml:space="preserve">. </w:t>
      </w:r>
      <w:r>
        <w:rPr>
          <w:rFonts w:ascii="Times New Roman" w:hAnsi="Times New Roman"/>
          <w:color w:val="000000"/>
          <w:shd w:val="clear" w:color="auto" w:fill="FFFFFF"/>
        </w:rPr>
        <w:t xml:space="preserve">Moreover, FUTURES was among the first urban simulation models to simulate the leapfrogging process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{"citationID":"85OgdueS","properties":{"formattedCitation":"(Meentemeyer et al., 2013)","plainCitation":"(Meentemeyer et al., 2013)","noteIndex":0},"citationItems":[{"id":15,"uris":["http://zotero.org/users/8906743/items/NJBSXY9D"],"itemData":{"id":15,"type":"article-journal","container-title":"Annals of the Association of American Geographers","DOI":"10.1080/00045608.2012.707591","ISSN":"0004-5608, 1467-8306","issue":"4","journalAbbreviation":"Annals of the Association of American Geographers","language":"en","page":"785-807","source":"DOI.org (Crossref)","title":"FUTURES: Multilevel Simulations of Emerging Urban–Rural Landscape Structure Using a Stochastic Patch-Growing Algorithm","title-short":"FUTURES","URL":"http://www.tandfonline.com/doi/abs/10.1080/00045608.2012.707591","volume":"103","author":[{"family":"Meentemeyer","given":"Ross K."},{"family":"Tang","given":"Wenwu"},{"family":"Dorning","given":"Monica A."},{"family":"Vogler","given":"John B."},{"family":"Cunniffe","given":"Nik J."},{"family":"Shoemaker","given":"Douglas A."}],"accessed":{"date-parts":[["2021",3,27]]},"issued":{"date-parts":[["2013",7]]}}}],"schema":"https://github.com/citation-style-language/schema/raw/master/csl-citation.json"} </w:instrText>
      </w:r>
      <w:r>
        <w:rPr>
          <w:rFonts w:ascii="Times New Roman" w:hAnsi="Times New Roman"/>
          <w:color w:val="000000"/>
          <w:shd w:val="clear" w:color="auto" w:fill="FFFFFF"/>
        </w:rPr>
        <w:fldChar w:fldCharType="separate"/>
      </w:r>
      <w:r w:rsidRPr="002C4362">
        <w:rPr>
          <w:rFonts w:ascii="Times New Roman" w:hAnsi="Times New Roman"/>
        </w:rPr>
        <w:t>(Meentemeyer et al., 2013)</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an especially important development pattern for West Africa, given the importance of secondary cities </w:t>
      </w:r>
      <w:r>
        <w:rPr>
          <w:rFonts w:ascii="Times New Roman" w:hAnsi="Times New Roman"/>
          <w:color w:val="000000"/>
          <w:shd w:val="clear" w:color="auto" w:fill="FFFFFF"/>
        </w:rPr>
        <w:fldChar w:fldCharType="begin"/>
      </w:r>
      <w:r>
        <w:rPr>
          <w:rFonts w:ascii="Times New Roman" w:hAnsi="Times New Roman"/>
          <w:color w:val="000000"/>
          <w:shd w:val="clear" w:color="auto" w:fill="FFFFFF"/>
        </w:rPr>
        <w:instrText xml:space="preserve"> ADDIN ZOTERO_ITEM CSL_CITATION {"citationID":"DlWGjNAQ","properties":{"formattedCitation":"(Marais &amp; Cloete, 2017)","plainCitation":"(Marais &amp; Cloete, 2017)","noteIndex":0},"citationItems":[{"id":17,"uris":["http://zotero.org/users/8906743/items/G8GA7FF6"],"itemData":{"id":17,"type":"article-journal","abstract":"Following on from earlier work dealing with the role of metropolitan municipalities in managing urbanisation, this article assesses the role played by secondary cities in this regard. Although secondary cities have largely provided adequate infrastructure in line with the demands of population growth, three differences between metropolitan municipalities and secondary cities should be noted. First, on most indicators, secondary cities have more outliers than do metropolitan municipalities. Second, household incomes in secondary cities remain lower than those in metropolitan municipalities. Third, the ability of secondary cities to provide basic infrastructure does not differ much from that of metropolitan municipalities. In fact, there is evidence to suggest that, in terms of certain indicators, secondary cities have managed to deliver these faster than their metropolitan counterparts. We argue that the progress made in secondary cities during the period under consideration cannot be separated from the fact that the economic growth in more than 50% of secondary cities has been linked either to mining or to another dominant economic driver.","container-title":"Development Southern Africa","DOI":"10.1080/0376835X.2016.1259993","ISSN":"0376-835X","issue":"2","note":"publisher: Routledge\n_eprint: https://doi.org/10.1080/0376835X.2016.1259993","page":"182-195","source":"Taylor and Francis+NEJM","title":"The role of secondary cities in managing urbanisation in South Africa","URL":"https://doi.org/10.1080/0376835X.2016.1259993","volume":"34","author":[{"family":"Marais","given":"Lochner"},{"family":"Cloete","given":"Jan"}],"accessed":{"date-parts":[["2023",9,4]]},"issued":{"date-parts":[["2017",3,4]]}}}],"schema":"https://github.com/citation-style-language/schema/raw/master/csl-citation.json"} </w:instrText>
      </w:r>
      <w:r>
        <w:rPr>
          <w:rFonts w:ascii="Times New Roman" w:hAnsi="Times New Roman"/>
          <w:color w:val="000000"/>
          <w:shd w:val="clear" w:color="auto" w:fill="FFFFFF"/>
        </w:rPr>
        <w:fldChar w:fldCharType="separate"/>
      </w:r>
      <w:r w:rsidRPr="002C4362">
        <w:rPr>
          <w:rFonts w:ascii="Times New Roman" w:hAnsi="Times New Roman"/>
        </w:rPr>
        <w:t>(Marais &amp; Cloete, 2017)</w:t>
      </w:r>
      <w:r>
        <w:rPr>
          <w:rFonts w:ascii="Times New Roman" w:hAnsi="Times New Roman"/>
          <w:color w:val="000000"/>
          <w:shd w:val="clear" w:color="auto" w:fill="FFFFFF"/>
        </w:rPr>
        <w:fldChar w:fldCharType="end"/>
      </w:r>
      <w:r>
        <w:rPr>
          <w:rFonts w:ascii="Times New Roman" w:hAnsi="Times New Roman"/>
          <w:color w:val="000000"/>
          <w:shd w:val="clear" w:color="auto" w:fill="FFFFFF"/>
        </w:rPr>
        <w:t xml:space="preserve">. </w:t>
      </w:r>
      <w:r>
        <w:rPr>
          <w:rFonts w:ascii="Times New Roman" w:hAnsi="Times New Roman"/>
        </w:rPr>
        <w:t>Thus, FUTURES is one of the few urban simulation models designed for regional-level mapping that captures the spatial structure of urban population growth and accounts for policy effects on developments across different levels.</w:t>
      </w:r>
    </w:p>
    <w:p w14:paraId="57F44AB6" w14:textId="77777777" w:rsidR="00103457" w:rsidRPr="00103457" w:rsidRDefault="00103457" w:rsidP="006163D0">
      <w:pPr>
        <w:spacing w:line="240" w:lineRule="auto"/>
        <w:ind w:firstLine="360"/>
        <w:rPr>
          <w:rFonts w:ascii="Times New Roman" w:eastAsia="Aptos" w:hAnsi="Times New Roman"/>
          <w:lang w:bidi="ar-SA"/>
          <w14:ligatures w14:val="standardContextual"/>
        </w:rPr>
      </w:pPr>
    </w:p>
    <w:p w14:paraId="51E30FBE" w14:textId="77777777" w:rsidR="00103457" w:rsidRPr="00103457" w:rsidRDefault="00103457" w:rsidP="006163D0">
      <w:pPr>
        <w:pStyle w:val="Heading3"/>
      </w:pPr>
      <w:bookmarkStart w:id="138" w:name="_Toc172288751"/>
      <w:r w:rsidRPr="00103457">
        <w:t>Model input variables</w:t>
      </w:r>
      <w:bookmarkEnd w:id="138"/>
    </w:p>
    <w:bookmarkEnd w:id="137"/>
    <w:p w14:paraId="776CE12F" w14:textId="6F00E9FD" w:rsidR="0057797C" w:rsidRPr="00103457" w:rsidRDefault="003F0BA5" w:rsidP="006163D0">
      <w:pPr>
        <w:ind w:firstLine="360"/>
        <w:rPr>
          <w:rFonts w:ascii="Times New Roman" w:eastAsia="Aptos" w:hAnsi="Times New Roman"/>
          <w:lang w:bidi="ar-SA"/>
          <w14:ligatures w14:val="standardContextual"/>
        </w:rPr>
      </w:pPr>
      <w:r w:rsidRPr="003F0BA5">
        <w:rPr>
          <w:rFonts w:ascii="Times New Roman" w:eastAsia="Aptos" w:hAnsi="Times New Roman"/>
          <w:lang w:bidi="ar-SA"/>
          <w14:ligatures w14:val="standardContextual"/>
        </w:rPr>
        <w:t xml:space="preserve">FUTURES requires historical urban land cover data and several input variables to extrapolate expansion rates and patterns into the future. Across the world, most previous urban simulation studies use maps with long (5-10 years) temporal intervals, and only few used annual maps to compute potential demand, making it difficult to address subtle annual changes (and their </w:t>
      </w:r>
      <w:r w:rsidRPr="003F0BA5">
        <w:rPr>
          <w:rFonts w:ascii="Times New Roman" w:eastAsia="Aptos" w:hAnsi="Times New Roman"/>
          <w:lang w:bidi="ar-SA"/>
          <w14:ligatures w14:val="standardContextual"/>
        </w:rPr>
        <w:lastRenderedPageBreak/>
        <w:t>feedback effects on the following time steps) in calibration. We used annual binary maps (developed or undeveloped) from WADISC, a regionally optimized dataset developed to detect urban expansion across multiple countries in West Africa (Korah &amp; Wimberly, 2024a). Other variables used to generate suitability maps for future urban change projections included topography, distance to roads, city centers, and primary cities, rivers, and lakes, which attract new developments; protected areas; which restrict developments; and historical population trends and estimates over the study area (</w:t>
      </w:r>
      <w:r w:rsidR="004D0BA5" w:rsidRPr="00FE758E">
        <w:rPr>
          <w:rFonts w:ascii="Times New Roman" w:eastAsia="Aptos" w:hAnsi="Times New Roman"/>
          <w:lang w:bidi="ar-SA"/>
          <w14:ligatures w14:val="standardContextual"/>
        </w:rPr>
        <w:fldChar w:fldCharType="begin"/>
      </w:r>
      <w:r w:rsidR="004D0BA5" w:rsidRPr="00FE758E">
        <w:rPr>
          <w:rFonts w:ascii="Times New Roman" w:eastAsia="Aptos" w:hAnsi="Times New Roman"/>
          <w:lang w:bidi="ar-SA"/>
          <w14:ligatures w14:val="standardContextual"/>
        </w:rPr>
        <w:instrText xml:space="preserve"> REF _Ref171972001 \h </w:instrText>
      </w:r>
      <w:r w:rsidR="00FE758E" w:rsidRPr="00FE758E">
        <w:rPr>
          <w:rFonts w:ascii="Times New Roman" w:eastAsia="Aptos" w:hAnsi="Times New Roman"/>
          <w:lang w:bidi="ar-SA"/>
          <w14:ligatures w14:val="standardContextual"/>
        </w:rPr>
        <w:instrText xml:space="preserve"> \* MERGEFORMAT </w:instrText>
      </w:r>
      <w:r w:rsidR="004D0BA5" w:rsidRPr="00FE758E">
        <w:rPr>
          <w:rFonts w:ascii="Times New Roman" w:eastAsia="Aptos" w:hAnsi="Times New Roman"/>
          <w:lang w:bidi="ar-SA"/>
          <w14:ligatures w14:val="standardContextual"/>
        </w:rPr>
      </w:r>
      <w:r w:rsidR="004D0BA5" w:rsidRPr="00FE758E">
        <w:rPr>
          <w:rFonts w:ascii="Times New Roman" w:eastAsia="Aptos" w:hAnsi="Times New Roman"/>
          <w:lang w:bidi="ar-SA"/>
          <w14:ligatures w14:val="standardContextual"/>
        </w:rPr>
        <w:fldChar w:fldCharType="separate"/>
      </w:r>
      <w:r w:rsidR="00B129D9" w:rsidRPr="00B129D9">
        <w:t xml:space="preserve">Table </w:t>
      </w:r>
      <w:r w:rsidR="00B129D9" w:rsidRPr="00B129D9">
        <w:rPr>
          <w:noProof/>
        </w:rPr>
        <w:t>9</w:t>
      </w:r>
      <w:r w:rsidR="004D0BA5" w:rsidRPr="00FE758E">
        <w:rPr>
          <w:rFonts w:ascii="Times New Roman" w:eastAsia="Aptos" w:hAnsi="Times New Roman"/>
          <w:lang w:bidi="ar-SA"/>
          <w14:ligatures w14:val="standardContextual"/>
        </w:rPr>
        <w:fldChar w:fldCharType="end"/>
      </w:r>
      <w:r w:rsidRPr="00FE758E">
        <w:rPr>
          <w:rFonts w:ascii="Times New Roman" w:eastAsia="Aptos" w:hAnsi="Times New Roman"/>
          <w:lang w:bidi="ar-SA"/>
          <w14:ligatures w14:val="standardContextual"/>
        </w:rPr>
        <w:t>).</w:t>
      </w:r>
      <w:r w:rsidRPr="003F0BA5">
        <w:rPr>
          <w:rFonts w:ascii="Times New Roman" w:eastAsia="Aptos" w:hAnsi="Times New Roman"/>
          <w:lang w:bidi="ar-SA"/>
          <w14:ligatures w14:val="standardContextual"/>
        </w:rPr>
        <w:t xml:space="preserve"> Most of these suitability variables are stable over time; however, population changes rapidly through time, and using annual population data can enable FUTURES better mimic land demand at individual or multiple levels.</w:t>
      </w:r>
    </w:p>
    <w:p w14:paraId="04CD9B8D" w14:textId="4F316D83" w:rsidR="0057797C" w:rsidRPr="00B430A8" w:rsidRDefault="006F1F6F" w:rsidP="00B430A8">
      <w:bookmarkStart w:id="139" w:name="_Ref171972001"/>
      <w:bookmarkStart w:id="140" w:name="_Ref169873688"/>
      <w:bookmarkStart w:id="141" w:name="_Toc172233725"/>
      <w:r w:rsidRPr="00995088">
        <w:rPr>
          <w:b/>
          <w:bCs/>
        </w:rPr>
        <w:t xml:space="preserve">Table </w:t>
      </w:r>
      <w:r w:rsidRPr="00995088">
        <w:rPr>
          <w:b/>
          <w:bCs/>
        </w:rPr>
        <w:fldChar w:fldCharType="begin"/>
      </w:r>
      <w:r w:rsidRPr="00995088">
        <w:rPr>
          <w:b/>
          <w:bCs/>
        </w:rPr>
        <w:instrText xml:space="preserve"> SEQ Table \* ARABIC </w:instrText>
      </w:r>
      <w:r w:rsidRPr="00995088">
        <w:rPr>
          <w:b/>
          <w:bCs/>
        </w:rPr>
        <w:fldChar w:fldCharType="separate"/>
      </w:r>
      <w:r w:rsidR="00B129D9">
        <w:rPr>
          <w:b/>
          <w:bCs/>
          <w:noProof/>
        </w:rPr>
        <w:t>9</w:t>
      </w:r>
      <w:r w:rsidRPr="00995088">
        <w:rPr>
          <w:b/>
          <w:bCs/>
        </w:rPr>
        <w:fldChar w:fldCharType="end"/>
      </w:r>
      <w:bookmarkEnd w:id="139"/>
      <w:r w:rsidRPr="00995088">
        <w:rPr>
          <w:b/>
          <w:bCs/>
        </w:rPr>
        <w:t>:</w:t>
      </w:r>
      <w:r w:rsidRPr="00A931D7">
        <w:t xml:space="preserve"> Input variables used to project future urban change.</w:t>
      </w:r>
      <w:bookmarkEnd w:id="140"/>
      <w:bookmarkEnd w:id="141"/>
    </w:p>
    <w:tbl>
      <w:tblPr>
        <w:tblW w:w="9090" w:type="dxa"/>
        <w:tblLook w:val="04A0" w:firstRow="1" w:lastRow="0" w:firstColumn="1" w:lastColumn="0" w:noHBand="0" w:noVBand="1"/>
      </w:tblPr>
      <w:tblGrid>
        <w:gridCol w:w="1452"/>
        <w:gridCol w:w="2740"/>
        <w:gridCol w:w="1155"/>
        <w:gridCol w:w="143"/>
        <w:gridCol w:w="1819"/>
        <w:gridCol w:w="1781"/>
      </w:tblGrid>
      <w:tr w:rsidR="0057797C" w:rsidRPr="00FD567C" w14:paraId="2B95B315" w14:textId="77777777" w:rsidTr="004A2CFC">
        <w:trPr>
          <w:trHeight w:val="288"/>
        </w:trPr>
        <w:tc>
          <w:tcPr>
            <w:tcW w:w="1452" w:type="dxa"/>
            <w:tcBorders>
              <w:top w:val="single" w:sz="4" w:space="0" w:color="auto"/>
              <w:left w:val="nil"/>
              <w:bottom w:val="single" w:sz="4" w:space="0" w:color="auto"/>
              <w:right w:val="nil"/>
            </w:tcBorders>
            <w:shd w:val="clear" w:color="auto" w:fill="auto"/>
            <w:noWrap/>
            <w:vAlign w:val="bottom"/>
            <w:hideMark/>
          </w:tcPr>
          <w:p w14:paraId="5ED52053" w14:textId="77777777" w:rsidR="0057797C" w:rsidRPr="00FD567C" w:rsidRDefault="0057797C" w:rsidP="005A41EC">
            <w:pPr>
              <w:spacing w:line="240" w:lineRule="auto"/>
              <w:jc w:val="center"/>
              <w:rPr>
                <w:rFonts w:cstheme="minorHAnsi"/>
                <w:b/>
                <w:bCs/>
                <w:color w:val="000000"/>
                <w:sz w:val="22"/>
                <w:szCs w:val="22"/>
                <w:lang w:bidi="ar-SA"/>
                <w14:ligatures w14:val="standardContextual"/>
              </w:rPr>
            </w:pPr>
            <w:r w:rsidRPr="00FD567C">
              <w:rPr>
                <w:rFonts w:cstheme="minorHAnsi"/>
                <w:b/>
                <w:bCs/>
                <w:color w:val="000000"/>
                <w:sz w:val="22"/>
                <w:szCs w:val="22"/>
                <w:lang w:bidi="ar-SA"/>
                <w14:ligatures w14:val="standardContextual"/>
              </w:rPr>
              <w:t>Input</w:t>
            </w:r>
          </w:p>
        </w:tc>
        <w:tc>
          <w:tcPr>
            <w:tcW w:w="2740" w:type="dxa"/>
            <w:tcBorders>
              <w:top w:val="single" w:sz="4" w:space="0" w:color="auto"/>
              <w:left w:val="nil"/>
              <w:bottom w:val="single" w:sz="4" w:space="0" w:color="auto"/>
              <w:right w:val="nil"/>
            </w:tcBorders>
            <w:shd w:val="clear" w:color="auto" w:fill="auto"/>
            <w:noWrap/>
            <w:vAlign w:val="bottom"/>
            <w:hideMark/>
          </w:tcPr>
          <w:p w14:paraId="31460185" w14:textId="77777777" w:rsidR="0057797C" w:rsidRPr="00FD567C" w:rsidRDefault="0057797C" w:rsidP="005A41EC">
            <w:pPr>
              <w:spacing w:line="240" w:lineRule="auto"/>
              <w:jc w:val="center"/>
              <w:rPr>
                <w:rFonts w:cstheme="minorHAnsi"/>
                <w:b/>
                <w:bCs/>
                <w:color w:val="000000"/>
                <w:sz w:val="22"/>
                <w:szCs w:val="22"/>
                <w:lang w:bidi="ar-SA"/>
                <w14:ligatures w14:val="standardContextual"/>
              </w:rPr>
            </w:pPr>
            <w:r w:rsidRPr="00FD567C">
              <w:rPr>
                <w:rFonts w:cstheme="minorHAnsi"/>
                <w:b/>
                <w:bCs/>
                <w:color w:val="000000"/>
                <w:sz w:val="22"/>
                <w:szCs w:val="22"/>
                <w:lang w:bidi="ar-SA"/>
                <w14:ligatures w14:val="standardContextual"/>
              </w:rPr>
              <w:t>Variable Description</w:t>
            </w:r>
          </w:p>
        </w:tc>
        <w:tc>
          <w:tcPr>
            <w:tcW w:w="1298" w:type="dxa"/>
            <w:gridSpan w:val="2"/>
            <w:tcBorders>
              <w:top w:val="single" w:sz="4" w:space="0" w:color="auto"/>
              <w:left w:val="nil"/>
              <w:bottom w:val="single" w:sz="4" w:space="0" w:color="auto"/>
              <w:right w:val="nil"/>
            </w:tcBorders>
            <w:shd w:val="clear" w:color="auto" w:fill="auto"/>
            <w:noWrap/>
            <w:vAlign w:val="bottom"/>
            <w:hideMark/>
          </w:tcPr>
          <w:p w14:paraId="65B51E56" w14:textId="77777777" w:rsidR="0057797C" w:rsidRPr="00FD567C" w:rsidRDefault="0057797C" w:rsidP="005A41EC">
            <w:pPr>
              <w:spacing w:line="240" w:lineRule="auto"/>
              <w:jc w:val="center"/>
              <w:rPr>
                <w:rFonts w:cstheme="minorHAnsi"/>
                <w:b/>
                <w:bCs/>
                <w:color w:val="000000"/>
                <w:sz w:val="22"/>
                <w:szCs w:val="22"/>
                <w:lang w:bidi="ar-SA"/>
                <w14:ligatures w14:val="standardContextual"/>
              </w:rPr>
            </w:pPr>
            <w:r w:rsidRPr="00FD567C">
              <w:rPr>
                <w:rFonts w:cstheme="minorHAnsi"/>
                <w:b/>
                <w:bCs/>
                <w:color w:val="000000"/>
                <w:sz w:val="22"/>
                <w:szCs w:val="22"/>
                <w:lang w:bidi="ar-SA"/>
                <w14:ligatures w14:val="standardContextual"/>
              </w:rPr>
              <w:t>Spatial Resolution</w:t>
            </w:r>
          </w:p>
        </w:tc>
        <w:tc>
          <w:tcPr>
            <w:tcW w:w="1819" w:type="dxa"/>
            <w:tcBorders>
              <w:top w:val="single" w:sz="4" w:space="0" w:color="auto"/>
              <w:left w:val="nil"/>
              <w:bottom w:val="single" w:sz="4" w:space="0" w:color="auto"/>
              <w:right w:val="nil"/>
            </w:tcBorders>
            <w:shd w:val="clear" w:color="auto" w:fill="auto"/>
            <w:noWrap/>
            <w:vAlign w:val="bottom"/>
            <w:hideMark/>
          </w:tcPr>
          <w:p w14:paraId="7059ACF8" w14:textId="77777777" w:rsidR="0057797C" w:rsidRPr="00FD567C" w:rsidRDefault="0057797C" w:rsidP="005A41EC">
            <w:pPr>
              <w:spacing w:line="240" w:lineRule="auto"/>
              <w:jc w:val="center"/>
              <w:rPr>
                <w:rFonts w:cstheme="minorHAnsi"/>
                <w:b/>
                <w:bCs/>
                <w:color w:val="000000"/>
                <w:sz w:val="22"/>
                <w:szCs w:val="22"/>
                <w:lang w:bidi="ar-SA"/>
                <w14:ligatures w14:val="standardContextual"/>
              </w:rPr>
            </w:pPr>
            <w:r w:rsidRPr="00FD567C">
              <w:rPr>
                <w:rFonts w:cstheme="minorHAnsi"/>
                <w:b/>
                <w:bCs/>
                <w:color w:val="000000"/>
                <w:sz w:val="22"/>
                <w:szCs w:val="22"/>
                <w:lang w:bidi="ar-SA"/>
                <w14:ligatures w14:val="standardContextual"/>
              </w:rPr>
              <w:t>Temporal resolution</w:t>
            </w:r>
          </w:p>
        </w:tc>
        <w:tc>
          <w:tcPr>
            <w:tcW w:w="1781" w:type="dxa"/>
            <w:tcBorders>
              <w:top w:val="single" w:sz="4" w:space="0" w:color="auto"/>
              <w:left w:val="nil"/>
              <w:bottom w:val="single" w:sz="4" w:space="0" w:color="auto"/>
              <w:right w:val="nil"/>
            </w:tcBorders>
            <w:shd w:val="clear" w:color="auto" w:fill="auto"/>
            <w:noWrap/>
            <w:vAlign w:val="bottom"/>
            <w:hideMark/>
          </w:tcPr>
          <w:p w14:paraId="3B4D9D3B" w14:textId="77777777" w:rsidR="0057797C" w:rsidRPr="00FD567C" w:rsidRDefault="0057797C" w:rsidP="005A41EC">
            <w:pPr>
              <w:spacing w:line="240" w:lineRule="auto"/>
              <w:jc w:val="center"/>
              <w:rPr>
                <w:rFonts w:cstheme="minorHAnsi"/>
                <w:b/>
                <w:bCs/>
                <w:color w:val="000000"/>
                <w:sz w:val="22"/>
                <w:szCs w:val="22"/>
                <w:lang w:bidi="ar-SA"/>
                <w14:ligatures w14:val="standardContextual"/>
              </w:rPr>
            </w:pPr>
            <w:r w:rsidRPr="00FD567C">
              <w:rPr>
                <w:rFonts w:cstheme="minorHAnsi"/>
                <w:b/>
                <w:bCs/>
                <w:color w:val="000000"/>
                <w:sz w:val="22"/>
                <w:szCs w:val="22"/>
                <w:lang w:bidi="ar-SA"/>
                <w14:ligatures w14:val="standardContextual"/>
              </w:rPr>
              <w:t>Source</w:t>
            </w:r>
          </w:p>
        </w:tc>
      </w:tr>
      <w:tr w:rsidR="0057797C" w:rsidRPr="00FD567C" w14:paraId="7B610A66" w14:textId="77777777" w:rsidTr="004A2CFC">
        <w:trPr>
          <w:trHeight w:val="288"/>
        </w:trPr>
        <w:tc>
          <w:tcPr>
            <w:tcW w:w="1452" w:type="dxa"/>
            <w:tcBorders>
              <w:top w:val="nil"/>
              <w:left w:val="nil"/>
              <w:bottom w:val="nil"/>
              <w:right w:val="nil"/>
            </w:tcBorders>
            <w:shd w:val="clear" w:color="auto" w:fill="auto"/>
            <w:noWrap/>
            <w:vAlign w:val="bottom"/>
            <w:hideMark/>
          </w:tcPr>
          <w:p w14:paraId="2903ED85"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Developed Area</w:t>
            </w:r>
          </w:p>
        </w:tc>
        <w:tc>
          <w:tcPr>
            <w:tcW w:w="2740" w:type="dxa"/>
            <w:tcBorders>
              <w:top w:val="nil"/>
              <w:left w:val="nil"/>
              <w:bottom w:val="nil"/>
              <w:right w:val="nil"/>
            </w:tcBorders>
            <w:shd w:val="clear" w:color="auto" w:fill="auto"/>
            <w:noWrap/>
            <w:vAlign w:val="bottom"/>
            <w:hideMark/>
          </w:tcPr>
          <w:p w14:paraId="16BBC655"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Developed and undeveloped class</w:t>
            </w:r>
          </w:p>
        </w:tc>
        <w:tc>
          <w:tcPr>
            <w:tcW w:w="1155" w:type="dxa"/>
            <w:tcBorders>
              <w:top w:val="nil"/>
              <w:left w:val="nil"/>
              <w:bottom w:val="nil"/>
              <w:right w:val="nil"/>
            </w:tcBorders>
            <w:shd w:val="clear" w:color="auto" w:fill="auto"/>
            <w:noWrap/>
            <w:vAlign w:val="bottom"/>
            <w:hideMark/>
          </w:tcPr>
          <w:p w14:paraId="3CB47B81"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30m</w:t>
            </w:r>
          </w:p>
        </w:tc>
        <w:tc>
          <w:tcPr>
            <w:tcW w:w="1962" w:type="dxa"/>
            <w:gridSpan w:val="2"/>
            <w:tcBorders>
              <w:top w:val="nil"/>
              <w:left w:val="nil"/>
              <w:bottom w:val="nil"/>
              <w:right w:val="nil"/>
            </w:tcBorders>
            <w:shd w:val="clear" w:color="auto" w:fill="auto"/>
            <w:noWrap/>
            <w:vAlign w:val="bottom"/>
            <w:hideMark/>
          </w:tcPr>
          <w:p w14:paraId="72F2C86B"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Annual: 2001-2020</w:t>
            </w:r>
          </w:p>
        </w:tc>
        <w:tc>
          <w:tcPr>
            <w:tcW w:w="1781" w:type="dxa"/>
            <w:tcBorders>
              <w:top w:val="nil"/>
              <w:left w:val="nil"/>
              <w:bottom w:val="nil"/>
              <w:right w:val="nil"/>
            </w:tcBorders>
            <w:shd w:val="clear" w:color="auto" w:fill="auto"/>
            <w:noWrap/>
            <w:vAlign w:val="bottom"/>
            <w:hideMark/>
          </w:tcPr>
          <w:p w14:paraId="66FFB8CA" w14:textId="416F02E6" w:rsidR="0057797C" w:rsidRPr="00FD567C" w:rsidRDefault="007A21F2" w:rsidP="005A41EC">
            <w:pPr>
              <w:spacing w:line="240" w:lineRule="auto"/>
              <w:rPr>
                <w:rFonts w:cstheme="minorHAnsi"/>
                <w:color w:val="000000"/>
                <w:sz w:val="22"/>
                <w:szCs w:val="22"/>
                <w:lang w:bidi="ar-SA"/>
                <w14:ligatures w14:val="standardContextual"/>
              </w:rPr>
            </w:pPr>
            <w:r w:rsidRPr="00096F30">
              <w:rPr>
                <w:rFonts w:ascii="Times New Roman" w:hAnsi="Times New Roman"/>
                <w:color w:val="000000"/>
                <w:shd w:val="clear" w:color="auto" w:fill="FFFFFF"/>
              </w:rPr>
              <w:fldChar w:fldCharType="begin"/>
            </w:r>
            <w:r w:rsidRPr="00096F30">
              <w:rPr>
                <w:rFonts w:ascii="Times New Roman" w:hAnsi="Times New Roman"/>
                <w:color w:val="000000"/>
                <w:shd w:val="clear" w:color="auto" w:fill="FFFFFF"/>
              </w:rPr>
              <w:instrText xml:space="preserve"> ADDIN ZOTERO_ITEM CSL_CITATION {"citationID":"aVnQVqEN","properties":{"formattedCitation":"(Korah &amp; Wimberly, 2024a, 2024b)","plainCitation":"(Korah &amp; Wimberly, 2024a, 2024b)","noteIndex":0},"citationItems":[{"id":2032,"uris":["http://zotero.org/users/8906743/items/QJMXD7GI"],"itemData":{"id":2032,"type":"dataset","DOI":"10.6084/m9.figshare.24716481.v3","genre":"Dataset","publisher":"figshare","source":"figshare.com","title":"WADISC: Annual Impervious Surface Data for Ghana, Togo, Benin, and Nigeria from 2001 – 2020","URL":"https://doi.org/10.6084/m9.figshare.24716481.v3","author":[{"family":"Korah","given":"Andrews"},{"family":"Wimberly","given":"Michael"}],"issued":{"date-parts":[["2024"]]}}},{"id":2091,"uris":["http://zotero.org/users/8906743/items/ZYYWM79L"],"itemData":{"id":2091,"type":"article-journal","abstract":"Impervious surface data are increasingly important for research and planning. Despite the availability of global and local urban land cover maps, regional data are lacking in Africa. We generated annual 30 m impervious cover data from 2001–2020 for Ghana, Togo, Benin, and Nigeria using the Landsat archive. We used random forest to predict impervious cover using 11 spectral indices and applied pixel-level temporal segmentation with the LandTrendr algorithm. Processing with LandTrendr improved the accuracy of the random forest predictions, with higher predicted-observed r2 (0.81), and lower mean error (−0.03), mean absolute error (5.73%), and root mean squared error (9.93%). We classified pixels &gt;20% impervious as developed and &lt; = 20% impervious as undeveloped. This classification had 93% overall accuracy and similar producer’s (79%) and user’s (80%) accuracies for developed area. Our maps had higher accuracy and captured more developed areas than comparable global datasets. This is the first regionally calibrated 30 m resolution impervious dataset in West Africa, which can support research on drivers and impacts of urban expansion and planning for future growth.","container-title":"Scientific Data","DOI":"10.1038/s41597-024-03610-8","ISSN":"2052-4463","issue":"1","journalAbbreviation":"Sci Data","language":"en","license":"2024 The Author(s)","note":"publisher: Nature Publishing Group","page":"791","source":"www.nature.com","title":"Annual Impervious Surface Data from 2001–2020 for West African Countries: Ghana, Togo, Benin and Nigeria","title-short":"Annual Impervious Surface Data from 2001–2020 for West African Countries","URL":"https://www.nature.com/articles/s41597-024-03610-8","volume":"11","author":[{"family":"Korah","given":"Andrews"},{"family":"Wimberly","given":"Michael C."}],"accessed":{"date-parts":[["2024",7,18]]},"issued":{"date-parts":[["2024",7,18]]}}}],"schema":"https://github.com/citation-style-language/schema/raw/master/csl-citation.json"} </w:instrText>
            </w:r>
            <w:r w:rsidRPr="00096F30">
              <w:rPr>
                <w:rFonts w:ascii="Times New Roman" w:hAnsi="Times New Roman"/>
                <w:color w:val="000000"/>
                <w:shd w:val="clear" w:color="auto" w:fill="FFFFFF"/>
              </w:rPr>
              <w:fldChar w:fldCharType="separate"/>
            </w:r>
            <w:r w:rsidRPr="00096F30">
              <w:rPr>
                <w:rFonts w:ascii="Times New Roman" w:hAnsi="Times New Roman"/>
              </w:rPr>
              <w:t>(Korah &amp; Wimberly, 2024a, 2024b)</w:t>
            </w:r>
            <w:r w:rsidRPr="00096F30">
              <w:rPr>
                <w:rFonts w:ascii="Times New Roman" w:hAnsi="Times New Roman"/>
                <w:color w:val="000000"/>
                <w:shd w:val="clear" w:color="auto" w:fill="FFFFFF"/>
              </w:rPr>
              <w:fldChar w:fldCharType="end"/>
            </w:r>
            <w:r w:rsidR="0020033A" w:rsidRPr="00FD567C">
              <w:rPr>
                <w:rFonts w:cstheme="minorHAnsi"/>
                <w:color w:val="000000"/>
                <w:sz w:val="22"/>
                <w:szCs w:val="22"/>
                <w:lang w:bidi="ar-SA"/>
                <w14:ligatures w14:val="standardContextual"/>
              </w:rPr>
              <w:t xml:space="preserve"> </w:t>
            </w:r>
          </w:p>
        </w:tc>
      </w:tr>
      <w:tr w:rsidR="0057797C" w:rsidRPr="00301BF5" w14:paraId="3EE7C42B" w14:textId="77777777" w:rsidTr="004A2CFC">
        <w:trPr>
          <w:trHeight w:val="288"/>
        </w:trPr>
        <w:tc>
          <w:tcPr>
            <w:tcW w:w="1452" w:type="dxa"/>
            <w:tcBorders>
              <w:top w:val="nil"/>
              <w:left w:val="nil"/>
              <w:bottom w:val="nil"/>
              <w:right w:val="nil"/>
            </w:tcBorders>
            <w:shd w:val="clear" w:color="auto" w:fill="auto"/>
            <w:noWrap/>
            <w:vAlign w:val="bottom"/>
            <w:hideMark/>
          </w:tcPr>
          <w:p w14:paraId="54D8F645"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Social</w:t>
            </w:r>
          </w:p>
        </w:tc>
        <w:tc>
          <w:tcPr>
            <w:tcW w:w="2740" w:type="dxa"/>
            <w:tcBorders>
              <w:top w:val="nil"/>
              <w:left w:val="nil"/>
              <w:bottom w:val="nil"/>
              <w:right w:val="nil"/>
            </w:tcBorders>
            <w:shd w:val="clear" w:color="auto" w:fill="auto"/>
            <w:noWrap/>
            <w:vAlign w:val="bottom"/>
            <w:hideMark/>
          </w:tcPr>
          <w:p w14:paraId="226CA1CA" w14:textId="77777777" w:rsidR="0057797C" w:rsidRPr="00FD567C" w:rsidRDefault="0057797C" w:rsidP="005A41EC">
            <w:pPr>
              <w:spacing w:line="240" w:lineRule="auto"/>
              <w:rPr>
                <w:rFonts w:cstheme="minorHAnsi"/>
                <w:color w:val="000000"/>
                <w:sz w:val="22"/>
                <w:szCs w:val="22"/>
                <w:lang w:bidi="ar-SA"/>
                <w14:ligatures w14:val="standardContextual"/>
              </w:rPr>
            </w:pPr>
          </w:p>
          <w:p w14:paraId="3C878B5D"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 xml:space="preserve">Historical population </w:t>
            </w:r>
          </w:p>
          <w:p w14:paraId="36FA457A"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Population projections</w:t>
            </w:r>
          </w:p>
        </w:tc>
        <w:tc>
          <w:tcPr>
            <w:tcW w:w="1155" w:type="dxa"/>
            <w:tcBorders>
              <w:top w:val="nil"/>
              <w:left w:val="nil"/>
              <w:bottom w:val="nil"/>
              <w:right w:val="nil"/>
            </w:tcBorders>
            <w:shd w:val="clear" w:color="auto" w:fill="auto"/>
            <w:noWrap/>
            <w:vAlign w:val="bottom"/>
            <w:hideMark/>
          </w:tcPr>
          <w:p w14:paraId="3A48393B"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NA</w:t>
            </w:r>
          </w:p>
        </w:tc>
        <w:tc>
          <w:tcPr>
            <w:tcW w:w="1962" w:type="dxa"/>
            <w:gridSpan w:val="2"/>
            <w:tcBorders>
              <w:top w:val="nil"/>
              <w:left w:val="nil"/>
              <w:bottom w:val="nil"/>
              <w:right w:val="nil"/>
            </w:tcBorders>
            <w:shd w:val="clear" w:color="auto" w:fill="auto"/>
            <w:noWrap/>
            <w:vAlign w:val="bottom"/>
            <w:hideMark/>
          </w:tcPr>
          <w:p w14:paraId="7FC85316"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Annual: 2001-2015</w:t>
            </w:r>
          </w:p>
          <w:p w14:paraId="43287E36"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Annual: 2016-2050</w:t>
            </w:r>
          </w:p>
        </w:tc>
        <w:tc>
          <w:tcPr>
            <w:tcW w:w="1781" w:type="dxa"/>
            <w:tcBorders>
              <w:top w:val="nil"/>
              <w:left w:val="nil"/>
              <w:bottom w:val="nil"/>
              <w:right w:val="nil"/>
            </w:tcBorders>
            <w:shd w:val="clear" w:color="auto" w:fill="auto"/>
            <w:noWrap/>
            <w:vAlign w:val="bottom"/>
            <w:hideMark/>
          </w:tcPr>
          <w:p w14:paraId="037EA3FB" w14:textId="77777777" w:rsidR="0057797C" w:rsidRPr="00116434" w:rsidRDefault="0057797C" w:rsidP="005A41EC">
            <w:pPr>
              <w:spacing w:line="240" w:lineRule="auto"/>
              <w:rPr>
                <w:rFonts w:cstheme="minorHAnsi"/>
                <w:color w:val="000000"/>
                <w:sz w:val="22"/>
                <w:szCs w:val="22"/>
                <w:lang w:val="fr-FR" w:bidi="ar-SA"/>
                <w14:ligatures w14:val="standardContextual"/>
              </w:rPr>
            </w:pPr>
          </w:p>
          <w:p w14:paraId="2C6576CD" w14:textId="77777777" w:rsidR="0057797C" w:rsidRPr="0057797C" w:rsidRDefault="0057797C" w:rsidP="005A41EC">
            <w:pPr>
              <w:spacing w:line="240" w:lineRule="auto"/>
              <w:rPr>
                <w:rFonts w:cstheme="minorHAnsi"/>
                <w:color w:val="000000"/>
                <w:sz w:val="22"/>
                <w:szCs w:val="22"/>
                <w:lang w:val="fr-FR" w:bidi="ar-SA"/>
                <w14:ligatures w14:val="standardContextual"/>
              </w:rPr>
            </w:pPr>
            <w:r w:rsidRPr="0057797C">
              <w:rPr>
                <w:rFonts w:cstheme="minorHAnsi"/>
                <w:color w:val="000000"/>
                <w:sz w:val="22"/>
                <w:szCs w:val="22"/>
                <w:lang w:val="fr-FR" w:bidi="ar-SA"/>
              </w:rPr>
              <w:fldChar w:fldCharType="begin"/>
            </w:r>
            <w:r w:rsidRPr="00116434">
              <w:rPr>
                <w:rFonts w:cstheme="minorHAnsi"/>
                <w:color w:val="000000"/>
                <w:sz w:val="22"/>
                <w:szCs w:val="22"/>
                <w:lang w:val="fr-FR" w:bidi="ar-SA"/>
              </w:rPr>
              <w:instrText xml:space="preserve"> ADDIN ZOTERO_ITEM CSL_CITATION {"citationID":"3zH5ZGjF","properties":{"formattedCitation":"(Bondarenko et al., 2020)","plainCitation":"(Bondarenko et al., 2020)","noteIndex":0},"citationItems":[{"id":2076,"uris":["http://zotero.org/users/8906743/items/PUQ9NBWC"],"itemData":{"id":2076,"type":"dataset","abstract":"Census/projection-disaggregated gridded population datasets, adjusted to match the corresponding UNPD 2020 estimates, for 51 countries across sub-Saharan Africa using building footprints. Source of building footprints \"Ecopia Vector Maps</w:instrText>
            </w:r>
            <w:r w:rsidRPr="0057797C">
              <w:rPr>
                <w:rFonts w:cstheme="minorHAnsi"/>
                <w:color w:val="000000"/>
                <w:sz w:val="22"/>
                <w:szCs w:val="22"/>
                <w:lang w:val="fr-FR" w:bidi="ar-SA"/>
              </w:rPr>
              <w:instrText xml:space="preserve"> Powered by Maxar Satellite Imagery\" © 2020.","DOI":"10.5258/SOTON/WP00683","publisher":"University of Southampton","source":"DOI.org (Datacite)","title":"Census/projection-disaggregated gridded population datasets, adjusted to match the corresponding UNPD 2020 estimates, for 51 countries across sub-Saharan Africa using building footprints","URL":"https://www.worldpop.org/doi/10.5258/SOTON/WP00683","author":[{"family":"Bondarenko","given":"Maksym"},{"family":"Kerr","given":"David"},{"family":"Sorichetta","given":"Alessandro"},{"family":"Tatem","given":"Andrew"},{"literal":"WorldPop,"}],"accessed":{"date-parts":[["2024",6,21]]},"issued":{"date-parts":[["2020"]]}}}],"schema":"https://github.com/citation-style-language/schema/raw/master/csl-citation.json"} </w:instrText>
            </w:r>
            <w:r w:rsidRPr="0057797C">
              <w:rPr>
                <w:rFonts w:cstheme="minorHAnsi"/>
                <w:color w:val="000000"/>
                <w:sz w:val="22"/>
                <w:szCs w:val="22"/>
                <w:lang w:val="fr-FR" w:bidi="ar-SA"/>
              </w:rPr>
              <w:fldChar w:fldCharType="separate"/>
            </w:r>
            <w:r w:rsidRPr="0057797C">
              <w:rPr>
                <w:rFonts w:ascii="Aptos" w:hAnsi="Aptos"/>
                <w:sz w:val="22"/>
                <w:lang w:val="fr-FR"/>
              </w:rPr>
              <w:t>(Bondarenko et al., 2020)</w:t>
            </w:r>
            <w:r w:rsidRPr="0057797C">
              <w:rPr>
                <w:rFonts w:cstheme="minorHAnsi"/>
                <w:color w:val="000000"/>
                <w:sz w:val="22"/>
                <w:szCs w:val="22"/>
                <w:lang w:val="fr-FR" w:bidi="ar-SA"/>
              </w:rPr>
              <w:fldChar w:fldCharType="end"/>
            </w:r>
          </w:p>
          <w:p w14:paraId="4B8B6D2A" w14:textId="77777777" w:rsidR="0057797C" w:rsidRPr="0057797C" w:rsidRDefault="0057797C" w:rsidP="005A41EC">
            <w:pPr>
              <w:spacing w:line="240" w:lineRule="auto"/>
              <w:rPr>
                <w:rFonts w:cstheme="minorHAnsi"/>
                <w:color w:val="000000"/>
                <w:sz w:val="22"/>
                <w:szCs w:val="22"/>
                <w:lang w:val="fr-FR" w:bidi="ar-SA"/>
                <w14:ligatures w14:val="standardContextual"/>
              </w:rPr>
            </w:pPr>
            <w:r w:rsidRPr="0057797C">
              <w:rPr>
                <w:rFonts w:cstheme="minorHAnsi"/>
                <w:color w:val="000000"/>
                <w:sz w:val="22"/>
                <w:szCs w:val="22"/>
                <w:lang w:val="fr-FR" w:bidi="ar-SA"/>
              </w:rPr>
              <w:fldChar w:fldCharType="begin"/>
            </w:r>
            <w:r w:rsidRPr="0057797C">
              <w:rPr>
                <w:rFonts w:cstheme="minorHAnsi"/>
                <w:color w:val="000000"/>
                <w:sz w:val="22"/>
                <w:szCs w:val="22"/>
                <w:lang w:val="fr-FR" w:bidi="ar-SA"/>
              </w:rPr>
              <w:instrText xml:space="preserve"> ADDIN ZOTERO_ITEM CSL_CITATION {"citationID":"l8EvZKwA","properties":{"formattedCitation":"(United Nations et al., 2022)","plainCitation":"(United Nations et al., 2022)","noteIndex":0},"citationItems":[{"id":807,"uris":["http://zotero.org/users/8906743/items/4QE2VQWD"],"itemData":{"id":807,"type":"webpage","title":"World Population Prospects 2022, Online Edition","URL":"https://population.un.org/wpp/","author":[{"family":"United Nations et al.","given":""}],"accessed":{"date-parts":[["2023",7,27]]},"issued":{"date-parts":[["2022"]]}}}],"schema":"https://github.com/citation-style-language/schema/raw/master/csl-citation.json"} </w:instrText>
            </w:r>
            <w:r w:rsidRPr="0057797C">
              <w:rPr>
                <w:rFonts w:cstheme="minorHAnsi"/>
                <w:color w:val="000000"/>
                <w:sz w:val="22"/>
                <w:szCs w:val="22"/>
                <w:lang w:val="fr-FR" w:bidi="ar-SA"/>
              </w:rPr>
              <w:fldChar w:fldCharType="separate"/>
            </w:r>
            <w:r w:rsidRPr="0057797C">
              <w:rPr>
                <w:rFonts w:ascii="Aptos" w:hAnsi="Aptos"/>
                <w:sz w:val="22"/>
                <w:lang w:val="fr-FR"/>
              </w:rPr>
              <w:t>(United Nations et al., 2022)</w:t>
            </w:r>
            <w:r w:rsidRPr="0057797C">
              <w:rPr>
                <w:rFonts w:cstheme="minorHAnsi"/>
                <w:color w:val="000000"/>
                <w:sz w:val="22"/>
                <w:szCs w:val="22"/>
                <w:lang w:val="fr-FR" w:bidi="ar-SA"/>
              </w:rPr>
              <w:fldChar w:fldCharType="end"/>
            </w:r>
          </w:p>
        </w:tc>
      </w:tr>
      <w:tr w:rsidR="0057797C" w:rsidRPr="00434B6A" w14:paraId="1A07DFA5" w14:textId="77777777" w:rsidTr="004A2CFC">
        <w:trPr>
          <w:trHeight w:val="288"/>
        </w:trPr>
        <w:tc>
          <w:tcPr>
            <w:tcW w:w="1452" w:type="dxa"/>
            <w:tcBorders>
              <w:top w:val="nil"/>
              <w:left w:val="nil"/>
              <w:bottom w:val="nil"/>
              <w:right w:val="nil"/>
            </w:tcBorders>
            <w:shd w:val="clear" w:color="auto" w:fill="auto"/>
            <w:noWrap/>
            <w:vAlign w:val="bottom"/>
            <w:hideMark/>
          </w:tcPr>
          <w:p w14:paraId="5C5D6C47"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Topography</w:t>
            </w:r>
          </w:p>
        </w:tc>
        <w:tc>
          <w:tcPr>
            <w:tcW w:w="2740" w:type="dxa"/>
            <w:tcBorders>
              <w:top w:val="nil"/>
              <w:left w:val="nil"/>
              <w:bottom w:val="nil"/>
              <w:right w:val="nil"/>
            </w:tcBorders>
            <w:shd w:val="clear" w:color="auto" w:fill="auto"/>
            <w:noWrap/>
            <w:vAlign w:val="bottom"/>
            <w:hideMark/>
          </w:tcPr>
          <w:p w14:paraId="070FC4A6" w14:textId="77777777" w:rsidR="0057797C" w:rsidRPr="00FD567C" w:rsidRDefault="0057797C" w:rsidP="005A41EC">
            <w:pPr>
              <w:spacing w:line="240" w:lineRule="auto"/>
              <w:rPr>
                <w:rFonts w:cstheme="minorHAnsi"/>
                <w:color w:val="000000"/>
                <w:sz w:val="22"/>
                <w:szCs w:val="22"/>
                <w:lang w:bidi="ar-SA"/>
                <w14:ligatures w14:val="standardContextual"/>
              </w:rPr>
            </w:pPr>
          </w:p>
          <w:p w14:paraId="02F7DA84"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Elevation</w:t>
            </w:r>
          </w:p>
          <w:p w14:paraId="7986B4FE"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Slope</w:t>
            </w:r>
          </w:p>
          <w:p w14:paraId="3FDA7993"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Hillshade</w:t>
            </w:r>
          </w:p>
        </w:tc>
        <w:tc>
          <w:tcPr>
            <w:tcW w:w="1155" w:type="dxa"/>
            <w:tcBorders>
              <w:top w:val="nil"/>
              <w:left w:val="nil"/>
              <w:bottom w:val="nil"/>
              <w:right w:val="nil"/>
            </w:tcBorders>
            <w:shd w:val="clear" w:color="auto" w:fill="auto"/>
            <w:noWrap/>
            <w:vAlign w:val="bottom"/>
            <w:hideMark/>
          </w:tcPr>
          <w:p w14:paraId="3B76CC34"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30m</w:t>
            </w:r>
          </w:p>
        </w:tc>
        <w:tc>
          <w:tcPr>
            <w:tcW w:w="1962" w:type="dxa"/>
            <w:gridSpan w:val="2"/>
            <w:tcBorders>
              <w:top w:val="nil"/>
              <w:left w:val="nil"/>
              <w:bottom w:val="nil"/>
              <w:right w:val="nil"/>
            </w:tcBorders>
            <w:shd w:val="clear" w:color="auto" w:fill="auto"/>
            <w:noWrap/>
            <w:vAlign w:val="bottom"/>
            <w:hideMark/>
          </w:tcPr>
          <w:p w14:paraId="5784AB86"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One year: 2000</w:t>
            </w:r>
          </w:p>
        </w:tc>
        <w:tc>
          <w:tcPr>
            <w:tcW w:w="1781" w:type="dxa"/>
            <w:tcBorders>
              <w:top w:val="nil"/>
              <w:left w:val="nil"/>
              <w:bottom w:val="nil"/>
              <w:right w:val="nil"/>
            </w:tcBorders>
            <w:shd w:val="clear" w:color="auto" w:fill="auto"/>
            <w:noWrap/>
            <w:vAlign w:val="bottom"/>
            <w:hideMark/>
          </w:tcPr>
          <w:p w14:paraId="17B51C35" w14:textId="77777777" w:rsidR="0057797C" w:rsidRPr="0057797C" w:rsidRDefault="0057797C" w:rsidP="005A41EC">
            <w:pPr>
              <w:spacing w:line="240" w:lineRule="auto"/>
              <w:rPr>
                <w:rFonts w:cstheme="minorHAnsi"/>
                <w:color w:val="000000"/>
                <w:sz w:val="22"/>
                <w:szCs w:val="22"/>
                <w:lang w:val="fr-FR" w:bidi="ar-SA"/>
                <w14:ligatures w14:val="standardContextual"/>
              </w:rPr>
            </w:pPr>
            <w:r w:rsidRPr="0057797C">
              <w:rPr>
                <w:rFonts w:cstheme="minorHAnsi"/>
                <w:color w:val="000000"/>
                <w:sz w:val="22"/>
                <w:szCs w:val="22"/>
                <w:lang w:bidi="ar-SA"/>
              </w:rPr>
              <w:fldChar w:fldCharType="begin"/>
            </w:r>
            <w:r w:rsidRPr="0057797C">
              <w:rPr>
                <w:rFonts w:cstheme="minorHAnsi"/>
                <w:color w:val="000000"/>
                <w:sz w:val="22"/>
                <w:szCs w:val="22"/>
                <w:lang w:val="fr-FR" w:bidi="ar-SA"/>
              </w:rPr>
              <w:instrText xml:space="preserve"> ADDIN ZOTERO_ITEM CSL_CITATION {"citationID":"1gitzj8y","properties":{"formattedCitation":"(Farr et al., 2007)","plainCitation":"(Farr et al., 2007)","noteIndex":0},"citationItems":[{"id":2081,"uris":["http://zotero.org/users/8906743/items/BMDRZPU2"],"itemData":{"id":2081,"type":"article-journal","abstract":"The Shuttle Radar Topography Mission produced the most complete, highest-resolution digital elevation model of the Earth. The project was a joint endeavor of NASA, the National Geospatial-Intelligence Agency, and the German and Italian Space Agencies and flew in February 2000. It used dual radar antennas to acquire interferometric radar data, processed to digital topographic data at 1 arc sec resolution. Details of the development, flight operations, data processing, and products are provided for users of this revolutionary data set.","container-title":"Reviews of Geophysics","DOI":"10.1029/2005RG000183","ISSN":"1944-9208","issue":"2","language":"en","license":"Copyright 2007 by the American Geophysical Union.","note":"_eprint: https://onlinelibrary.wiley.com/doi/pdf/10.1029/2005RG000183","source":"Wiley Online Library","title":"The Shuttle Radar Topography Mission","URL":"https://onlinelibrary.wiley.com/doi/abs/10.1029/2005RG000183","volume":"45","author":[{"family":"Farr","given":"Tom G."},{"family":"Rosen","given":"Paul A."},{"family":"Caro","given":"Edward"},{"family":"Crippen","given":"Robert"},{"family":"Duren","given":"Riley"},{"family":"Hensley","given":"Scott"},{"family":"Kobrick","given":"Michael"},{"family":"Paller","given":"Mimi"},{"family":"Rodriguez","given":"Ernesto"},{"family":"Roth","given":"Ladislav"},{"family":"Seal","given":"David"},{"family":"Shaffer","given":"Scott"},{"family":"Shimada","given":"Joanne"},{"family":"Umland","given":"Jeffrey"},{"family":"Werner","given":"Marian"},{"family":"Oskin","given":"Michael"},{"family":"Burbank","given":"Douglas"},{"family":"Alsdorf","given":"Douglas"}],"accessed":{"date-parts":[["2024",6,21]]},"issued":{"date-parts":[["2007"]]}}}],"schema":"https://github.com/citation-style-language/schema/raw/master/csl-citation.json"} </w:instrText>
            </w:r>
            <w:r w:rsidRPr="0057797C">
              <w:rPr>
                <w:rFonts w:cstheme="minorHAnsi"/>
                <w:color w:val="000000"/>
                <w:sz w:val="22"/>
                <w:szCs w:val="22"/>
                <w:lang w:bidi="ar-SA"/>
              </w:rPr>
              <w:fldChar w:fldCharType="separate"/>
            </w:r>
            <w:r w:rsidRPr="0057797C">
              <w:rPr>
                <w:rFonts w:ascii="Aptos" w:hAnsi="Aptos"/>
                <w:sz w:val="22"/>
                <w:lang w:val="fr-FR"/>
              </w:rPr>
              <w:t>(Farr et al., 2007)</w:t>
            </w:r>
            <w:r w:rsidRPr="0057797C">
              <w:rPr>
                <w:rFonts w:cstheme="minorHAnsi"/>
                <w:color w:val="000000"/>
                <w:sz w:val="22"/>
                <w:szCs w:val="22"/>
                <w:lang w:bidi="ar-SA"/>
              </w:rPr>
              <w:fldChar w:fldCharType="end"/>
            </w:r>
          </w:p>
        </w:tc>
      </w:tr>
      <w:tr w:rsidR="00CB64DC" w:rsidRPr="00434B6A" w14:paraId="533AD504" w14:textId="77777777" w:rsidTr="004A2CFC">
        <w:trPr>
          <w:trHeight w:val="288"/>
        </w:trPr>
        <w:tc>
          <w:tcPr>
            <w:tcW w:w="1452" w:type="dxa"/>
            <w:tcBorders>
              <w:top w:val="nil"/>
              <w:left w:val="nil"/>
              <w:bottom w:val="nil"/>
              <w:right w:val="nil"/>
            </w:tcBorders>
            <w:shd w:val="clear" w:color="auto" w:fill="auto"/>
            <w:noWrap/>
            <w:vAlign w:val="bottom"/>
          </w:tcPr>
          <w:p w14:paraId="20907DA7" w14:textId="77777777" w:rsidR="00CB64DC" w:rsidRDefault="00CB64DC" w:rsidP="005A41EC">
            <w:pPr>
              <w:spacing w:line="240" w:lineRule="auto"/>
              <w:rPr>
                <w:rFonts w:cstheme="minorHAnsi"/>
                <w:color w:val="000000"/>
                <w:sz w:val="22"/>
                <w:szCs w:val="22"/>
                <w:lang w:bidi="ar-SA"/>
                <w14:ligatures w14:val="standardContextual"/>
              </w:rPr>
            </w:pPr>
          </w:p>
          <w:p w14:paraId="15D5FFE0" w14:textId="1BF812BF" w:rsidR="00CB64DC" w:rsidRPr="00FD567C" w:rsidRDefault="00CB64DC" w:rsidP="005A41EC">
            <w:pPr>
              <w:spacing w:line="240" w:lineRule="auto"/>
              <w:rPr>
                <w:rFonts w:cstheme="minorHAnsi"/>
                <w:color w:val="000000"/>
                <w:sz w:val="22"/>
                <w:szCs w:val="22"/>
                <w:lang w:bidi="ar-SA"/>
                <w14:ligatures w14:val="standardContextual"/>
              </w:rPr>
            </w:pPr>
            <w:r>
              <w:rPr>
                <w:rFonts w:cstheme="minorHAnsi"/>
                <w:color w:val="000000"/>
                <w:sz w:val="22"/>
                <w:szCs w:val="22"/>
                <w:lang w:bidi="ar-SA"/>
                <w14:ligatures w14:val="standardContextual"/>
              </w:rPr>
              <w:t>Water Resources</w:t>
            </w:r>
          </w:p>
        </w:tc>
        <w:tc>
          <w:tcPr>
            <w:tcW w:w="2740" w:type="dxa"/>
            <w:tcBorders>
              <w:top w:val="nil"/>
              <w:left w:val="nil"/>
              <w:bottom w:val="nil"/>
              <w:right w:val="nil"/>
            </w:tcBorders>
            <w:shd w:val="clear" w:color="auto" w:fill="auto"/>
            <w:noWrap/>
            <w:vAlign w:val="bottom"/>
          </w:tcPr>
          <w:p w14:paraId="7214D6FA" w14:textId="77777777" w:rsidR="00CB64DC" w:rsidRDefault="006541DB" w:rsidP="005A41EC">
            <w:pPr>
              <w:spacing w:line="240" w:lineRule="auto"/>
              <w:rPr>
                <w:rFonts w:cstheme="minorHAnsi"/>
                <w:color w:val="000000"/>
                <w:sz w:val="22"/>
                <w:szCs w:val="22"/>
                <w:lang w:bidi="ar-SA"/>
                <w14:ligatures w14:val="standardContextual"/>
              </w:rPr>
            </w:pPr>
            <w:r>
              <w:rPr>
                <w:rFonts w:cstheme="minorHAnsi"/>
                <w:color w:val="000000"/>
                <w:sz w:val="22"/>
                <w:szCs w:val="22"/>
                <w:lang w:bidi="ar-SA"/>
                <w14:ligatures w14:val="standardContextual"/>
              </w:rPr>
              <w:t>D</w:t>
            </w:r>
            <w:r w:rsidR="00CB64DC">
              <w:rPr>
                <w:rFonts w:cstheme="minorHAnsi"/>
                <w:color w:val="000000"/>
                <w:sz w:val="22"/>
                <w:szCs w:val="22"/>
                <w:lang w:bidi="ar-SA"/>
                <w14:ligatures w14:val="standardContextual"/>
              </w:rPr>
              <w:t>is</w:t>
            </w:r>
            <w:r>
              <w:rPr>
                <w:rFonts w:cstheme="minorHAnsi"/>
                <w:color w:val="000000"/>
                <w:sz w:val="22"/>
                <w:szCs w:val="22"/>
                <w:lang w:bidi="ar-SA"/>
                <w14:ligatures w14:val="standardContextual"/>
              </w:rPr>
              <w:t>tance to lakes</w:t>
            </w:r>
          </w:p>
          <w:p w14:paraId="4DC5FFAD" w14:textId="3F63D4C3" w:rsidR="006541DB" w:rsidRPr="00FD567C" w:rsidRDefault="006541DB" w:rsidP="005A41EC">
            <w:pPr>
              <w:spacing w:line="240" w:lineRule="auto"/>
              <w:rPr>
                <w:rFonts w:cstheme="minorHAnsi"/>
                <w:color w:val="000000"/>
                <w:sz w:val="22"/>
                <w:szCs w:val="22"/>
                <w:lang w:bidi="ar-SA"/>
                <w14:ligatures w14:val="standardContextual"/>
              </w:rPr>
            </w:pPr>
            <w:r>
              <w:rPr>
                <w:rFonts w:cstheme="minorHAnsi"/>
                <w:color w:val="000000"/>
                <w:sz w:val="22"/>
                <w:szCs w:val="22"/>
                <w:lang w:bidi="ar-SA"/>
                <w14:ligatures w14:val="standardContextual"/>
              </w:rPr>
              <w:t>Distance to rivers</w:t>
            </w:r>
          </w:p>
        </w:tc>
        <w:tc>
          <w:tcPr>
            <w:tcW w:w="1155" w:type="dxa"/>
            <w:tcBorders>
              <w:top w:val="nil"/>
              <w:left w:val="nil"/>
              <w:bottom w:val="nil"/>
              <w:right w:val="nil"/>
            </w:tcBorders>
            <w:shd w:val="clear" w:color="auto" w:fill="auto"/>
            <w:noWrap/>
            <w:vAlign w:val="bottom"/>
          </w:tcPr>
          <w:p w14:paraId="3FEE7EBE" w14:textId="5E2335D2" w:rsidR="00CB64DC" w:rsidRPr="00FD567C" w:rsidRDefault="006541DB" w:rsidP="005A41EC">
            <w:pPr>
              <w:spacing w:line="240" w:lineRule="auto"/>
              <w:rPr>
                <w:rFonts w:cstheme="minorHAnsi"/>
                <w:color w:val="000000"/>
                <w:sz w:val="22"/>
                <w:szCs w:val="22"/>
                <w:lang w:bidi="ar-SA"/>
                <w14:ligatures w14:val="standardContextual"/>
              </w:rPr>
            </w:pPr>
            <w:r>
              <w:rPr>
                <w:rFonts w:cstheme="minorHAnsi"/>
                <w:color w:val="000000"/>
                <w:sz w:val="22"/>
                <w:szCs w:val="22"/>
                <w:lang w:bidi="ar-SA"/>
                <w14:ligatures w14:val="standardContextual"/>
              </w:rPr>
              <w:t>NA</w:t>
            </w:r>
          </w:p>
        </w:tc>
        <w:tc>
          <w:tcPr>
            <w:tcW w:w="1962" w:type="dxa"/>
            <w:gridSpan w:val="2"/>
            <w:tcBorders>
              <w:top w:val="nil"/>
              <w:left w:val="nil"/>
              <w:bottom w:val="nil"/>
              <w:right w:val="nil"/>
            </w:tcBorders>
            <w:shd w:val="clear" w:color="auto" w:fill="auto"/>
            <w:noWrap/>
            <w:vAlign w:val="bottom"/>
          </w:tcPr>
          <w:p w14:paraId="3B811245" w14:textId="34A1BD76" w:rsidR="00CB64DC" w:rsidRPr="00FD567C" w:rsidRDefault="006541DB" w:rsidP="005A41EC">
            <w:pPr>
              <w:spacing w:line="240" w:lineRule="auto"/>
              <w:rPr>
                <w:rFonts w:cstheme="minorHAnsi"/>
                <w:color w:val="000000"/>
                <w:sz w:val="22"/>
                <w:szCs w:val="22"/>
                <w:lang w:bidi="ar-SA"/>
                <w14:ligatures w14:val="standardContextual"/>
              </w:rPr>
            </w:pPr>
            <w:r>
              <w:rPr>
                <w:rFonts w:cstheme="minorHAnsi"/>
                <w:color w:val="000000"/>
                <w:sz w:val="22"/>
                <w:szCs w:val="22"/>
                <w:lang w:bidi="ar-SA"/>
                <w14:ligatures w14:val="standardContextual"/>
              </w:rPr>
              <w:t>One year: 2019</w:t>
            </w:r>
          </w:p>
        </w:tc>
        <w:tc>
          <w:tcPr>
            <w:tcW w:w="1781" w:type="dxa"/>
            <w:tcBorders>
              <w:top w:val="nil"/>
              <w:left w:val="nil"/>
              <w:bottom w:val="nil"/>
              <w:right w:val="nil"/>
            </w:tcBorders>
            <w:shd w:val="clear" w:color="auto" w:fill="auto"/>
            <w:noWrap/>
            <w:vAlign w:val="bottom"/>
          </w:tcPr>
          <w:p w14:paraId="61A6B356" w14:textId="36BE3AAE" w:rsidR="00CB64DC" w:rsidRPr="0057797C" w:rsidRDefault="0015153B" w:rsidP="005A41EC">
            <w:pPr>
              <w:spacing w:line="240" w:lineRule="auto"/>
              <w:rPr>
                <w:rFonts w:cstheme="minorHAnsi"/>
                <w:color w:val="000000"/>
                <w:sz w:val="22"/>
                <w:szCs w:val="22"/>
                <w:lang w:bidi="ar-SA"/>
              </w:rPr>
            </w:pPr>
            <w:r w:rsidRPr="0015153B">
              <w:rPr>
                <w:rFonts w:cstheme="minorHAnsi"/>
                <w:color w:val="000000"/>
                <w:sz w:val="22"/>
                <w:szCs w:val="22"/>
                <w:lang w:bidi="ar-SA"/>
              </w:rPr>
              <w:fldChar w:fldCharType="begin"/>
            </w:r>
            <w:r w:rsidRPr="0015153B">
              <w:rPr>
                <w:rFonts w:cstheme="minorHAnsi"/>
                <w:color w:val="000000"/>
                <w:sz w:val="22"/>
                <w:szCs w:val="22"/>
                <w:lang w:bidi="ar-SA"/>
              </w:rPr>
              <w:instrText xml:space="preserve"> ADDIN ZOTERO_ITEM CSL_CITATION {"citationID":"fpSheASn","properties":{"formattedCitation":"(Yan et al., 2019)","plainCitation":"(Yan et al., 2019)","noteIndex":0},"citationItems":[{"id":2085,"uris":["http://zotero.org/users/8906743/items/ZFNHEPAE"],"itemData":{"id":2085,"type":"article-journal","abstract":"As basic data, the river networks and water resources zones (WRZ) are critical for planning, utilization, development, conservation and management of water resources. Currently, the river network and WRZ of world are most obtained based on digital elevation model data automatically, which are not accuracy enough, especially in plains. In addition, the WRZ code is inconsistent with the river network, hindering the efficiency of data in hydrology and water resources research. Based on the global 90-meter DEM data combined with a large number of auxiliary data, this paper proposed a series of methods for generating river network and water resources zones, and then obtained high-precision global river network and corresponding WRZs at level 1 to 4. The dataset provides generated rivers with high prevision and more accurate position, reasonable basin boundaries especially in inland and plain area, also the first set of global WRZ at level 1 to 4 with unified code. It can provide an important basis and support for reasonable use of water resources and sustainable social development in the world.","container-title":"Scientific Data","DOI":"10.1038/s41597-019-0243-y","ISSN":"2052-4463","issue":"1","journalAbbreviation":"Sci Data","language":"en","license":"2019 The Author(s)","note":"publisher: Nature Publishing Group","page":"219","source":"www.nature.com","title":"A data set of global river networks and corresponding water resources zones divisions","URL":"https://www.nature.com/articles/s41597-019-0243-y","volume":"6","author":[{"family":"Yan","given":"Denghua"},{"family":"Wang","given":"Kun"},{"family":"Qin","given":"Tianling"},{"family":"Weng","given":"Baisha"},{"family":"Wang","given":"Hao"},{"family":"Bi","given":"Wuxia"},{"family":"Li","given":"Xiangnan"},{"family":"Li","given":"Meng"},{"family":"Lv","given":"Zhenyu"},{"family":"Liu","given":"Fang"},{"family":"He","given":"Shan"},{"family":"Ma","given":"Jun"},{"family":"Shen","given":"Zhenqian"},{"family":"Wang","given":"Jianwei"},{"family":"Bai","given":"Heng"},{"family":"Man","given":"Zihao"},{"family":"Sun","given":"Congwu"},{"family":"Liu","given":"Meiyu"},{"family":"Shi","given":"Xiaoqing"},{"family":"Jing","given":"Lanshu"},{"family":"Sun","given":"Ruochen"},{"family":"Cao","given":"Shuang"},{"family":"Hao","given":"Cailian"},{"family":"Wang","given":"Lina"},{"family":"Pei","given":"Mengtong"},{"family":"Dorjsuren","given":"Batsuren"},{"family":"Gedefaw","given":"Mohammed"},{"family":"Girma","given":"Abel"},{"family":"Abiyu","given":"Asaminew"}],"accessed":{"date-parts":[["2024",6,25]]},"issued":{"date-parts":[["2019",10,22]]}}}],"schema":"https://github.com/citation-style-language/schema/raw/master/csl-citation.json"} </w:instrText>
            </w:r>
            <w:r w:rsidRPr="0015153B">
              <w:rPr>
                <w:rFonts w:cstheme="minorHAnsi"/>
                <w:color w:val="000000"/>
                <w:sz w:val="22"/>
                <w:szCs w:val="22"/>
                <w:lang w:bidi="ar-SA"/>
              </w:rPr>
              <w:fldChar w:fldCharType="separate"/>
            </w:r>
            <w:r w:rsidRPr="0015153B">
              <w:rPr>
                <w:rFonts w:cstheme="minorHAnsi"/>
                <w:color w:val="000000"/>
                <w:sz w:val="22"/>
                <w:szCs w:val="22"/>
                <w:lang w:bidi="ar-SA"/>
              </w:rPr>
              <w:t>(Yan et al., 2019)</w:t>
            </w:r>
            <w:r w:rsidRPr="0015153B">
              <w:rPr>
                <w:rFonts w:cstheme="minorHAnsi"/>
                <w:color w:val="000000"/>
                <w:sz w:val="22"/>
                <w:szCs w:val="22"/>
                <w:lang w:bidi="ar-SA"/>
              </w:rPr>
              <w:fldChar w:fldCharType="end"/>
            </w:r>
          </w:p>
        </w:tc>
      </w:tr>
      <w:tr w:rsidR="0057797C" w:rsidRPr="008F445B" w14:paraId="6F667BB8" w14:textId="77777777" w:rsidTr="004A2CFC">
        <w:trPr>
          <w:trHeight w:val="288"/>
        </w:trPr>
        <w:tc>
          <w:tcPr>
            <w:tcW w:w="1452" w:type="dxa"/>
            <w:tcBorders>
              <w:top w:val="nil"/>
              <w:left w:val="nil"/>
              <w:bottom w:val="nil"/>
              <w:right w:val="nil"/>
            </w:tcBorders>
            <w:shd w:val="clear" w:color="auto" w:fill="auto"/>
            <w:noWrap/>
            <w:vAlign w:val="bottom"/>
            <w:hideMark/>
          </w:tcPr>
          <w:p w14:paraId="3B1B6DDF" w14:textId="77777777" w:rsidR="0057797C" w:rsidRDefault="0057797C" w:rsidP="005A41EC">
            <w:pPr>
              <w:spacing w:line="240" w:lineRule="auto"/>
              <w:rPr>
                <w:rFonts w:cstheme="minorHAnsi"/>
                <w:color w:val="000000"/>
                <w:sz w:val="22"/>
                <w:szCs w:val="22"/>
                <w:lang w:bidi="ar-SA"/>
              </w:rPr>
            </w:pPr>
          </w:p>
          <w:p w14:paraId="2652CEF1" w14:textId="77777777" w:rsidR="0057797C" w:rsidRDefault="0057797C" w:rsidP="005A41EC">
            <w:pPr>
              <w:spacing w:line="240" w:lineRule="auto"/>
              <w:rPr>
                <w:rFonts w:cstheme="minorHAnsi"/>
                <w:color w:val="000000"/>
                <w:sz w:val="22"/>
                <w:szCs w:val="22"/>
                <w:lang w:bidi="ar-SA"/>
              </w:rPr>
            </w:pPr>
          </w:p>
          <w:p w14:paraId="51D9BF9A"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Policy</w:t>
            </w:r>
          </w:p>
        </w:tc>
        <w:tc>
          <w:tcPr>
            <w:tcW w:w="2740" w:type="dxa"/>
            <w:tcBorders>
              <w:top w:val="nil"/>
              <w:left w:val="nil"/>
              <w:bottom w:val="nil"/>
              <w:right w:val="nil"/>
            </w:tcBorders>
            <w:shd w:val="clear" w:color="auto" w:fill="auto"/>
            <w:noWrap/>
            <w:vAlign w:val="bottom"/>
            <w:hideMark/>
          </w:tcPr>
          <w:p w14:paraId="29985ECC"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Protected areas</w:t>
            </w:r>
          </w:p>
          <w:p w14:paraId="55798882"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Administrative boundaries</w:t>
            </w:r>
          </w:p>
        </w:tc>
        <w:tc>
          <w:tcPr>
            <w:tcW w:w="1155" w:type="dxa"/>
            <w:tcBorders>
              <w:top w:val="nil"/>
              <w:left w:val="nil"/>
              <w:bottom w:val="nil"/>
              <w:right w:val="nil"/>
            </w:tcBorders>
            <w:shd w:val="clear" w:color="auto" w:fill="auto"/>
            <w:noWrap/>
            <w:vAlign w:val="bottom"/>
            <w:hideMark/>
          </w:tcPr>
          <w:p w14:paraId="3276B93F"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NA</w:t>
            </w:r>
          </w:p>
        </w:tc>
        <w:tc>
          <w:tcPr>
            <w:tcW w:w="1962" w:type="dxa"/>
            <w:gridSpan w:val="2"/>
            <w:tcBorders>
              <w:top w:val="nil"/>
              <w:left w:val="nil"/>
              <w:bottom w:val="nil"/>
              <w:right w:val="nil"/>
            </w:tcBorders>
            <w:shd w:val="clear" w:color="auto" w:fill="auto"/>
            <w:noWrap/>
            <w:vAlign w:val="bottom"/>
            <w:hideMark/>
          </w:tcPr>
          <w:p w14:paraId="0FAD6D72" w14:textId="77777777" w:rsidR="0057797C" w:rsidRPr="00FD567C" w:rsidRDefault="0057797C" w:rsidP="005A41EC">
            <w:pPr>
              <w:spacing w:line="240" w:lineRule="auto"/>
              <w:rPr>
                <w:rFonts w:cstheme="minorHAnsi"/>
                <w:color w:val="000000"/>
                <w:sz w:val="22"/>
                <w:szCs w:val="22"/>
                <w:lang w:bidi="ar-SA"/>
                <w14:ligatures w14:val="standardContextual"/>
              </w:rPr>
            </w:pPr>
          </w:p>
          <w:p w14:paraId="0B4C73CD"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 xml:space="preserve">One year: 2020 </w:t>
            </w:r>
          </w:p>
          <w:p w14:paraId="0F033A98"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One year: 2014</w:t>
            </w:r>
          </w:p>
        </w:tc>
        <w:tc>
          <w:tcPr>
            <w:tcW w:w="1781" w:type="dxa"/>
            <w:tcBorders>
              <w:top w:val="nil"/>
              <w:left w:val="nil"/>
              <w:bottom w:val="nil"/>
              <w:right w:val="nil"/>
            </w:tcBorders>
            <w:shd w:val="clear" w:color="auto" w:fill="auto"/>
            <w:noWrap/>
            <w:vAlign w:val="bottom"/>
            <w:hideMark/>
          </w:tcPr>
          <w:p w14:paraId="09EB98C3" w14:textId="77777777" w:rsidR="0057797C" w:rsidRPr="007252D2" w:rsidRDefault="0057797C" w:rsidP="005A41EC">
            <w:pPr>
              <w:spacing w:line="240" w:lineRule="auto"/>
              <w:rPr>
                <w:rFonts w:cstheme="minorHAnsi"/>
                <w:color w:val="000000"/>
                <w:sz w:val="22"/>
                <w:szCs w:val="22"/>
                <w:lang w:bidi="ar-SA"/>
                <w14:ligatures w14:val="standardContextual"/>
              </w:rPr>
            </w:pPr>
          </w:p>
          <w:p w14:paraId="2E502584" w14:textId="77777777" w:rsidR="0057797C" w:rsidRPr="00301BF5" w:rsidRDefault="0057797C" w:rsidP="005A41EC">
            <w:pPr>
              <w:spacing w:line="240" w:lineRule="auto"/>
              <w:rPr>
                <w:rFonts w:cstheme="minorHAnsi"/>
                <w:color w:val="000000"/>
                <w:sz w:val="22"/>
                <w:szCs w:val="22"/>
                <w:lang w:bidi="ar-SA"/>
                <w14:ligatures w14:val="standardContextual"/>
              </w:rPr>
            </w:pPr>
            <w:r w:rsidRPr="0057797C">
              <w:rPr>
                <w:rFonts w:cstheme="minorHAnsi"/>
                <w:color w:val="000000"/>
                <w:sz w:val="22"/>
                <w:szCs w:val="22"/>
                <w:lang w:bidi="ar-SA"/>
              </w:rPr>
              <w:fldChar w:fldCharType="begin"/>
            </w:r>
            <w:r w:rsidRPr="00301BF5">
              <w:rPr>
                <w:rFonts w:cstheme="minorHAnsi"/>
                <w:color w:val="000000"/>
                <w:sz w:val="22"/>
                <w:szCs w:val="22"/>
                <w:lang w:bidi="ar-SA"/>
              </w:rPr>
              <w:instrText xml:space="preserve"> ADDIN ZOTERO_ITEM CSL_CITATION {"citationID":"pmeSwVeI","properties":{"formattedCitation":"(UNEP-WCMC &amp; IUCN, 2017)","plainCitation":"(UNEP-WCMC &amp; IUCN, 2017)","noteIndex":0},"citationItems":[{"id":2083,"uris":["http://zotero.org/users/8906743/items/YVSDBCHC"],"itemData":{"id":2083,"type":"dataset","title":"Protected Planet: The World Database on Protected Areas (WDPA) [On-line], [December/2020], Cambridge, UK: UNEP-WCMC and IUCN. Available at: www.protectedplanet.net.","author":[{"family":"UNEP-WCMC","given":""},{"family":"IUCN","given":""}],"issued":{"date-parts":[["2017"]]}}}],"schema":"https://github.com/citation-style-language/schema/raw/master/csl-citation.json"} </w:instrText>
            </w:r>
            <w:r w:rsidRPr="0057797C">
              <w:rPr>
                <w:rFonts w:cstheme="minorHAnsi"/>
                <w:color w:val="000000"/>
                <w:sz w:val="22"/>
                <w:szCs w:val="22"/>
                <w:lang w:bidi="ar-SA"/>
              </w:rPr>
              <w:fldChar w:fldCharType="separate"/>
            </w:r>
            <w:r w:rsidRPr="00301BF5">
              <w:rPr>
                <w:rFonts w:ascii="Aptos" w:hAnsi="Aptos"/>
                <w:sz w:val="22"/>
              </w:rPr>
              <w:t>(UNEP-WCMC &amp; IUCN, 2017)</w:t>
            </w:r>
            <w:r w:rsidRPr="0057797C">
              <w:rPr>
                <w:rFonts w:cstheme="minorHAnsi"/>
                <w:color w:val="000000"/>
                <w:sz w:val="22"/>
                <w:szCs w:val="22"/>
                <w:lang w:bidi="ar-SA"/>
              </w:rPr>
              <w:fldChar w:fldCharType="end"/>
            </w:r>
          </w:p>
          <w:p w14:paraId="53BC0707" w14:textId="77777777" w:rsidR="0057797C" w:rsidRPr="00301BF5" w:rsidRDefault="0057797C" w:rsidP="005A41EC">
            <w:pPr>
              <w:spacing w:line="240" w:lineRule="auto"/>
              <w:rPr>
                <w:rFonts w:cstheme="minorHAnsi"/>
                <w:color w:val="000000"/>
                <w:sz w:val="22"/>
                <w:szCs w:val="22"/>
                <w:lang w:bidi="ar-SA"/>
                <w14:ligatures w14:val="standardContextual"/>
              </w:rPr>
            </w:pPr>
            <w:r w:rsidRPr="0057797C">
              <w:rPr>
                <w:rFonts w:cstheme="minorHAnsi"/>
                <w:color w:val="000000"/>
                <w:sz w:val="22"/>
                <w:szCs w:val="22"/>
                <w:lang w:bidi="ar-SA"/>
              </w:rPr>
              <w:fldChar w:fldCharType="begin"/>
            </w:r>
            <w:r w:rsidRPr="00301BF5">
              <w:rPr>
                <w:rFonts w:cstheme="minorHAnsi"/>
                <w:color w:val="000000"/>
                <w:sz w:val="22"/>
                <w:szCs w:val="22"/>
                <w:lang w:bidi="ar-SA"/>
              </w:rPr>
              <w:instrText xml:space="preserve"> ADDIN ZOTERO_ITEM CSL_CITATION {"citationID":"crHNGmVa","properties":{"formattedCitation":"(FAO UN, 2014)","plainCitation":"(FAO UN, 2014)","noteIndex":0},"citationItems":[{"id":2084,"uris":["http://zotero.org/users/8906743/items/9DQPI8XY"],"itemData":{"id":2084,"type":"dataset","title":"GAUL: Global Administrative Unit Layers 2015, Second-Level Administrative Units","author":[{"family":"FAO UN","given":""}],"issued":{"date-parts":[["2014"]]}}}],"schema":"https://github.com/citation-style-language/schema/raw/master/csl-citation.json"} </w:instrText>
            </w:r>
            <w:r w:rsidRPr="0057797C">
              <w:rPr>
                <w:rFonts w:cstheme="minorHAnsi"/>
                <w:color w:val="000000"/>
                <w:sz w:val="22"/>
                <w:szCs w:val="22"/>
                <w:lang w:bidi="ar-SA"/>
              </w:rPr>
              <w:fldChar w:fldCharType="separate"/>
            </w:r>
            <w:r w:rsidRPr="00301BF5">
              <w:rPr>
                <w:rFonts w:ascii="Aptos" w:hAnsi="Aptos"/>
                <w:sz w:val="22"/>
              </w:rPr>
              <w:t>(FAO UN, 2014)</w:t>
            </w:r>
            <w:r w:rsidRPr="0057797C">
              <w:rPr>
                <w:rFonts w:cstheme="minorHAnsi"/>
                <w:color w:val="000000"/>
                <w:sz w:val="22"/>
                <w:szCs w:val="22"/>
                <w:lang w:bidi="ar-SA"/>
              </w:rPr>
              <w:fldChar w:fldCharType="end"/>
            </w:r>
          </w:p>
        </w:tc>
      </w:tr>
      <w:tr w:rsidR="0057797C" w:rsidRPr="00CB7E78" w14:paraId="2C781C31" w14:textId="77777777" w:rsidTr="004A2CFC">
        <w:trPr>
          <w:trHeight w:val="288"/>
        </w:trPr>
        <w:tc>
          <w:tcPr>
            <w:tcW w:w="1452" w:type="dxa"/>
            <w:tcBorders>
              <w:top w:val="nil"/>
              <w:left w:val="nil"/>
              <w:bottom w:val="single" w:sz="4" w:space="0" w:color="auto"/>
              <w:right w:val="nil"/>
            </w:tcBorders>
            <w:shd w:val="clear" w:color="auto" w:fill="auto"/>
            <w:noWrap/>
            <w:vAlign w:val="bottom"/>
            <w:hideMark/>
          </w:tcPr>
          <w:p w14:paraId="49A53C6D"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Infrastructure</w:t>
            </w:r>
          </w:p>
        </w:tc>
        <w:tc>
          <w:tcPr>
            <w:tcW w:w="2740" w:type="dxa"/>
            <w:tcBorders>
              <w:top w:val="nil"/>
              <w:left w:val="nil"/>
              <w:bottom w:val="single" w:sz="4" w:space="0" w:color="auto"/>
              <w:right w:val="nil"/>
            </w:tcBorders>
            <w:shd w:val="clear" w:color="auto" w:fill="auto"/>
            <w:noWrap/>
            <w:vAlign w:val="bottom"/>
            <w:hideMark/>
          </w:tcPr>
          <w:p w14:paraId="630C01BB" w14:textId="77777777" w:rsidR="0057797C" w:rsidRPr="00FD567C" w:rsidRDefault="0057797C" w:rsidP="005A41EC">
            <w:pPr>
              <w:spacing w:line="240" w:lineRule="auto"/>
              <w:rPr>
                <w:rFonts w:cstheme="minorHAnsi"/>
                <w:color w:val="000000"/>
                <w:sz w:val="22"/>
                <w:szCs w:val="22"/>
                <w:lang w:bidi="ar-SA"/>
                <w14:ligatures w14:val="standardContextual"/>
              </w:rPr>
            </w:pPr>
          </w:p>
          <w:p w14:paraId="5EAB3E7F"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Distance to roads</w:t>
            </w:r>
          </w:p>
          <w:p w14:paraId="6A8966A0"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Distance to city centers</w:t>
            </w:r>
          </w:p>
          <w:p w14:paraId="3432F5D2"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Distance to primary cities</w:t>
            </w:r>
          </w:p>
        </w:tc>
        <w:tc>
          <w:tcPr>
            <w:tcW w:w="1155" w:type="dxa"/>
            <w:tcBorders>
              <w:top w:val="nil"/>
              <w:left w:val="nil"/>
              <w:bottom w:val="single" w:sz="4" w:space="0" w:color="auto"/>
              <w:right w:val="nil"/>
            </w:tcBorders>
            <w:shd w:val="clear" w:color="auto" w:fill="auto"/>
            <w:noWrap/>
            <w:vAlign w:val="bottom"/>
            <w:hideMark/>
          </w:tcPr>
          <w:p w14:paraId="220D5022"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NA</w:t>
            </w:r>
          </w:p>
        </w:tc>
        <w:tc>
          <w:tcPr>
            <w:tcW w:w="1962" w:type="dxa"/>
            <w:gridSpan w:val="2"/>
            <w:tcBorders>
              <w:top w:val="nil"/>
              <w:left w:val="nil"/>
              <w:bottom w:val="single" w:sz="4" w:space="0" w:color="auto"/>
              <w:right w:val="nil"/>
            </w:tcBorders>
            <w:shd w:val="clear" w:color="auto" w:fill="auto"/>
            <w:noWrap/>
            <w:vAlign w:val="bottom"/>
            <w:hideMark/>
          </w:tcPr>
          <w:p w14:paraId="73C7EFD5"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One year: 2018</w:t>
            </w:r>
          </w:p>
          <w:p w14:paraId="5848A328" w14:textId="77777777" w:rsidR="0057797C" w:rsidRPr="00FD567C"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bidi="ar-SA"/>
                <w14:ligatures w14:val="standardContextual"/>
              </w:rPr>
              <w:t>One year: 2015</w:t>
            </w:r>
          </w:p>
        </w:tc>
        <w:tc>
          <w:tcPr>
            <w:tcW w:w="1781" w:type="dxa"/>
            <w:tcBorders>
              <w:top w:val="nil"/>
              <w:left w:val="nil"/>
              <w:bottom w:val="single" w:sz="4" w:space="0" w:color="auto"/>
              <w:right w:val="nil"/>
            </w:tcBorders>
            <w:shd w:val="clear" w:color="auto" w:fill="auto"/>
            <w:noWrap/>
            <w:vAlign w:val="bottom"/>
            <w:hideMark/>
          </w:tcPr>
          <w:p w14:paraId="75A81B35" w14:textId="77777777" w:rsidR="0057797C" w:rsidRPr="0015153B" w:rsidRDefault="0057797C" w:rsidP="005A41EC">
            <w:pPr>
              <w:spacing w:line="240" w:lineRule="auto"/>
              <w:rPr>
                <w:rFonts w:cstheme="minorHAnsi"/>
                <w:color w:val="000000"/>
                <w:sz w:val="22"/>
                <w:szCs w:val="22"/>
                <w:lang w:bidi="ar-SA"/>
                <w14:ligatures w14:val="standardContextual"/>
              </w:rPr>
            </w:pPr>
          </w:p>
          <w:p w14:paraId="4D28ACC0" w14:textId="77777777" w:rsidR="0057797C" w:rsidRPr="001B7613" w:rsidRDefault="0057797C" w:rsidP="005A41EC">
            <w:pPr>
              <w:spacing w:line="240" w:lineRule="auto"/>
              <w:rPr>
                <w:rFonts w:cstheme="minorHAnsi"/>
                <w:color w:val="000000"/>
                <w:sz w:val="22"/>
                <w:szCs w:val="22"/>
                <w:lang w:bidi="ar-SA"/>
                <w14:ligatures w14:val="standardContextual"/>
              </w:rPr>
            </w:pPr>
            <w:r w:rsidRPr="00FD567C">
              <w:rPr>
                <w:rFonts w:cstheme="minorHAnsi"/>
                <w:color w:val="000000"/>
                <w:sz w:val="22"/>
                <w:szCs w:val="22"/>
                <w:lang w:val="fr-FR" w:bidi="ar-SA"/>
                <w14:ligatures w14:val="standardContextual"/>
              </w:rPr>
              <w:fldChar w:fldCharType="begin"/>
            </w:r>
            <w:r w:rsidRPr="0015153B">
              <w:rPr>
                <w:rFonts w:cstheme="minorHAnsi"/>
                <w:color w:val="000000"/>
                <w:sz w:val="22"/>
                <w:szCs w:val="22"/>
                <w:lang w:bidi="ar-SA"/>
                <w14:ligatures w14:val="standardContextual"/>
              </w:rPr>
              <w:instrText xml:space="preserve"> A</w:instrText>
            </w:r>
            <w:r w:rsidRPr="006E10F7">
              <w:rPr>
                <w:rFonts w:cstheme="minorHAnsi"/>
                <w:color w:val="000000"/>
                <w:sz w:val="22"/>
                <w:szCs w:val="22"/>
                <w:lang w:bidi="ar-SA"/>
                <w14:ligatures w14:val="standardContextual"/>
              </w:rPr>
              <w:instrText>D</w:instrText>
            </w:r>
            <w:r w:rsidRPr="00FD567C">
              <w:rPr>
                <w:rFonts w:cstheme="minorHAnsi"/>
                <w:color w:val="000000"/>
                <w:sz w:val="22"/>
                <w:szCs w:val="22"/>
                <w:lang w:val="fr-FR" w:bidi="ar-SA"/>
                <w14:ligatures w14:val="standardContextual"/>
              </w:rPr>
              <w:instrText>DIN ZOTERO_ITEM CSL_CITATION {"citationID":"M6rPExhr","properties":{"formattedCitation":"(Meijer et al., 2018)","plainCitation":"(Meijer et al., 2018)","noteIndex":0},"citationItems":[{"id":830,"uris":["http://zotero.org/users/8906743/items/BCF5R4S3"],"itemData":{"id":830,"type":"article-journal","abstract":"Georeferenced information on road infrastructure is essential for spatial planning, socio-economic assessments and environmental impact analyses. Yet current global road maps are typically outdated or characterized by spatial bias in coverage. In the Global Roads Inventory Project we gathered, harmonized and integrated nearly 60 geospatial datasets on road infrastructure into a global roads dataset. The resulting dataset covers 222 countries and includes over 21 million km of roads, which is two to three times the total length in the currently best available country-based global roads datasets. We then related total road length per country to country area, population density</w:instrText>
            </w:r>
            <w:r w:rsidRPr="001B7613">
              <w:rPr>
                <w:rFonts w:cstheme="minorHAnsi"/>
                <w:color w:val="000000"/>
                <w:sz w:val="22"/>
                <w:szCs w:val="22"/>
                <w:lang w:bidi="ar-SA"/>
                <w14:ligatures w14:val="standardContextual"/>
              </w:rPr>
              <w:instrText xml:space="preserve">, GDP and OECD membership, resulting in a regression model with adjusted R2 of 0.90, and found that that the highest road densities are associated with densely populated and wealthier countries. Applying our regression model to future population densities and GDP estimates from the Shared Socioeconomic Pathway (SSP) scenarios, we obtained a tentative estimate of 3.0–4.7 million km additional road length for the year 2050. Large increases in road length were projected for developing nations in some of the world’s last remaining wilderness areas, such as the Amazon, the Congo basin and New Guinea. This highlights the need for accurate spatial road datasets to underpin strategic spatial planning in order to reduce the impacts of roads in remaining pristine ecosystems.","container-title":"Environmental Research Letters","DOI":"10.1088/1748-9326/aabd42","ISSN":"1748-9326","issue":"6","journalAbbreviation":"Environ. Res. Lett.","language":"en","page":"064006","source":"DOI.org (Crossref)","title":"Global patterns of current and future road infrastructure","URL":"https://iopscience.iop.org/article/10.1088/1748-9326/aabd42","volume":"13","author":[{"family":"Meijer","given":"Johan R"},{"family":"Huijbregts","given":"Mark A J"},{"family":"Schotten","given":"Kees C G J"},{"family":"Schipper","given":"Aafke M"}],"accessed":{"date-parts":[["2022",10,26]]},"issued":{"date-parts":[["2018",6,1]]}}}],"schema":"https://github.com/citation-style-language/schema/raw/master/csl-citation.json"} </w:instrText>
            </w:r>
            <w:r w:rsidRPr="00FD567C">
              <w:rPr>
                <w:rFonts w:cstheme="minorHAnsi"/>
                <w:color w:val="000000"/>
                <w:sz w:val="22"/>
                <w:szCs w:val="22"/>
                <w:lang w:val="fr-FR" w:bidi="ar-SA"/>
                <w14:ligatures w14:val="standardContextual"/>
              </w:rPr>
              <w:fldChar w:fldCharType="separate"/>
            </w:r>
            <w:r w:rsidRPr="001B7613">
              <w:rPr>
                <w:rFonts w:eastAsia="Aptos" w:cstheme="minorHAnsi"/>
                <w:sz w:val="22"/>
                <w:szCs w:val="22"/>
                <w:lang w:bidi="ar-SA"/>
                <w14:ligatures w14:val="standardContextual"/>
              </w:rPr>
              <w:t>(Meijer et al., 2018)</w:t>
            </w:r>
            <w:r w:rsidRPr="00FD567C">
              <w:rPr>
                <w:rFonts w:cstheme="minorHAnsi"/>
                <w:color w:val="000000"/>
                <w:sz w:val="22"/>
                <w:szCs w:val="22"/>
                <w:lang w:val="fr-FR" w:bidi="ar-SA"/>
                <w14:ligatures w14:val="standardContextual"/>
              </w:rPr>
              <w:fldChar w:fldCharType="end"/>
            </w:r>
            <w:r w:rsidRPr="001B7613">
              <w:rPr>
                <w:rFonts w:cstheme="minorHAnsi"/>
                <w:color w:val="000000"/>
                <w:sz w:val="22"/>
                <w:szCs w:val="22"/>
                <w:lang w:bidi="ar-SA"/>
                <w14:ligatures w14:val="standardContextual"/>
              </w:rPr>
              <w:t xml:space="preserve">; </w:t>
            </w:r>
            <w:r w:rsidRPr="00FD567C">
              <w:rPr>
                <w:rFonts w:cstheme="minorHAnsi"/>
                <w:color w:val="000000"/>
                <w:sz w:val="22"/>
                <w:szCs w:val="22"/>
                <w:lang w:val="fr-FR" w:bidi="ar-SA"/>
                <w14:ligatures w14:val="standardContextual"/>
              </w:rPr>
              <w:fldChar w:fldCharType="begin"/>
            </w:r>
            <w:r w:rsidRPr="001B7613">
              <w:rPr>
                <w:rFonts w:cstheme="minorHAnsi"/>
                <w:color w:val="000000"/>
                <w:sz w:val="22"/>
                <w:szCs w:val="22"/>
                <w:lang w:bidi="ar-SA"/>
                <w14:ligatures w14:val="standardContextual"/>
              </w:rPr>
              <w:instrText xml:space="preserve"> ADDIN ZOTERO_ITEM CSL_CITATION {"citationID":"SLfdxuGk","properties":{"formattedCitation":"(OECD/SWAC,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FD567C">
              <w:rPr>
                <w:rFonts w:cstheme="minorHAnsi"/>
                <w:color w:val="000000"/>
                <w:sz w:val="22"/>
                <w:szCs w:val="22"/>
                <w:lang w:val="fr-FR" w:bidi="ar-SA"/>
                <w14:ligatures w14:val="standardContextual"/>
              </w:rPr>
              <w:fldChar w:fldCharType="separate"/>
            </w:r>
            <w:r w:rsidRPr="001B7613">
              <w:rPr>
                <w:rFonts w:eastAsia="Aptos" w:cstheme="minorHAnsi"/>
                <w:sz w:val="22"/>
                <w:szCs w:val="22"/>
                <w:lang w:bidi="ar-SA"/>
                <w14:ligatures w14:val="standardContextual"/>
              </w:rPr>
              <w:t>(OECD/SWAC, 2020)</w:t>
            </w:r>
            <w:r w:rsidRPr="00FD567C">
              <w:rPr>
                <w:rFonts w:cstheme="minorHAnsi"/>
                <w:color w:val="000000"/>
                <w:sz w:val="22"/>
                <w:szCs w:val="22"/>
                <w:lang w:val="fr-FR" w:bidi="ar-SA"/>
                <w14:ligatures w14:val="standardContextual"/>
              </w:rPr>
              <w:fldChar w:fldCharType="end"/>
            </w:r>
          </w:p>
        </w:tc>
      </w:tr>
    </w:tbl>
    <w:p w14:paraId="1AA95BBE" w14:textId="77777777" w:rsidR="00177810" w:rsidRDefault="00177810" w:rsidP="006163D0">
      <w:pPr>
        <w:spacing w:line="240" w:lineRule="auto"/>
        <w:rPr>
          <w:rFonts w:ascii="Times New Roman" w:eastAsia="Aptos" w:hAnsi="Times New Roman"/>
          <w:color w:val="000000"/>
          <w:shd w:val="clear" w:color="auto" w:fill="FFFFFF"/>
          <w:lang w:bidi="ar-SA"/>
          <w14:ligatures w14:val="standardContextual"/>
        </w:rPr>
      </w:pPr>
    </w:p>
    <w:p w14:paraId="675D008E" w14:textId="4887BEA3" w:rsidR="0057797C" w:rsidRPr="00103457" w:rsidRDefault="0057797C" w:rsidP="006163D0">
      <w:pPr>
        <w:spacing w:line="240" w:lineRule="auto"/>
        <w:rPr>
          <w:rFonts w:ascii="Times New Roman" w:eastAsia="Aptos" w:hAnsi="Times New Roman"/>
          <w:color w:val="000000"/>
          <w:shd w:val="clear" w:color="auto" w:fill="FFFFFF"/>
          <w:lang w:bidi="ar-SA"/>
          <w14:ligatures w14:val="standardContextual"/>
        </w:rPr>
      </w:pPr>
      <w:r w:rsidRPr="00CB7E78">
        <w:rPr>
          <w:rFonts w:ascii="Times New Roman" w:eastAsia="Aptos" w:hAnsi="Times New Roman"/>
          <w:color w:val="000000"/>
          <w:shd w:val="clear" w:color="auto" w:fill="FFFFFF"/>
          <w:lang w:bidi="ar-SA"/>
          <w14:ligatures w14:val="standardContextual"/>
        </w:rPr>
        <w:lastRenderedPageBreak/>
        <w:t>Note:</w:t>
      </w:r>
      <w:r w:rsidRPr="00CB7E78">
        <w:rPr>
          <w:rFonts w:ascii="Times New Roman" w:eastAsia="Aptos" w:hAnsi="Times New Roman"/>
          <w:bCs/>
          <w:color w:val="000000"/>
          <w:shd w:val="clear" w:color="auto" w:fill="FFFFFF"/>
          <w:lang w:bidi="ar-SA"/>
          <w14:ligatures w14:val="standardContextual"/>
        </w:rPr>
        <w:t xml:space="preserve"> </w:t>
      </w:r>
      <w:r w:rsidRPr="00CB7E78">
        <w:rPr>
          <w:rFonts w:ascii="Times New Roman" w:eastAsia="Aptos" w:hAnsi="Times New Roman"/>
          <w:bCs/>
          <w:lang w:bidi="ar-SA"/>
          <w14:ligatures w14:val="standardContextual"/>
        </w:rPr>
        <w:t>We used 14 input variables consisting of slope, hillshade, elev</w:t>
      </w:r>
      <w:r w:rsidRPr="00103457">
        <w:rPr>
          <w:rFonts w:ascii="Times New Roman" w:eastAsia="Aptos" w:hAnsi="Times New Roman"/>
          <w:bCs/>
          <w:lang w:bidi="ar-SA"/>
          <w14:ligatures w14:val="standardContextual"/>
        </w:rPr>
        <w:t>ation, distance from tertiary roads (DTRoads), distance from secondary roads (DSRoads), distance from rivers (Drivers), distance from primary roads (DPRoads), distance from primary cities center (DPCities), distance from local roads (DLRoads). Distance from lakes (DLakes), development pressure (DevPressure), distance to all roads (DARoads), and distance from all cities center (DACities).</w:t>
      </w:r>
    </w:p>
    <w:p w14:paraId="6EBCB752" w14:textId="77777777" w:rsidR="00103457" w:rsidRPr="00103457" w:rsidRDefault="00103457" w:rsidP="00590F94">
      <w:pPr>
        <w:jc w:val="both"/>
        <w:rPr>
          <w:rFonts w:ascii="Times New Roman" w:eastAsia="Aptos" w:hAnsi="Times New Roman"/>
          <w:color w:val="000000"/>
          <w:shd w:val="clear" w:color="auto" w:fill="FFFFFF"/>
          <w:lang w:bidi="ar-SA"/>
          <w14:ligatures w14:val="standardContextual"/>
        </w:rPr>
      </w:pPr>
    </w:p>
    <w:p w14:paraId="58D1AFB6" w14:textId="77777777" w:rsidR="00103457" w:rsidRPr="00103457" w:rsidRDefault="00103457" w:rsidP="00277F12">
      <w:pPr>
        <w:pStyle w:val="Heading3"/>
      </w:pPr>
      <w:bookmarkStart w:id="142" w:name="_Hlk162539643"/>
      <w:r w:rsidRPr="00103457">
        <w:t xml:space="preserve"> </w:t>
      </w:r>
      <w:bookmarkStart w:id="143" w:name="_Toc172288752"/>
      <w:r w:rsidRPr="00103457">
        <w:t>Model parameterization and calibration</w:t>
      </w:r>
      <w:bookmarkEnd w:id="143"/>
    </w:p>
    <w:bookmarkEnd w:id="142"/>
    <w:p w14:paraId="088EB786" w14:textId="77777777" w:rsidR="003E3D12" w:rsidRPr="003E3D12" w:rsidRDefault="003E3D12" w:rsidP="006163D0">
      <w:pPr>
        <w:ind w:firstLine="360"/>
        <w:rPr>
          <w:rFonts w:ascii="Times New Roman" w:eastAsia="Aptos" w:hAnsi="Times New Roman"/>
          <w:bCs/>
          <w:lang w:bidi="ar-SA"/>
          <w14:ligatures w14:val="standardContextual"/>
        </w:rPr>
      </w:pPr>
      <w:r w:rsidRPr="003E3D12">
        <w:rPr>
          <w:rFonts w:ascii="Times New Roman" w:eastAsia="Aptos" w:hAnsi="Times New Roman"/>
          <w:bCs/>
          <w:lang w:bidi="ar-SA"/>
          <w14:ligatures w14:val="standardContextual"/>
        </w:rPr>
        <w:t xml:space="preserve">We calibrated the POTENTIAL submodel for projecting urbanization using a multilevel regression approach, which relates suitability variables and observed developed area change between 2001 and 2015 to estimate the probability of a cell changing to developed. To address spatiotemporal heterogeneity in the large study area, we calibrated the POTENTIAL submodel separately for each country. Additionally, we included a dynamic developed pressure variable. This variable assumes that proximity to existing developed cells increases the probability of new developments. As new developed areas are assigned, the proximity variable is recomputed at each time step as the weighted distance from neighboring cells, where smaller gamma (controls the search distance) values increase the influence of developed cells with distance (Meentemeyer et al., 2008, 2013). We randomly sampled 7000 points in undeveloped and 6000 in developed cells each in Benin and Togo; in Ghana, we sampled 8000 in undeveloped and 6000 in developed, whereas, in Nigeria, we sampled 9000 in undeveloped and 8000 in developed areas in both the Northern and Southern models. We selected these different points based on the size of each country. At each point, we extracted values for the variables, which we used in the generalized linear model to select the best predictors for generating the suitability surface for each country. </w:t>
      </w:r>
    </w:p>
    <w:p w14:paraId="662355F6" w14:textId="77777777" w:rsidR="003E3D12" w:rsidRPr="003E3D12" w:rsidRDefault="003E3D12" w:rsidP="006163D0">
      <w:pPr>
        <w:ind w:firstLine="360"/>
        <w:rPr>
          <w:rFonts w:ascii="Times New Roman" w:eastAsia="Aptos" w:hAnsi="Times New Roman"/>
          <w:bCs/>
          <w:lang w:bidi="ar-SA"/>
          <w14:ligatures w14:val="standardContextual"/>
        </w:rPr>
      </w:pPr>
      <w:r w:rsidRPr="003E3D12">
        <w:rPr>
          <w:rFonts w:ascii="Times New Roman" w:eastAsia="Aptos" w:hAnsi="Times New Roman"/>
          <w:bCs/>
          <w:lang w:bidi="ar-SA"/>
          <w14:ligatures w14:val="standardContextual"/>
        </w:rPr>
        <w:t xml:space="preserve">Additionally, we randomly selected an equal number of points in both developed and undeveloped areas across large, medium, and small cities. Across city types in Togo, we selected 1000 points each in developed and undeveloped; in Benin, we selected 1500 points; in Ghana, </w:t>
      </w:r>
      <w:r w:rsidRPr="003E3D12">
        <w:rPr>
          <w:rFonts w:ascii="Times New Roman" w:eastAsia="Aptos" w:hAnsi="Times New Roman"/>
          <w:bCs/>
          <w:lang w:bidi="ar-SA"/>
          <w14:ligatures w14:val="standardContextual"/>
        </w:rPr>
        <w:lastRenderedPageBreak/>
        <w:t>we selected 2500; and in Nigeria, we selected 5000 points. We used these randomly selected point to generate the importance of variables. This importance is measured as the change in residual sums of squares as each predictor is included in the model (Xie &amp; Luo, 2022). The importance is scaled between 0 and 1, with the least influential variable having a value of 0 and the most influential variable having a value of 1.</w:t>
      </w:r>
    </w:p>
    <w:p w14:paraId="74A5A6BD" w14:textId="77777777" w:rsidR="003E3D12" w:rsidRPr="003E3D12" w:rsidRDefault="003E3D12" w:rsidP="006163D0">
      <w:pPr>
        <w:ind w:firstLine="360"/>
        <w:rPr>
          <w:rFonts w:ascii="Times New Roman" w:eastAsia="Aptos" w:hAnsi="Times New Roman"/>
          <w:bCs/>
          <w:lang w:bidi="ar-SA"/>
          <w14:ligatures w14:val="standardContextual"/>
        </w:rPr>
      </w:pPr>
      <w:r w:rsidRPr="003E3D12">
        <w:rPr>
          <w:rFonts w:ascii="Times New Roman" w:eastAsia="Aptos" w:hAnsi="Times New Roman"/>
          <w:bCs/>
          <w:lang w:bidi="ar-SA"/>
          <w14:ligatures w14:val="standardContextual"/>
        </w:rPr>
        <w:t xml:space="preserve">For parameterizing the DEMAND submodel for the Status Quo scenario, we assume that historical population growth and urban change trends in each country will continue into 2050. Therefore, we used the no-change estimates from UN population projections and computed the future total population for each country from 2016 - 2050. These estimates were combined with annual urban maps from 2001 – 2015 to compute different demand files using linear, logarithmic, and exponential approaches, and the pattern with the lowest root mean squared error (RMSE) was selected for each country (Figure S4). </w:t>
      </w:r>
    </w:p>
    <w:p w14:paraId="7F23F503" w14:textId="06E3CD7C" w:rsidR="00103457" w:rsidRDefault="003E3D12" w:rsidP="006163D0">
      <w:pPr>
        <w:spacing w:after="240"/>
        <w:ind w:firstLine="360"/>
        <w:rPr>
          <w:rFonts w:ascii="Times New Roman" w:eastAsia="Aptos" w:hAnsi="Times New Roman"/>
          <w:bCs/>
          <w:lang w:bidi="ar-SA"/>
          <w14:ligatures w14:val="standardContextual"/>
        </w:rPr>
      </w:pPr>
      <w:r w:rsidRPr="003E3D12">
        <w:rPr>
          <w:rFonts w:ascii="Times New Roman" w:eastAsia="Aptos" w:hAnsi="Times New Roman"/>
          <w:bCs/>
          <w:lang w:bidi="ar-SA"/>
          <w14:ligatures w14:val="standardContextual"/>
        </w:rPr>
        <w:t xml:space="preserve">We calibrated PGA submodel to generate the patch size for each country and coefficients to fit future simulations. At the cell level, the PGA allocates random seeds across the POTENTIAL suitability surfaces for each country. Seeds that survive the Monte Carlo iterative process (with developmental potential higher than random) grow into patches of development. This allocation of seeds for development continues until </w:t>
      </w:r>
      <w:r w:rsidR="009D47E3">
        <w:rPr>
          <w:rFonts w:ascii="Times New Roman" w:eastAsia="Aptos" w:hAnsi="Times New Roman"/>
          <w:bCs/>
          <w:lang w:bidi="ar-SA"/>
          <w14:ligatures w14:val="standardContextual"/>
        </w:rPr>
        <w:t xml:space="preserve">the </w:t>
      </w:r>
      <w:r w:rsidRPr="003E3D12">
        <w:rPr>
          <w:rFonts w:ascii="Times New Roman" w:eastAsia="Aptos" w:hAnsi="Times New Roman"/>
          <w:bCs/>
          <w:lang w:bidi="ar-SA"/>
          <w14:ligatures w14:val="standardContextual"/>
        </w:rPr>
        <w:t>estimated per capita land demand for each country is met. Thus, the patch sizes reflect the historical spatial structure of developments from 2001 – 2015, which is assumed to be stationary over the simulation period.</w:t>
      </w:r>
    </w:p>
    <w:p w14:paraId="18994E07" w14:textId="77777777" w:rsidR="00103457" w:rsidRPr="00103457" w:rsidRDefault="00103457" w:rsidP="006163D0">
      <w:pPr>
        <w:pStyle w:val="Heading3"/>
      </w:pPr>
      <w:bookmarkStart w:id="144" w:name="_Toc172288753"/>
      <w:r w:rsidRPr="00103457">
        <w:t>Model simulation and validation</w:t>
      </w:r>
      <w:bookmarkEnd w:id="144"/>
    </w:p>
    <w:p w14:paraId="502C5AC8" w14:textId="77777777" w:rsidR="0013479C" w:rsidRPr="0013479C" w:rsidRDefault="0013479C" w:rsidP="006163D0">
      <w:pPr>
        <w:ind w:firstLine="360"/>
        <w:rPr>
          <w:rFonts w:ascii="Times New Roman" w:eastAsia="Aptos" w:hAnsi="Times New Roman"/>
          <w:bCs/>
          <w:lang w:bidi="ar-SA"/>
          <w14:ligatures w14:val="standardContextual"/>
        </w:rPr>
      </w:pPr>
      <w:r w:rsidRPr="0013479C">
        <w:rPr>
          <w:rFonts w:ascii="Times New Roman" w:eastAsia="Aptos" w:hAnsi="Times New Roman"/>
          <w:bCs/>
          <w:lang w:bidi="ar-SA"/>
          <w14:ligatures w14:val="standardContextual"/>
        </w:rPr>
        <w:t xml:space="preserve">We generated 20 simulation runs across the study extent from 2016-2050 and computed the mean probability. Pixels with greater than 20%   probability of being selected for development were classified as developed, and those with less than or equal to 20% were classified as </w:t>
      </w:r>
      <w:r w:rsidRPr="0013479C">
        <w:rPr>
          <w:rFonts w:ascii="Times New Roman" w:eastAsia="Aptos" w:hAnsi="Times New Roman"/>
          <w:bCs/>
          <w:lang w:bidi="ar-SA"/>
          <w14:ligatures w14:val="standardContextual"/>
        </w:rPr>
        <w:lastRenderedPageBreak/>
        <w:t>undeveloped. Thus, to generate the accuracy metrics for our simulations, we compared the 2020 observed map with the simulated map for 2020. We generated a figure of merit by overlying three maps: the initial reference map for 2015, reference map for 2020, and simulated map for 2020 (Ke et al., 2015; Pickard et al., 2017; Pontius et al., 2008; van Vliet et al., 2016). The figure of merit (FoM) provides insights into the number of correct rejections of undeveloped cells and the persistence of developed cells in the reference and simulated maps. The FoM also divides the developed area change into three components: 1) hits represent cells that were correctly simulated; 2) misses indicate cells that were only absent in the simulated map; and 3) false alarms show cells that were only present in the simulated map (Varga et al., 2019).</w:t>
      </w:r>
    </w:p>
    <w:p w14:paraId="61E1DCB9" w14:textId="50A38266" w:rsidR="00103457" w:rsidRDefault="0013479C" w:rsidP="006163D0">
      <w:pPr>
        <w:ind w:firstLine="360"/>
        <w:rPr>
          <w:rFonts w:ascii="Times New Roman" w:eastAsia="Aptos" w:hAnsi="Times New Roman"/>
          <w:bCs/>
          <w:lang w:bidi="ar-SA"/>
          <w14:ligatures w14:val="standardContextual"/>
        </w:rPr>
      </w:pPr>
      <w:r w:rsidRPr="0013479C">
        <w:rPr>
          <w:rFonts w:ascii="Times New Roman" w:eastAsia="Aptos" w:hAnsi="Times New Roman"/>
          <w:bCs/>
          <w:lang w:bidi="ar-SA"/>
          <w14:ligatures w14:val="standardContextual"/>
        </w:rPr>
        <w:t>Additionally, we computed several landscape metrics to evaluate the quantity and pattern of developed area accuracies. For quantity accuracy, we computed the total class area (CA), the number of developed patches (NP), and the percentage of landscape (PLAND) occupied by the developed Area in the simulated and reference maps for 2020. For pattern accuracy, we used the normalized landscape-shaped index (NLSI) to measure the (dis)aggregation of patches, the contiguity index (CONTIG) to measure patch connectedness, and Euclidean Nearest-Neighbor Distance (ENN) to compute the mean distance between patches of the same class within the landscape. We compared these accuracy metrics across each country's small, medium, and large cities.</w:t>
      </w:r>
    </w:p>
    <w:p w14:paraId="6D61F013" w14:textId="77777777" w:rsidR="00995088" w:rsidRPr="00103457" w:rsidRDefault="00995088" w:rsidP="0013479C">
      <w:pPr>
        <w:ind w:firstLine="360"/>
        <w:jc w:val="both"/>
        <w:rPr>
          <w:rFonts w:ascii="Times New Roman" w:eastAsia="Aptos" w:hAnsi="Times New Roman"/>
          <w:bCs/>
          <w:lang w:bidi="ar-SA"/>
          <w14:ligatures w14:val="standardContextual"/>
        </w:rPr>
      </w:pPr>
    </w:p>
    <w:p w14:paraId="30DD9287" w14:textId="77777777" w:rsidR="00103457" w:rsidRPr="00103457" w:rsidRDefault="00103457" w:rsidP="00590F94">
      <w:pPr>
        <w:pStyle w:val="Heading2"/>
      </w:pPr>
      <w:bookmarkStart w:id="145" w:name="_Toc172288754"/>
      <w:r w:rsidRPr="00103457">
        <w:t>Results</w:t>
      </w:r>
      <w:bookmarkEnd w:id="145"/>
    </w:p>
    <w:p w14:paraId="3F4B1F68" w14:textId="46D27623" w:rsidR="00103457" w:rsidRPr="00103457" w:rsidRDefault="00103457" w:rsidP="00277F12">
      <w:pPr>
        <w:pStyle w:val="Heading3"/>
      </w:pPr>
      <w:bookmarkStart w:id="146" w:name="_Toc172288755"/>
      <w:r w:rsidRPr="00103457">
        <w:t xml:space="preserve">Variable </w:t>
      </w:r>
      <w:r w:rsidR="007542D7">
        <w:t>i</w:t>
      </w:r>
      <w:r w:rsidRPr="00103457">
        <w:t>mportance</w:t>
      </w:r>
      <w:bookmarkEnd w:id="146"/>
    </w:p>
    <w:p w14:paraId="5182DC38" w14:textId="27F3D17A" w:rsidR="00941ACA" w:rsidRPr="00941ACA" w:rsidRDefault="00941ACA" w:rsidP="00941ACA">
      <w:pPr>
        <w:ind w:firstLine="360"/>
        <w:rPr>
          <w:rFonts w:ascii="Times New Roman" w:eastAsia="Aptos" w:hAnsi="Times New Roman"/>
          <w:lang w:bidi="ar-SA"/>
          <w14:ligatures w14:val="standardContextual"/>
        </w:rPr>
      </w:pPr>
      <w:r w:rsidRPr="00941ACA">
        <w:rPr>
          <w:rFonts w:ascii="Times New Roman" w:eastAsia="Aptos" w:hAnsi="Times New Roman"/>
          <w:lang w:bidi="ar-SA"/>
          <w14:ligatures w14:val="standardContextual"/>
        </w:rPr>
        <w:t xml:space="preserve">The relative importance of the 14 predictor variables varies across large, medium, and small cities. The development pressure from already developed area is the most important variable in </w:t>
      </w:r>
      <w:r w:rsidRPr="00941ACA">
        <w:rPr>
          <w:rFonts w:ascii="Times New Roman" w:eastAsia="Aptos" w:hAnsi="Times New Roman"/>
          <w:lang w:bidi="ar-SA"/>
          <w14:ligatures w14:val="standardContextual"/>
        </w:rPr>
        <w:lastRenderedPageBreak/>
        <w:t>each country except Benin, where distance from all cities was highest, followed by distance from primary cities (</w:t>
      </w:r>
      <w:r w:rsidR="002172CC" w:rsidRPr="00A739B1">
        <w:rPr>
          <w:rFonts w:ascii="Times New Roman" w:eastAsia="Aptos" w:hAnsi="Times New Roman"/>
          <w:lang w:bidi="ar-SA"/>
          <w14:ligatures w14:val="standardContextual"/>
        </w:rPr>
        <w:fldChar w:fldCharType="begin"/>
      </w:r>
      <w:r w:rsidR="002172CC" w:rsidRPr="00A739B1">
        <w:rPr>
          <w:rFonts w:ascii="Times New Roman" w:eastAsia="Aptos" w:hAnsi="Times New Roman"/>
          <w:lang w:bidi="ar-SA"/>
          <w14:ligatures w14:val="standardContextual"/>
        </w:rPr>
        <w:instrText xml:space="preserve"> REF _Ref171971737 \h </w:instrText>
      </w:r>
      <w:r w:rsidR="00A739B1" w:rsidRPr="00A739B1">
        <w:rPr>
          <w:rFonts w:ascii="Times New Roman" w:eastAsia="Aptos" w:hAnsi="Times New Roman"/>
          <w:lang w:bidi="ar-SA"/>
          <w14:ligatures w14:val="standardContextual"/>
        </w:rPr>
        <w:instrText xml:space="preserve"> \* MERGEFORMAT </w:instrText>
      </w:r>
      <w:r w:rsidR="002172CC" w:rsidRPr="00A739B1">
        <w:rPr>
          <w:rFonts w:ascii="Times New Roman" w:eastAsia="Aptos" w:hAnsi="Times New Roman"/>
          <w:lang w:bidi="ar-SA"/>
          <w14:ligatures w14:val="standardContextual"/>
        </w:rPr>
      </w:r>
      <w:r w:rsidR="002172CC" w:rsidRPr="00A739B1">
        <w:rPr>
          <w:rFonts w:ascii="Times New Roman" w:eastAsia="Aptos" w:hAnsi="Times New Roman"/>
          <w:lang w:bidi="ar-SA"/>
          <w14:ligatures w14:val="standardContextual"/>
        </w:rPr>
        <w:fldChar w:fldCharType="separate"/>
      </w:r>
      <w:r w:rsidR="00B129D9" w:rsidRPr="00B129D9">
        <w:t xml:space="preserve">Figure </w:t>
      </w:r>
      <w:r w:rsidR="00B129D9" w:rsidRPr="00B129D9">
        <w:rPr>
          <w:noProof/>
        </w:rPr>
        <w:t>15</w:t>
      </w:r>
      <w:r w:rsidR="002172CC" w:rsidRPr="00A739B1">
        <w:rPr>
          <w:rFonts w:ascii="Times New Roman" w:eastAsia="Aptos" w:hAnsi="Times New Roman"/>
          <w:lang w:bidi="ar-SA"/>
          <w14:ligatures w14:val="standardContextual"/>
        </w:rPr>
        <w:fldChar w:fldCharType="end"/>
      </w:r>
      <w:r w:rsidRPr="00A739B1">
        <w:rPr>
          <w:rFonts w:ascii="Times New Roman" w:eastAsia="Aptos" w:hAnsi="Times New Roman"/>
          <w:lang w:bidi="ar-SA"/>
          <w14:ligatures w14:val="standardContextual"/>
        </w:rPr>
        <w:t>).</w:t>
      </w:r>
      <w:r w:rsidRPr="00941ACA">
        <w:rPr>
          <w:rFonts w:ascii="Times New Roman" w:eastAsia="Aptos" w:hAnsi="Times New Roman"/>
          <w:lang w:bidi="ar-SA"/>
          <w14:ligatures w14:val="standardContextual"/>
        </w:rPr>
        <w:t xml:space="preserve"> Across the study area, developed pressure and distance to all cities were consistently significant across small, medium, and large cities in each country, while the other variables varied in importance (Table S3 and S4). </w:t>
      </w:r>
    </w:p>
    <w:p w14:paraId="244731E7" w14:textId="28B5DE87" w:rsidR="00941ACA" w:rsidRPr="00941ACA" w:rsidRDefault="00941ACA" w:rsidP="00941ACA">
      <w:pPr>
        <w:ind w:firstLine="360"/>
        <w:rPr>
          <w:rFonts w:ascii="Times New Roman" w:eastAsia="Aptos" w:hAnsi="Times New Roman"/>
          <w:lang w:bidi="ar-SA"/>
          <w14:ligatures w14:val="standardContextual"/>
        </w:rPr>
      </w:pPr>
      <w:r w:rsidRPr="00941ACA">
        <w:rPr>
          <w:rFonts w:ascii="Times New Roman" w:eastAsia="Aptos" w:hAnsi="Times New Roman"/>
          <w:lang w:bidi="ar-SA"/>
          <w14:ligatures w14:val="standardContextual"/>
        </w:rPr>
        <w:t>In Benin’s large cities, 11 (84.6%) predictors were statistically significant (at 0.</w:t>
      </w:r>
      <w:r w:rsidR="003B5B72">
        <w:rPr>
          <w:rFonts w:ascii="Times New Roman" w:eastAsia="Aptos" w:hAnsi="Times New Roman"/>
          <w:lang w:bidi="ar-SA"/>
          <w14:ligatures w14:val="standardContextual"/>
        </w:rPr>
        <w:t>1</w:t>
      </w:r>
      <w:r w:rsidRPr="00941ACA">
        <w:rPr>
          <w:rFonts w:ascii="Times New Roman" w:eastAsia="Aptos" w:hAnsi="Times New Roman"/>
          <w:lang w:bidi="ar-SA"/>
          <w14:ligatures w14:val="standardContextual"/>
        </w:rPr>
        <w:t xml:space="preserve"> alpha level) in large cities except for distance from secondary roads, tertiary roads, rivers, and hillshade (Table S3). For medium cities, 7 (50%) predictors were statistically significant: developed pressure, distance from local roads, primary roads, primary cities, all cities, and protected areas. For small cities, 5 (35.7%) predictors were statistically significant: development pressure, distance from all cities, tertiary roads, lakes, and protected areas. Across the cities in Benin, developed pressure and distance from all city centers and protected areas were consistently significant. In contrast, distance from secondary roads, rivers, and hillshade was insignificant. </w:t>
      </w:r>
    </w:p>
    <w:p w14:paraId="5A52316D" w14:textId="77777777" w:rsidR="00941ACA" w:rsidRPr="00941ACA" w:rsidRDefault="00941ACA" w:rsidP="00941ACA">
      <w:pPr>
        <w:ind w:firstLine="360"/>
        <w:rPr>
          <w:rFonts w:ascii="Times New Roman" w:eastAsia="Aptos" w:hAnsi="Times New Roman"/>
          <w:lang w:bidi="ar-SA"/>
          <w14:ligatures w14:val="standardContextual"/>
        </w:rPr>
      </w:pPr>
      <w:r w:rsidRPr="00941ACA">
        <w:rPr>
          <w:rFonts w:ascii="Times New Roman" w:eastAsia="Aptos" w:hAnsi="Times New Roman"/>
          <w:lang w:bidi="ar-SA"/>
          <w14:ligatures w14:val="standardContextual"/>
        </w:rPr>
        <w:t xml:space="preserve">In Ghana's large cities, 9 (64.3%) predictors were statistically significant, except distance from secondary roads, tertiary roads, rivers, elevation, and hillshade (Table S3). Likewise, 9 predictors were statistically significant in medium cities, except distance to local roads, primary roads, primary cities, rivers, and hillshade. In small cities, 6 (42.9%) predictors were statistically significant: developed pressure, distance from local roads, primary cities, all cities, protected areas, and slope. Development pressure, distance to all cities, protected areas, and slope were significant in all three city types, whereas distance to rivers and hillshade were consistently insignificant. </w:t>
      </w:r>
    </w:p>
    <w:p w14:paraId="1E3EF984" w14:textId="77777777" w:rsidR="00941ACA" w:rsidRDefault="00941ACA" w:rsidP="00941ACA">
      <w:pPr>
        <w:ind w:firstLine="360"/>
        <w:rPr>
          <w:rFonts w:ascii="Times New Roman" w:eastAsia="Aptos" w:hAnsi="Times New Roman"/>
          <w:lang w:bidi="ar-SA"/>
          <w14:ligatures w14:val="standardContextual"/>
        </w:rPr>
      </w:pPr>
      <w:r w:rsidRPr="00941ACA">
        <w:rPr>
          <w:rFonts w:ascii="Times New Roman" w:eastAsia="Aptos" w:hAnsi="Times New Roman"/>
          <w:lang w:bidi="ar-SA"/>
          <w14:ligatures w14:val="standardContextual"/>
        </w:rPr>
        <w:t xml:space="preserve">In Nigeria’s large cities, 8 (57.1%) predictors were significant, except distance from local roads, tertiary roads, primary cities, rivers, elevation, hillshade, and slope (Table S4). All variables were significant in medium cities, except distance from secondary roads, all cities, </w:t>
      </w:r>
      <w:r w:rsidRPr="00941ACA">
        <w:rPr>
          <w:rFonts w:ascii="Times New Roman" w:eastAsia="Aptos" w:hAnsi="Times New Roman"/>
          <w:lang w:bidi="ar-SA"/>
          <w14:ligatures w14:val="standardContextual"/>
        </w:rPr>
        <w:lastRenderedPageBreak/>
        <w:t>elevation, and hillshade. Most input variables were significant in small cities, excluding distance to all cities, all roads, elevation, hillshade, and slope. In all three city types, developed pressure, distance from all roads, secondary roads, tertiary roads, lakes, and distance from all cities were significant, whereas elevation was consistently insignificant.</w:t>
      </w:r>
    </w:p>
    <w:p w14:paraId="492438CC" w14:textId="77777777" w:rsidR="00073C1B" w:rsidRDefault="00073C1B" w:rsidP="00073C1B">
      <w:pPr>
        <w:keepNext/>
        <w:spacing w:line="240" w:lineRule="auto"/>
        <w:jc w:val="both"/>
      </w:pPr>
      <w:r w:rsidRPr="00103457">
        <w:rPr>
          <w:rFonts w:ascii="Times New Roman" w:eastAsia="Aptos" w:hAnsi="Times New Roman"/>
          <w:noProof/>
          <w:lang w:bidi="ar-SA"/>
          <w14:ligatures w14:val="standardContextual"/>
        </w:rPr>
        <w:drawing>
          <wp:inline distT="0" distB="0" distL="0" distR="0" wp14:anchorId="5C25CF87" wp14:editId="5D32C07D">
            <wp:extent cx="5891917" cy="4713534"/>
            <wp:effectExtent l="0" t="0" r="0" b="0"/>
            <wp:docPr id="835708225"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08225" name="Picture 8" descr="A screenshot of a graph&#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98962" cy="4719170"/>
                    </a:xfrm>
                    <a:prstGeom prst="rect">
                      <a:avLst/>
                    </a:prstGeom>
                  </pic:spPr>
                </pic:pic>
              </a:graphicData>
            </a:graphic>
          </wp:inline>
        </w:drawing>
      </w:r>
    </w:p>
    <w:p w14:paraId="0DA3B365" w14:textId="1E93914C" w:rsidR="00073C1B" w:rsidRPr="00C954D7" w:rsidRDefault="00073C1B" w:rsidP="004A2CFC">
      <w:pPr>
        <w:spacing w:line="240" w:lineRule="auto"/>
      </w:pPr>
      <w:bookmarkStart w:id="147" w:name="_Ref171971737"/>
      <w:bookmarkStart w:id="148" w:name="_Toc172233512"/>
      <w:r w:rsidRPr="00995088">
        <w:rPr>
          <w:b/>
          <w:bCs/>
        </w:rPr>
        <w:t xml:space="preserve">Figure </w:t>
      </w:r>
      <w:r w:rsidRPr="00995088">
        <w:rPr>
          <w:b/>
          <w:bCs/>
        </w:rPr>
        <w:fldChar w:fldCharType="begin"/>
      </w:r>
      <w:r w:rsidRPr="00995088">
        <w:rPr>
          <w:b/>
          <w:bCs/>
        </w:rPr>
        <w:instrText xml:space="preserve"> SEQ Figure \* ARABIC </w:instrText>
      </w:r>
      <w:r w:rsidRPr="00995088">
        <w:rPr>
          <w:b/>
          <w:bCs/>
        </w:rPr>
        <w:fldChar w:fldCharType="separate"/>
      </w:r>
      <w:r w:rsidR="00B129D9">
        <w:rPr>
          <w:b/>
          <w:bCs/>
          <w:noProof/>
        </w:rPr>
        <w:t>15</w:t>
      </w:r>
      <w:r w:rsidRPr="00995088">
        <w:rPr>
          <w:b/>
          <w:bCs/>
        </w:rPr>
        <w:fldChar w:fldCharType="end"/>
      </w:r>
      <w:bookmarkEnd w:id="147"/>
      <w:r w:rsidRPr="00C954D7">
        <w:t>:  Variable Importance across city types in Ghana, Togo, Benin, and Nigeria. There is a clear variation in the importance of predictors across the four different countries.</w:t>
      </w:r>
      <w:bookmarkEnd w:id="148"/>
    </w:p>
    <w:p w14:paraId="0C970101" w14:textId="77777777" w:rsidR="004232B0" w:rsidRDefault="004232B0" w:rsidP="00941ACA">
      <w:pPr>
        <w:ind w:firstLine="360"/>
        <w:rPr>
          <w:rFonts w:ascii="Times New Roman" w:eastAsia="Aptos" w:hAnsi="Times New Roman"/>
          <w:lang w:bidi="ar-SA"/>
          <w14:ligatures w14:val="standardContextual"/>
        </w:rPr>
      </w:pPr>
    </w:p>
    <w:p w14:paraId="096881AB" w14:textId="1EB7CF43" w:rsidR="00941ACA" w:rsidRDefault="00941ACA" w:rsidP="00941ACA">
      <w:pPr>
        <w:ind w:firstLine="360"/>
        <w:rPr>
          <w:rFonts w:ascii="Times New Roman" w:eastAsia="Aptos" w:hAnsi="Times New Roman"/>
          <w:lang w:bidi="ar-SA"/>
          <w14:ligatures w14:val="standardContextual"/>
        </w:rPr>
      </w:pPr>
      <w:r w:rsidRPr="00941ACA">
        <w:rPr>
          <w:rFonts w:ascii="Times New Roman" w:eastAsia="Aptos" w:hAnsi="Times New Roman"/>
          <w:lang w:bidi="ar-SA"/>
          <w14:ligatures w14:val="standardContextual"/>
        </w:rPr>
        <w:t xml:space="preserve">In Togo’s large cities, 11 (71.4%) predictors were statistically significant, except distance from protected areas, lakes, elevation, and slope (Table S4). In medium cities, all variables were significant, except distance from primary cities, local roads, lakes, elevation, and hillshade. Likewise, all predictors were significant in small cities, excluding distance to roads, rivers, </w:t>
      </w:r>
      <w:r w:rsidRPr="00941ACA">
        <w:rPr>
          <w:rFonts w:ascii="Times New Roman" w:eastAsia="Aptos" w:hAnsi="Times New Roman"/>
          <w:lang w:bidi="ar-SA"/>
          <w14:ligatures w14:val="standardContextual"/>
        </w:rPr>
        <w:lastRenderedPageBreak/>
        <w:t>protected areas, elevation, and hillshade. Across all cities, developed pressure, distance from secondary cities, all cities, all roads, and tertiary roads were generally significant, whereas elevation was consistently insignificant.</w:t>
      </w:r>
    </w:p>
    <w:p w14:paraId="145D36EE" w14:textId="77777777" w:rsidR="00103457" w:rsidRPr="00103457" w:rsidRDefault="00103457" w:rsidP="0097038E">
      <w:pPr>
        <w:spacing w:line="240" w:lineRule="auto"/>
        <w:jc w:val="both"/>
        <w:rPr>
          <w:rFonts w:ascii="Times New Roman" w:eastAsia="Aptos" w:hAnsi="Times New Roman"/>
          <w:bCs/>
          <w:lang w:bidi="ar-SA"/>
          <w14:ligatures w14:val="standardContextual"/>
        </w:rPr>
      </w:pPr>
    </w:p>
    <w:p w14:paraId="5710F7BD" w14:textId="77777777" w:rsidR="00103457" w:rsidRPr="00103457" w:rsidRDefault="00103457" w:rsidP="00277F12">
      <w:pPr>
        <w:pStyle w:val="Heading3"/>
      </w:pPr>
      <w:bookmarkStart w:id="149" w:name="_Toc172288756"/>
      <w:r w:rsidRPr="00103457">
        <w:t>Accuracy comparison across city types</w:t>
      </w:r>
      <w:bookmarkEnd w:id="149"/>
    </w:p>
    <w:p w14:paraId="59B3C09B" w14:textId="6EDD0899" w:rsidR="00916FAF" w:rsidRDefault="006B7054" w:rsidP="007F66D9">
      <w:pPr>
        <w:ind w:firstLine="360"/>
        <w:rPr>
          <w:rFonts w:ascii="Times New Roman" w:hAnsi="Times New Roman"/>
        </w:rPr>
      </w:pPr>
      <w:r w:rsidRPr="41F9602A">
        <w:rPr>
          <w:rFonts w:ascii="Times New Roman" w:hAnsi="Times New Roman"/>
        </w:rPr>
        <w:t xml:space="preserve">Under </w:t>
      </w:r>
      <w:r w:rsidRPr="41F9602A">
        <w:rPr>
          <w:rFonts w:ascii="Times New Roman" w:hAnsi="Times New Roman"/>
          <w:i/>
          <w:iCs/>
        </w:rPr>
        <w:t>Status Quo</w:t>
      </w:r>
      <w:r w:rsidRPr="41F9602A">
        <w:rPr>
          <w:rFonts w:ascii="Times New Roman" w:hAnsi="Times New Roman"/>
        </w:rPr>
        <w:t xml:space="preserve"> conditions, the probability of pixel conversion rate varied across the simulated area in each country (</w:t>
      </w:r>
      <w:r>
        <w:rPr>
          <w:rFonts w:ascii="Times New Roman" w:hAnsi="Times New Roman"/>
        </w:rPr>
        <w:fldChar w:fldCharType="begin"/>
      </w:r>
      <w:r>
        <w:rPr>
          <w:rFonts w:ascii="Times New Roman" w:hAnsi="Times New Roman"/>
        </w:rPr>
        <w:instrText xml:space="preserve"> REF _Ref171971817 \h </w:instrText>
      </w:r>
      <w:r w:rsidR="00D77ED2">
        <w:rPr>
          <w:rFonts w:ascii="Times New Roman" w:hAnsi="Times New Roman"/>
        </w:rPr>
        <w:instrText xml:space="preserve"> \* MERGEFORMAT </w:instrText>
      </w:r>
      <w:r>
        <w:rPr>
          <w:rFonts w:ascii="Times New Roman" w:hAnsi="Times New Roman"/>
        </w:rPr>
      </w:r>
      <w:r>
        <w:rPr>
          <w:rFonts w:ascii="Times New Roman" w:hAnsi="Times New Roman"/>
        </w:rPr>
        <w:fldChar w:fldCharType="separate"/>
      </w:r>
      <w:r w:rsidR="00B129D9" w:rsidRPr="00B129D9">
        <w:rPr>
          <w:rFonts w:ascii="Times New Roman" w:hAnsi="Times New Roman"/>
        </w:rPr>
        <w:t xml:space="preserve">Figure </w:t>
      </w:r>
      <w:r w:rsidR="00B129D9" w:rsidRPr="00B129D9">
        <w:rPr>
          <w:rFonts w:ascii="Times New Roman" w:hAnsi="Times New Roman"/>
          <w:noProof/>
        </w:rPr>
        <w:t>16</w:t>
      </w:r>
      <w:r>
        <w:rPr>
          <w:rFonts w:ascii="Times New Roman" w:hAnsi="Times New Roman"/>
        </w:rPr>
        <w:fldChar w:fldCharType="end"/>
      </w:r>
      <w:r w:rsidRPr="41F9602A">
        <w:rPr>
          <w:rFonts w:ascii="Times New Roman" w:hAnsi="Times New Roman"/>
        </w:rPr>
        <w:t>). Visual comparison of reference maps with the probability of development across all 20 simulation runs found a cut-off of 20% best-simulated future developed area (</w:t>
      </w:r>
      <w:r w:rsidRPr="0017686A">
        <w:rPr>
          <w:rFonts w:ascii="Times New Roman" w:hAnsi="Times New Roman"/>
        </w:rPr>
        <w:fldChar w:fldCharType="begin"/>
      </w:r>
      <w:r w:rsidRPr="0017686A">
        <w:rPr>
          <w:rFonts w:ascii="Times New Roman" w:hAnsi="Times New Roman"/>
        </w:rPr>
        <w:instrText xml:space="preserve"> REF _Ref171971896 \h </w:instrText>
      </w:r>
      <w:r w:rsidR="00D77ED2" w:rsidRPr="0017686A">
        <w:rPr>
          <w:rFonts w:ascii="Times New Roman" w:hAnsi="Times New Roman"/>
        </w:rPr>
        <w:instrText xml:space="preserve"> \* MERGEFORMAT </w:instrText>
      </w:r>
      <w:r w:rsidRPr="0017686A">
        <w:rPr>
          <w:rFonts w:ascii="Times New Roman" w:hAnsi="Times New Roman"/>
        </w:rPr>
      </w:r>
      <w:r w:rsidRPr="0017686A">
        <w:rPr>
          <w:rFonts w:ascii="Times New Roman" w:hAnsi="Times New Roman"/>
        </w:rPr>
        <w:fldChar w:fldCharType="separate"/>
      </w:r>
      <w:r w:rsidR="00B129D9" w:rsidRPr="00B129D9">
        <w:rPr>
          <w:rFonts w:ascii="Times New Roman" w:hAnsi="Times New Roman"/>
        </w:rPr>
        <w:t>Figure 17</w:t>
      </w:r>
      <w:r w:rsidRPr="0017686A">
        <w:rPr>
          <w:rFonts w:ascii="Times New Roman" w:hAnsi="Times New Roman"/>
        </w:rPr>
        <w:fldChar w:fldCharType="end"/>
      </w:r>
      <w:r w:rsidRPr="0017686A">
        <w:rPr>
          <w:rFonts w:ascii="Times New Roman" w:hAnsi="Times New Roman"/>
        </w:rPr>
        <w:t>).</w:t>
      </w:r>
      <w:r w:rsidRPr="41F9602A">
        <w:rPr>
          <w:rFonts w:ascii="Times New Roman" w:hAnsi="Times New Roman"/>
        </w:rPr>
        <w:t xml:space="preserve"> We arrived at this 20% through visual comparison of different thresholds and comparing them with the 2020 reference map. The FoM, which estimates the intersection between the reference and simulated map, ranges from 0.04 – 0.16. The FoM values across all cities in Nigeria and large cities in Togo were generally over 0.1, while values for cities in Ghana and Benin were below 0.1.  The amount of hits, false alarms, and misses varied across cities in each country, with generally higher misses than false alarms, except in cities in Nigeria and Togo. Also, the proportion of hits was generally higher in the large cities than in small and medium cities for each country, except for medium cities in </w:t>
      </w:r>
      <w:r w:rsidRPr="00F64774">
        <w:rPr>
          <w:rFonts w:ascii="Times New Roman" w:hAnsi="Times New Roman"/>
        </w:rPr>
        <w:t>Nigeria (</w:t>
      </w:r>
      <w:r w:rsidRPr="00F64774">
        <w:rPr>
          <w:rFonts w:ascii="Times New Roman" w:hAnsi="Times New Roman"/>
        </w:rPr>
        <w:fldChar w:fldCharType="begin"/>
      </w:r>
      <w:r w:rsidRPr="00F64774">
        <w:rPr>
          <w:rFonts w:ascii="Times New Roman" w:hAnsi="Times New Roman"/>
        </w:rPr>
        <w:instrText xml:space="preserve"> REF _Ref171971881 \h </w:instrText>
      </w:r>
      <w:r w:rsidR="00D77ED2" w:rsidRPr="00F64774">
        <w:rPr>
          <w:rFonts w:ascii="Times New Roman" w:hAnsi="Times New Roman"/>
        </w:rPr>
        <w:instrText xml:space="preserve"> \* MERGEFORMAT </w:instrText>
      </w:r>
      <w:r w:rsidRPr="00F64774">
        <w:rPr>
          <w:rFonts w:ascii="Times New Roman" w:hAnsi="Times New Roman"/>
        </w:rPr>
      </w:r>
      <w:r w:rsidRPr="00F64774">
        <w:rPr>
          <w:rFonts w:ascii="Times New Roman" w:hAnsi="Times New Roman"/>
        </w:rPr>
        <w:fldChar w:fldCharType="separate"/>
      </w:r>
      <w:r w:rsidR="00B129D9" w:rsidRPr="00B129D9">
        <w:rPr>
          <w:rFonts w:ascii="Times New Roman" w:hAnsi="Times New Roman"/>
        </w:rPr>
        <w:t>Figure 18</w:t>
      </w:r>
      <w:r w:rsidRPr="00F64774">
        <w:rPr>
          <w:rFonts w:ascii="Times New Roman" w:hAnsi="Times New Roman"/>
        </w:rPr>
        <w:fldChar w:fldCharType="end"/>
      </w:r>
      <w:r w:rsidRPr="00F64774">
        <w:rPr>
          <w:rFonts w:ascii="Times New Roman" w:hAnsi="Times New Roman"/>
        </w:rPr>
        <w:t>).</w:t>
      </w:r>
    </w:p>
    <w:p w14:paraId="48167485" w14:textId="612B9EE9" w:rsidR="007F66D9" w:rsidRPr="00C96424" w:rsidRDefault="007F66D9" w:rsidP="004232B0">
      <w:pPr>
        <w:ind w:firstLine="360"/>
        <w:rPr>
          <w:rFonts w:ascii="Times New Roman" w:hAnsi="Times New Roman"/>
        </w:rPr>
      </w:pPr>
      <w:r w:rsidRPr="09B8FE07">
        <w:rPr>
          <w:rFonts w:ascii="Times New Roman" w:hAnsi="Times New Roman"/>
        </w:rPr>
        <w:t>Additionally, the quantity metrics, including the total developed area and percentage of landscape in the reference map across the cities in each country, were generally higher than in simulated maps, except for large cities in Togo (</w:t>
      </w:r>
      <w:r>
        <w:rPr>
          <w:rFonts w:ascii="Times New Roman" w:hAnsi="Times New Roman"/>
        </w:rPr>
        <w:fldChar w:fldCharType="begin"/>
      </w:r>
      <w:r>
        <w:rPr>
          <w:rFonts w:ascii="Times New Roman" w:hAnsi="Times New Roman"/>
        </w:rPr>
        <w:instrText xml:space="preserve"> REF _Ref171972060 \h  \* MERGEFORMAT </w:instrText>
      </w:r>
      <w:r>
        <w:rPr>
          <w:rFonts w:ascii="Times New Roman" w:hAnsi="Times New Roman"/>
        </w:rPr>
      </w:r>
      <w:r>
        <w:rPr>
          <w:rFonts w:ascii="Times New Roman" w:hAnsi="Times New Roman"/>
        </w:rPr>
        <w:fldChar w:fldCharType="separate"/>
      </w:r>
      <w:r w:rsidR="00B129D9" w:rsidRPr="00B129D9">
        <w:rPr>
          <w:rFonts w:ascii="Times New Roman" w:hAnsi="Times New Roman"/>
        </w:rPr>
        <w:t xml:space="preserve">Table </w:t>
      </w:r>
      <w:r w:rsidR="00B129D9" w:rsidRPr="00B129D9">
        <w:rPr>
          <w:rFonts w:ascii="Times New Roman" w:hAnsi="Times New Roman"/>
          <w:noProof/>
        </w:rPr>
        <w:t>10</w:t>
      </w:r>
      <w:r>
        <w:rPr>
          <w:rFonts w:ascii="Times New Roman" w:hAnsi="Times New Roman"/>
        </w:rPr>
        <w:fldChar w:fldCharType="end"/>
      </w:r>
      <w:r w:rsidRPr="09B8FE07">
        <w:rPr>
          <w:rFonts w:ascii="Times New Roman" w:hAnsi="Times New Roman"/>
        </w:rPr>
        <w:t xml:space="preserve">). However, the number of patches was consistently higher in the simulated map than in the reference map. The pattern metrics, including the normalized landscape shape index and the contiguous index, were consistently higher in the simulated maps than in the reference maps across all cities in each country. The mean Euclidean nearest neighbor distance, however, was higher in the simulated map than the reference maps across all cities in each country. In short, the patches in the developed area were </w:t>
      </w:r>
      <w:r w:rsidRPr="09B8FE07">
        <w:rPr>
          <w:rFonts w:ascii="Times New Roman" w:hAnsi="Times New Roman"/>
        </w:rPr>
        <w:lastRenderedPageBreak/>
        <w:t>mostly isolated, irregular, and more dispersed in the simulated map than the reference map for 2020.</w:t>
      </w:r>
    </w:p>
    <w:p w14:paraId="7159D559" w14:textId="7809682D" w:rsidR="000D1E60" w:rsidRDefault="006303D4" w:rsidP="000D1E60">
      <w:pPr>
        <w:keepNext/>
        <w:spacing w:after="160" w:line="360" w:lineRule="auto"/>
        <w:jc w:val="both"/>
      </w:pPr>
      <w:r>
        <w:rPr>
          <w:noProof/>
          <w:lang w:bidi="ar-SA"/>
        </w:rPr>
        <w:drawing>
          <wp:inline distT="0" distB="0" distL="0" distR="0" wp14:anchorId="1BEE8E1F" wp14:editId="1CA4232D">
            <wp:extent cx="5812478" cy="6416702"/>
            <wp:effectExtent l="0" t="0" r="0" b="3175"/>
            <wp:docPr id="17042723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72332" name="Picture 170427233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14370" cy="6418791"/>
                    </a:xfrm>
                    <a:prstGeom prst="rect">
                      <a:avLst/>
                    </a:prstGeom>
                  </pic:spPr>
                </pic:pic>
              </a:graphicData>
            </a:graphic>
          </wp:inline>
        </w:drawing>
      </w:r>
    </w:p>
    <w:p w14:paraId="2880C483" w14:textId="4790DA81" w:rsidR="00550B6E" w:rsidRPr="00C954D7" w:rsidRDefault="00550B6E" w:rsidP="00505D6B">
      <w:pPr>
        <w:spacing w:line="240" w:lineRule="auto"/>
      </w:pPr>
      <w:bookmarkStart w:id="150" w:name="_Ref171971817"/>
      <w:bookmarkStart w:id="151" w:name="_Toc172233513"/>
      <w:bookmarkStart w:id="152" w:name="_Ref169282827"/>
      <w:r w:rsidRPr="00995088">
        <w:rPr>
          <w:b/>
          <w:bCs/>
        </w:rPr>
        <w:t xml:space="preserve">Figure </w:t>
      </w:r>
      <w:r w:rsidRPr="00995088">
        <w:rPr>
          <w:b/>
          <w:bCs/>
        </w:rPr>
        <w:fldChar w:fldCharType="begin"/>
      </w:r>
      <w:r w:rsidRPr="00995088">
        <w:rPr>
          <w:b/>
          <w:bCs/>
        </w:rPr>
        <w:instrText xml:space="preserve"> SEQ Figure \* ARABIC </w:instrText>
      </w:r>
      <w:r w:rsidRPr="00995088">
        <w:rPr>
          <w:b/>
          <w:bCs/>
        </w:rPr>
        <w:fldChar w:fldCharType="separate"/>
      </w:r>
      <w:r w:rsidR="00B129D9">
        <w:rPr>
          <w:b/>
          <w:bCs/>
          <w:noProof/>
        </w:rPr>
        <w:t>16</w:t>
      </w:r>
      <w:r w:rsidRPr="00995088">
        <w:rPr>
          <w:b/>
          <w:bCs/>
        </w:rPr>
        <w:fldChar w:fldCharType="end"/>
      </w:r>
      <w:bookmarkEnd w:id="150"/>
      <w:r w:rsidRPr="00C954D7">
        <w:t>: Distribution of development probabilities of pixels selected to develop across 20 simulations.</w:t>
      </w:r>
      <w:bookmarkEnd w:id="151"/>
    </w:p>
    <w:p w14:paraId="5A9E157C" w14:textId="77777777" w:rsidR="00550B6E" w:rsidRDefault="00550B6E" w:rsidP="00560464">
      <w:pPr>
        <w:spacing w:line="240" w:lineRule="auto"/>
        <w:rPr>
          <w:b/>
          <w:bCs/>
        </w:rPr>
      </w:pPr>
    </w:p>
    <w:bookmarkEnd w:id="152"/>
    <w:p w14:paraId="5B49D605" w14:textId="77777777" w:rsidR="00916FAF" w:rsidRDefault="00916FAF" w:rsidP="00FD1D32">
      <w:pPr>
        <w:rPr>
          <w:rFonts w:eastAsia="Aptos"/>
        </w:rPr>
      </w:pPr>
    </w:p>
    <w:p w14:paraId="63DC608C" w14:textId="0E99E0FC" w:rsidR="00595166" w:rsidRPr="00FD1D32" w:rsidRDefault="00AB2826" w:rsidP="00560464">
      <w:pPr>
        <w:spacing w:line="240" w:lineRule="auto"/>
      </w:pPr>
      <w:bookmarkStart w:id="153" w:name="_Ref171972060"/>
      <w:bookmarkStart w:id="154" w:name="_Ref169282712"/>
      <w:bookmarkStart w:id="155" w:name="_Toc172233726"/>
      <w:r w:rsidRPr="00995088">
        <w:rPr>
          <w:rFonts w:ascii="Times New Roman" w:hAnsi="Times New Roman"/>
          <w:b/>
          <w:bCs/>
        </w:rPr>
        <w:lastRenderedPageBreak/>
        <w:t xml:space="preserve">Table </w:t>
      </w:r>
      <w:r w:rsidRPr="00995088">
        <w:rPr>
          <w:rFonts w:ascii="Times New Roman" w:hAnsi="Times New Roman"/>
          <w:b/>
          <w:bCs/>
        </w:rPr>
        <w:fldChar w:fldCharType="begin"/>
      </w:r>
      <w:r w:rsidRPr="00995088">
        <w:rPr>
          <w:rFonts w:ascii="Times New Roman" w:hAnsi="Times New Roman"/>
          <w:b/>
          <w:bCs/>
        </w:rPr>
        <w:instrText xml:space="preserve"> SEQ Table \* ARABIC </w:instrText>
      </w:r>
      <w:r w:rsidRPr="00995088">
        <w:rPr>
          <w:rFonts w:ascii="Times New Roman" w:hAnsi="Times New Roman"/>
          <w:b/>
          <w:bCs/>
        </w:rPr>
        <w:fldChar w:fldCharType="separate"/>
      </w:r>
      <w:r w:rsidR="00B129D9">
        <w:rPr>
          <w:rFonts w:ascii="Times New Roman" w:hAnsi="Times New Roman"/>
          <w:b/>
          <w:bCs/>
          <w:noProof/>
        </w:rPr>
        <w:t>10</w:t>
      </w:r>
      <w:r w:rsidRPr="00995088">
        <w:rPr>
          <w:rFonts w:ascii="Times New Roman" w:hAnsi="Times New Roman"/>
          <w:b/>
          <w:bCs/>
        </w:rPr>
        <w:fldChar w:fldCharType="end"/>
      </w:r>
      <w:bookmarkEnd w:id="153"/>
      <w:r w:rsidRPr="00A931D7">
        <w:rPr>
          <w:rFonts w:ascii="Times New Roman" w:hAnsi="Times New Roman"/>
        </w:rPr>
        <w:t>: Pattern and quantity metrics of reference and simulated maps in each country.</w:t>
      </w:r>
      <w:bookmarkEnd w:id="154"/>
      <w:bookmarkEnd w:id="155"/>
    </w:p>
    <w:p w14:paraId="1870D12D" w14:textId="77777777" w:rsidR="00595166" w:rsidRDefault="00595166" w:rsidP="00595166">
      <w:pPr>
        <w:spacing w:line="240" w:lineRule="auto"/>
      </w:pPr>
    </w:p>
    <w:tbl>
      <w:tblPr>
        <w:tblW w:w="9180" w:type="dxa"/>
        <w:tblLook w:val="04A0" w:firstRow="1" w:lastRow="0" w:firstColumn="1" w:lastColumn="0" w:noHBand="0" w:noVBand="1"/>
      </w:tblPr>
      <w:tblGrid>
        <w:gridCol w:w="737"/>
        <w:gridCol w:w="623"/>
        <w:gridCol w:w="721"/>
        <w:gridCol w:w="622"/>
        <w:gridCol w:w="535"/>
        <w:gridCol w:w="546"/>
        <w:gridCol w:w="716"/>
        <w:gridCol w:w="720"/>
        <w:gridCol w:w="630"/>
        <w:gridCol w:w="630"/>
        <w:gridCol w:w="630"/>
        <w:gridCol w:w="630"/>
        <w:gridCol w:w="720"/>
        <w:gridCol w:w="720"/>
      </w:tblGrid>
      <w:tr w:rsidR="00595166" w:rsidRPr="00A2694A" w14:paraId="7EDC032A" w14:textId="77777777" w:rsidTr="00505D6B">
        <w:trPr>
          <w:trHeight w:val="290"/>
        </w:trPr>
        <w:tc>
          <w:tcPr>
            <w:tcW w:w="737" w:type="dxa"/>
            <w:vMerge w:val="restart"/>
            <w:tcBorders>
              <w:top w:val="single" w:sz="4" w:space="0" w:color="auto"/>
              <w:left w:val="nil"/>
              <w:bottom w:val="single" w:sz="4" w:space="0" w:color="000000"/>
              <w:right w:val="nil"/>
            </w:tcBorders>
            <w:shd w:val="clear" w:color="auto" w:fill="auto"/>
            <w:noWrap/>
            <w:vAlign w:val="center"/>
            <w:hideMark/>
          </w:tcPr>
          <w:p w14:paraId="3B15578E" w14:textId="77777777" w:rsidR="00595166" w:rsidRPr="00A2694A" w:rsidRDefault="00595166" w:rsidP="005A41EC">
            <w:pPr>
              <w:spacing w:line="240" w:lineRule="auto"/>
              <w:jc w:val="center"/>
              <w:rPr>
                <w:rFonts w:cstheme="minorHAnsi"/>
                <w:b/>
                <w:bCs/>
                <w:color w:val="000000"/>
                <w:sz w:val="14"/>
                <w:szCs w:val="14"/>
                <w:lang w:bidi="ar-SA"/>
              </w:rPr>
            </w:pPr>
            <w:r w:rsidRPr="00A2694A">
              <w:rPr>
                <w:rFonts w:cstheme="minorHAnsi"/>
                <w:b/>
                <w:bCs/>
                <w:color w:val="000000"/>
                <w:sz w:val="14"/>
                <w:szCs w:val="14"/>
                <w:lang w:bidi="ar-SA"/>
              </w:rPr>
              <w:t>Country</w:t>
            </w:r>
          </w:p>
        </w:tc>
        <w:tc>
          <w:tcPr>
            <w:tcW w:w="623" w:type="dxa"/>
            <w:vMerge w:val="restart"/>
            <w:tcBorders>
              <w:top w:val="single" w:sz="4" w:space="0" w:color="auto"/>
              <w:left w:val="nil"/>
              <w:bottom w:val="single" w:sz="4" w:space="0" w:color="000000"/>
              <w:right w:val="nil"/>
            </w:tcBorders>
            <w:shd w:val="clear" w:color="auto" w:fill="auto"/>
            <w:noWrap/>
            <w:vAlign w:val="center"/>
            <w:hideMark/>
          </w:tcPr>
          <w:p w14:paraId="3CCCC2DF" w14:textId="77777777" w:rsidR="00595166" w:rsidRPr="00A2694A" w:rsidRDefault="00595166" w:rsidP="005A41EC">
            <w:pPr>
              <w:spacing w:line="240" w:lineRule="auto"/>
              <w:jc w:val="center"/>
              <w:rPr>
                <w:rFonts w:cstheme="minorHAnsi"/>
                <w:b/>
                <w:bCs/>
                <w:color w:val="000000"/>
                <w:sz w:val="16"/>
                <w:szCs w:val="16"/>
                <w:lang w:bidi="ar-SA"/>
              </w:rPr>
            </w:pPr>
            <w:r w:rsidRPr="00A2694A">
              <w:rPr>
                <w:rFonts w:cstheme="minorHAnsi"/>
                <w:b/>
                <w:bCs/>
                <w:color w:val="000000"/>
                <w:sz w:val="16"/>
                <w:szCs w:val="16"/>
                <w:lang w:bidi="ar-SA"/>
              </w:rPr>
              <w:t>City</w:t>
            </w:r>
          </w:p>
        </w:tc>
        <w:tc>
          <w:tcPr>
            <w:tcW w:w="38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5CA826" w14:textId="77777777" w:rsidR="00595166" w:rsidRPr="00A2694A" w:rsidRDefault="00595166" w:rsidP="005A41EC">
            <w:pPr>
              <w:spacing w:line="240" w:lineRule="auto"/>
              <w:jc w:val="center"/>
              <w:rPr>
                <w:rFonts w:cstheme="minorHAnsi"/>
                <w:b/>
                <w:bCs/>
                <w:color w:val="000000"/>
                <w:sz w:val="18"/>
                <w:szCs w:val="18"/>
                <w:lang w:bidi="ar-SA"/>
              </w:rPr>
            </w:pPr>
            <w:r w:rsidRPr="00A2694A">
              <w:rPr>
                <w:rFonts w:cstheme="minorHAnsi"/>
                <w:b/>
                <w:bCs/>
                <w:color w:val="000000"/>
                <w:sz w:val="18"/>
                <w:szCs w:val="18"/>
                <w:lang w:bidi="ar-SA"/>
              </w:rPr>
              <w:t>Reference 2020</w:t>
            </w:r>
          </w:p>
        </w:tc>
        <w:tc>
          <w:tcPr>
            <w:tcW w:w="3960" w:type="dxa"/>
            <w:gridSpan w:val="6"/>
            <w:tcBorders>
              <w:top w:val="single" w:sz="4" w:space="0" w:color="auto"/>
              <w:left w:val="nil"/>
              <w:bottom w:val="single" w:sz="4" w:space="0" w:color="000000"/>
              <w:right w:val="nil"/>
            </w:tcBorders>
            <w:shd w:val="clear" w:color="auto" w:fill="auto"/>
            <w:noWrap/>
            <w:vAlign w:val="bottom"/>
            <w:hideMark/>
          </w:tcPr>
          <w:p w14:paraId="7BAB8A0D" w14:textId="77777777" w:rsidR="00595166" w:rsidRPr="00A2694A" w:rsidRDefault="00595166" w:rsidP="005A41EC">
            <w:pPr>
              <w:spacing w:line="240" w:lineRule="auto"/>
              <w:jc w:val="center"/>
              <w:rPr>
                <w:rFonts w:cstheme="minorHAnsi"/>
                <w:b/>
                <w:bCs/>
                <w:color w:val="000000"/>
                <w:sz w:val="18"/>
                <w:szCs w:val="18"/>
                <w:lang w:bidi="ar-SA"/>
              </w:rPr>
            </w:pPr>
            <w:r w:rsidRPr="00A2694A">
              <w:rPr>
                <w:rFonts w:cstheme="minorHAnsi"/>
                <w:b/>
                <w:bCs/>
                <w:color w:val="000000"/>
                <w:sz w:val="18"/>
                <w:szCs w:val="18"/>
                <w:lang w:bidi="ar-SA"/>
              </w:rPr>
              <w:t>Simulated 2020</w:t>
            </w:r>
          </w:p>
        </w:tc>
      </w:tr>
      <w:tr w:rsidR="00595166" w:rsidRPr="00A2694A" w14:paraId="0A034C81" w14:textId="77777777" w:rsidTr="00505D6B">
        <w:trPr>
          <w:trHeight w:val="290"/>
        </w:trPr>
        <w:tc>
          <w:tcPr>
            <w:tcW w:w="737" w:type="dxa"/>
            <w:vMerge/>
            <w:tcBorders>
              <w:top w:val="single" w:sz="4" w:space="0" w:color="auto"/>
              <w:left w:val="nil"/>
              <w:bottom w:val="single" w:sz="4" w:space="0" w:color="000000"/>
              <w:right w:val="nil"/>
            </w:tcBorders>
            <w:vAlign w:val="center"/>
            <w:hideMark/>
          </w:tcPr>
          <w:p w14:paraId="59725892" w14:textId="77777777" w:rsidR="00595166" w:rsidRPr="00A2694A" w:rsidRDefault="00595166" w:rsidP="005A41EC">
            <w:pPr>
              <w:spacing w:line="240" w:lineRule="auto"/>
              <w:jc w:val="center"/>
              <w:rPr>
                <w:rFonts w:cstheme="minorHAnsi"/>
                <w:b/>
                <w:bCs/>
                <w:color w:val="000000"/>
                <w:sz w:val="16"/>
                <w:szCs w:val="16"/>
                <w:lang w:bidi="ar-SA"/>
              </w:rPr>
            </w:pPr>
          </w:p>
        </w:tc>
        <w:tc>
          <w:tcPr>
            <w:tcW w:w="623" w:type="dxa"/>
            <w:vMerge/>
            <w:tcBorders>
              <w:top w:val="single" w:sz="4" w:space="0" w:color="auto"/>
              <w:left w:val="nil"/>
              <w:bottom w:val="single" w:sz="4" w:space="0" w:color="000000"/>
              <w:right w:val="nil"/>
            </w:tcBorders>
            <w:vAlign w:val="center"/>
            <w:hideMark/>
          </w:tcPr>
          <w:p w14:paraId="12BCABB0" w14:textId="77777777" w:rsidR="00595166" w:rsidRPr="00A2694A" w:rsidRDefault="00595166" w:rsidP="005A41EC">
            <w:pPr>
              <w:spacing w:line="240" w:lineRule="auto"/>
              <w:jc w:val="center"/>
              <w:rPr>
                <w:rFonts w:cstheme="minorHAnsi"/>
                <w:b/>
                <w:bCs/>
                <w:color w:val="000000"/>
                <w:sz w:val="12"/>
                <w:szCs w:val="12"/>
                <w:lang w:bidi="ar-SA"/>
              </w:rPr>
            </w:pPr>
          </w:p>
        </w:tc>
        <w:tc>
          <w:tcPr>
            <w:tcW w:w="721" w:type="dxa"/>
            <w:tcBorders>
              <w:top w:val="nil"/>
              <w:left w:val="single" w:sz="4" w:space="0" w:color="auto"/>
              <w:bottom w:val="nil"/>
              <w:right w:val="nil"/>
            </w:tcBorders>
            <w:shd w:val="clear" w:color="auto" w:fill="auto"/>
            <w:noWrap/>
            <w:vAlign w:val="center"/>
            <w:hideMark/>
          </w:tcPr>
          <w:p w14:paraId="6B133FD3" w14:textId="77777777" w:rsidR="00595166" w:rsidRPr="00A00E09" w:rsidRDefault="00595166" w:rsidP="005A41EC">
            <w:pPr>
              <w:spacing w:line="240" w:lineRule="auto"/>
              <w:jc w:val="center"/>
              <w:rPr>
                <w:rFonts w:cstheme="minorHAnsi"/>
                <w:b/>
                <w:bCs/>
                <w:color w:val="000000"/>
                <w:sz w:val="11"/>
                <w:szCs w:val="11"/>
                <w:lang w:bidi="ar-SA"/>
              </w:rPr>
            </w:pPr>
          </w:p>
          <w:p w14:paraId="5C846707"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PLAND</w:t>
            </w:r>
          </w:p>
        </w:tc>
        <w:tc>
          <w:tcPr>
            <w:tcW w:w="622" w:type="dxa"/>
            <w:tcBorders>
              <w:top w:val="nil"/>
              <w:left w:val="nil"/>
              <w:bottom w:val="single" w:sz="4" w:space="0" w:color="auto"/>
              <w:right w:val="nil"/>
            </w:tcBorders>
            <w:shd w:val="clear" w:color="auto" w:fill="auto"/>
            <w:noWrap/>
            <w:vAlign w:val="bottom"/>
            <w:hideMark/>
          </w:tcPr>
          <w:p w14:paraId="5E716E9A"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CA</w:t>
            </w:r>
          </w:p>
        </w:tc>
        <w:tc>
          <w:tcPr>
            <w:tcW w:w="535" w:type="dxa"/>
            <w:tcBorders>
              <w:top w:val="nil"/>
              <w:left w:val="nil"/>
              <w:bottom w:val="single" w:sz="4" w:space="0" w:color="auto"/>
              <w:right w:val="nil"/>
            </w:tcBorders>
            <w:shd w:val="clear" w:color="auto" w:fill="auto"/>
            <w:noWrap/>
            <w:vAlign w:val="bottom"/>
            <w:hideMark/>
          </w:tcPr>
          <w:p w14:paraId="40ACFBD6"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NP</w:t>
            </w:r>
          </w:p>
        </w:tc>
        <w:tc>
          <w:tcPr>
            <w:tcW w:w="546" w:type="dxa"/>
            <w:tcBorders>
              <w:top w:val="nil"/>
              <w:left w:val="single" w:sz="4" w:space="0" w:color="auto"/>
              <w:bottom w:val="single" w:sz="4" w:space="0" w:color="auto"/>
              <w:right w:val="nil"/>
            </w:tcBorders>
            <w:shd w:val="clear" w:color="auto" w:fill="auto"/>
            <w:noWrap/>
            <w:vAlign w:val="bottom"/>
            <w:hideMark/>
          </w:tcPr>
          <w:p w14:paraId="47461E2D"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NLSI</w:t>
            </w:r>
          </w:p>
        </w:tc>
        <w:tc>
          <w:tcPr>
            <w:tcW w:w="716" w:type="dxa"/>
            <w:tcBorders>
              <w:top w:val="nil"/>
              <w:left w:val="nil"/>
              <w:bottom w:val="single" w:sz="4" w:space="0" w:color="auto"/>
              <w:right w:val="nil"/>
            </w:tcBorders>
            <w:shd w:val="clear" w:color="auto" w:fill="auto"/>
            <w:noWrap/>
            <w:vAlign w:val="bottom"/>
            <w:hideMark/>
          </w:tcPr>
          <w:p w14:paraId="68009197"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CONTIG</w:t>
            </w:r>
          </w:p>
        </w:tc>
        <w:tc>
          <w:tcPr>
            <w:tcW w:w="720" w:type="dxa"/>
            <w:tcBorders>
              <w:top w:val="nil"/>
              <w:left w:val="nil"/>
              <w:bottom w:val="single" w:sz="4" w:space="0" w:color="auto"/>
              <w:right w:val="nil"/>
            </w:tcBorders>
            <w:shd w:val="clear" w:color="auto" w:fill="auto"/>
            <w:noWrap/>
            <w:vAlign w:val="bottom"/>
            <w:hideMark/>
          </w:tcPr>
          <w:p w14:paraId="78DE479C"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ENN_MN</w:t>
            </w:r>
          </w:p>
        </w:tc>
        <w:tc>
          <w:tcPr>
            <w:tcW w:w="630" w:type="dxa"/>
            <w:tcBorders>
              <w:top w:val="nil"/>
              <w:left w:val="single" w:sz="4" w:space="0" w:color="auto"/>
              <w:bottom w:val="nil"/>
              <w:right w:val="nil"/>
            </w:tcBorders>
            <w:shd w:val="clear" w:color="auto" w:fill="auto"/>
            <w:noWrap/>
            <w:vAlign w:val="bottom"/>
            <w:hideMark/>
          </w:tcPr>
          <w:p w14:paraId="026E323F"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PLAND</w:t>
            </w:r>
          </w:p>
        </w:tc>
        <w:tc>
          <w:tcPr>
            <w:tcW w:w="630" w:type="dxa"/>
            <w:tcBorders>
              <w:top w:val="nil"/>
              <w:left w:val="nil"/>
              <w:bottom w:val="single" w:sz="4" w:space="0" w:color="auto"/>
              <w:right w:val="nil"/>
            </w:tcBorders>
            <w:shd w:val="clear" w:color="auto" w:fill="auto"/>
            <w:noWrap/>
            <w:vAlign w:val="bottom"/>
            <w:hideMark/>
          </w:tcPr>
          <w:p w14:paraId="588A570E"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CA</w:t>
            </w:r>
          </w:p>
        </w:tc>
        <w:tc>
          <w:tcPr>
            <w:tcW w:w="630" w:type="dxa"/>
            <w:tcBorders>
              <w:top w:val="nil"/>
              <w:left w:val="nil"/>
              <w:bottom w:val="single" w:sz="4" w:space="0" w:color="auto"/>
              <w:right w:val="nil"/>
            </w:tcBorders>
            <w:shd w:val="clear" w:color="auto" w:fill="auto"/>
            <w:noWrap/>
            <w:vAlign w:val="bottom"/>
            <w:hideMark/>
          </w:tcPr>
          <w:p w14:paraId="4E3A8875"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NP</w:t>
            </w:r>
          </w:p>
        </w:tc>
        <w:tc>
          <w:tcPr>
            <w:tcW w:w="630" w:type="dxa"/>
            <w:tcBorders>
              <w:top w:val="nil"/>
              <w:left w:val="single" w:sz="4" w:space="0" w:color="auto"/>
              <w:bottom w:val="single" w:sz="4" w:space="0" w:color="auto"/>
              <w:right w:val="nil"/>
            </w:tcBorders>
            <w:shd w:val="clear" w:color="auto" w:fill="auto"/>
            <w:noWrap/>
            <w:vAlign w:val="bottom"/>
            <w:hideMark/>
          </w:tcPr>
          <w:p w14:paraId="3691CF37"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NLSI</w:t>
            </w:r>
          </w:p>
        </w:tc>
        <w:tc>
          <w:tcPr>
            <w:tcW w:w="720" w:type="dxa"/>
            <w:tcBorders>
              <w:top w:val="nil"/>
              <w:left w:val="nil"/>
              <w:bottom w:val="single" w:sz="4" w:space="0" w:color="auto"/>
              <w:right w:val="nil"/>
            </w:tcBorders>
            <w:shd w:val="clear" w:color="auto" w:fill="auto"/>
            <w:noWrap/>
            <w:vAlign w:val="bottom"/>
            <w:hideMark/>
          </w:tcPr>
          <w:p w14:paraId="12C73B3D" w14:textId="77777777" w:rsidR="00595166" w:rsidRPr="00A00E09" w:rsidRDefault="00595166" w:rsidP="005A41EC">
            <w:pPr>
              <w:spacing w:line="240" w:lineRule="auto"/>
              <w:rPr>
                <w:rFonts w:cstheme="minorHAnsi"/>
                <w:b/>
                <w:bCs/>
                <w:color w:val="000000"/>
                <w:sz w:val="11"/>
                <w:szCs w:val="11"/>
                <w:lang w:bidi="ar-SA"/>
              </w:rPr>
            </w:pPr>
            <w:r w:rsidRPr="00A00E09">
              <w:rPr>
                <w:rFonts w:cstheme="minorHAnsi"/>
                <w:b/>
                <w:bCs/>
                <w:color w:val="000000"/>
                <w:sz w:val="11"/>
                <w:szCs w:val="11"/>
                <w:lang w:bidi="ar-SA"/>
              </w:rPr>
              <w:t>CONTIG</w:t>
            </w:r>
          </w:p>
        </w:tc>
        <w:tc>
          <w:tcPr>
            <w:tcW w:w="720" w:type="dxa"/>
            <w:tcBorders>
              <w:top w:val="nil"/>
              <w:left w:val="nil"/>
              <w:bottom w:val="single" w:sz="4" w:space="0" w:color="auto"/>
              <w:right w:val="nil"/>
            </w:tcBorders>
            <w:shd w:val="clear" w:color="auto" w:fill="auto"/>
            <w:noWrap/>
            <w:vAlign w:val="bottom"/>
            <w:hideMark/>
          </w:tcPr>
          <w:p w14:paraId="003846DD" w14:textId="77777777" w:rsidR="00595166" w:rsidRPr="00A00E09" w:rsidRDefault="00595166" w:rsidP="005A41EC">
            <w:pPr>
              <w:spacing w:line="240" w:lineRule="auto"/>
              <w:jc w:val="center"/>
              <w:rPr>
                <w:rFonts w:cstheme="minorHAnsi"/>
                <w:b/>
                <w:bCs/>
                <w:color w:val="000000"/>
                <w:sz w:val="11"/>
                <w:szCs w:val="11"/>
                <w:lang w:bidi="ar-SA"/>
              </w:rPr>
            </w:pPr>
            <w:r w:rsidRPr="00A00E09">
              <w:rPr>
                <w:rFonts w:cstheme="minorHAnsi"/>
                <w:b/>
                <w:bCs/>
                <w:color w:val="000000"/>
                <w:sz w:val="11"/>
                <w:szCs w:val="11"/>
                <w:lang w:bidi="ar-SA"/>
              </w:rPr>
              <w:t>ENN_MN</w:t>
            </w:r>
          </w:p>
        </w:tc>
      </w:tr>
      <w:tr w:rsidR="00595166" w:rsidRPr="00A2694A" w14:paraId="10E83061" w14:textId="77777777" w:rsidTr="00505D6B">
        <w:trPr>
          <w:trHeight w:val="290"/>
        </w:trPr>
        <w:tc>
          <w:tcPr>
            <w:tcW w:w="737" w:type="dxa"/>
            <w:vMerge w:val="restart"/>
            <w:tcBorders>
              <w:top w:val="nil"/>
              <w:left w:val="nil"/>
              <w:bottom w:val="single" w:sz="4" w:space="0" w:color="000000"/>
              <w:right w:val="nil"/>
            </w:tcBorders>
            <w:shd w:val="clear" w:color="auto" w:fill="auto"/>
            <w:noWrap/>
            <w:textDirection w:val="btLr"/>
            <w:vAlign w:val="center"/>
            <w:hideMark/>
          </w:tcPr>
          <w:p w14:paraId="3B9A9787" w14:textId="77777777" w:rsidR="00595166" w:rsidRPr="00A2694A" w:rsidRDefault="00595166" w:rsidP="005A41EC">
            <w:pPr>
              <w:spacing w:line="240" w:lineRule="auto"/>
              <w:jc w:val="center"/>
              <w:rPr>
                <w:rFonts w:cstheme="minorHAnsi"/>
                <w:color w:val="000000"/>
                <w:sz w:val="16"/>
                <w:szCs w:val="16"/>
                <w:lang w:bidi="ar-SA"/>
              </w:rPr>
            </w:pPr>
            <w:r w:rsidRPr="00A2694A">
              <w:rPr>
                <w:rFonts w:cstheme="minorHAnsi"/>
                <w:color w:val="000000"/>
                <w:sz w:val="16"/>
                <w:szCs w:val="16"/>
                <w:lang w:bidi="ar-SA"/>
              </w:rPr>
              <w:t>Benin</w:t>
            </w:r>
          </w:p>
        </w:tc>
        <w:tc>
          <w:tcPr>
            <w:tcW w:w="623" w:type="dxa"/>
            <w:tcBorders>
              <w:top w:val="nil"/>
              <w:left w:val="nil"/>
              <w:bottom w:val="nil"/>
              <w:right w:val="nil"/>
            </w:tcBorders>
            <w:shd w:val="clear" w:color="auto" w:fill="auto"/>
            <w:noWrap/>
            <w:vAlign w:val="bottom"/>
            <w:hideMark/>
          </w:tcPr>
          <w:p w14:paraId="34B3F3C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Small</w:t>
            </w:r>
          </w:p>
        </w:tc>
        <w:tc>
          <w:tcPr>
            <w:tcW w:w="721" w:type="dxa"/>
            <w:tcBorders>
              <w:top w:val="single" w:sz="4" w:space="0" w:color="auto"/>
              <w:left w:val="single" w:sz="4" w:space="0" w:color="auto"/>
              <w:bottom w:val="nil"/>
              <w:right w:val="nil"/>
            </w:tcBorders>
            <w:shd w:val="clear" w:color="auto" w:fill="auto"/>
            <w:noWrap/>
            <w:vAlign w:val="bottom"/>
            <w:hideMark/>
          </w:tcPr>
          <w:p w14:paraId="769BA009"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31.3</w:t>
            </w:r>
          </w:p>
        </w:tc>
        <w:tc>
          <w:tcPr>
            <w:tcW w:w="622" w:type="dxa"/>
            <w:tcBorders>
              <w:top w:val="nil"/>
              <w:left w:val="nil"/>
              <w:bottom w:val="nil"/>
              <w:right w:val="nil"/>
            </w:tcBorders>
            <w:shd w:val="clear" w:color="auto" w:fill="auto"/>
            <w:noWrap/>
            <w:vAlign w:val="bottom"/>
            <w:hideMark/>
          </w:tcPr>
          <w:p w14:paraId="4B576072"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143.67</w:t>
            </w:r>
          </w:p>
        </w:tc>
        <w:tc>
          <w:tcPr>
            <w:tcW w:w="535" w:type="dxa"/>
            <w:tcBorders>
              <w:top w:val="nil"/>
              <w:left w:val="nil"/>
              <w:bottom w:val="nil"/>
              <w:right w:val="nil"/>
            </w:tcBorders>
            <w:shd w:val="clear" w:color="auto" w:fill="auto"/>
            <w:noWrap/>
            <w:vAlign w:val="bottom"/>
            <w:hideMark/>
          </w:tcPr>
          <w:p w14:paraId="721BD3E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6969</w:t>
            </w:r>
          </w:p>
        </w:tc>
        <w:tc>
          <w:tcPr>
            <w:tcW w:w="546" w:type="dxa"/>
            <w:tcBorders>
              <w:top w:val="nil"/>
              <w:left w:val="single" w:sz="4" w:space="0" w:color="auto"/>
              <w:bottom w:val="nil"/>
              <w:right w:val="nil"/>
            </w:tcBorders>
            <w:shd w:val="clear" w:color="auto" w:fill="auto"/>
            <w:noWrap/>
            <w:vAlign w:val="center"/>
            <w:hideMark/>
          </w:tcPr>
          <w:p w14:paraId="309CFA45" w14:textId="77777777" w:rsidR="00595166" w:rsidRPr="00A2694A" w:rsidRDefault="00595166" w:rsidP="005A41EC">
            <w:pPr>
              <w:spacing w:line="240" w:lineRule="auto"/>
              <w:jc w:val="center"/>
              <w:rPr>
                <w:rFonts w:cstheme="minorHAnsi"/>
                <w:color w:val="000000"/>
                <w:sz w:val="12"/>
                <w:szCs w:val="12"/>
                <w:lang w:bidi="ar-SA"/>
              </w:rPr>
            </w:pPr>
          </w:p>
          <w:p w14:paraId="1139E922"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0.243</w:t>
            </w:r>
          </w:p>
        </w:tc>
        <w:tc>
          <w:tcPr>
            <w:tcW w:w="716" w:type="dxa"/>
            <w:tcBorders>
              <w:top w:val="nil"/>
              <w:left w:val="nil"/>
              <w:bottom w:val="nil"/>
              <w:right w:val="nil"/>
            </w:tcBorders>
            <w:shd w:val="clear" w:color="auto" w:fill="auto"/>
            <w:noWrap/>
            <w:vAlign w:val="center"/>
            <w:hideMark/>
          </w:tcPr>
          <w:p w14:paraId="75B17C70" w14:textId="77777777" w:rsidR="00595166" w:rsidRPr="00A2694A" w:rsidRDefault="00595166" w:rsidP="005A41EC">
            <w:pPr>
              <w:spacing w:line="240" w:lineRule="auto"/>
              <w:jc w:val="center"/>
              <w:rPr>
                <w:rFonts w:cstheme="minorHAnsi"/>
                <w:color w:val="000000"/>
                <w:sz w:val="12"/>
                <w:szCs w:val="12"/>
                <w:lang w:bidi="ar-SA"/>
              </w:rPr>
            </w:pPr>
          </w:p>
          <w:p w14:paraId="34FFD2A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0.204</w:t>
            </w:r>
          </w:p>
        </w:tc>
        <w:tc>
          <w:tcPr>
            <w:tcW w:w="720" w:type="dxa"/>
            <w:tcBorders>
              <w:top w:val="nil"/>
              <w:left w:val="nil"/>
              <w:bottom w:val="nil"/>
              <w:right w:val="single" w:sz="4" w:space="0" w:color="auto"/>
            </w:tcBorders>
            <w:shd w:val="clear" w:color="auto" w:fill="auto"/>
            <w:noWrap/>
            <w:vAlign w:val="bottom"/>
            <w:hideMark/>
          </w:tcPr>
          <w:p w14:paraId="5540C47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89.6</w:t>
            </w:r>
          </w:p>
        </w:tc>
        <w:tc>
          <w:tcPr>
            <w:tcW w:w="630" w:type="dxa"/>
            <w:tcBorders>
              <w:top w:val="single" w:sz="4" w:space="0" w:color="auto"/>
              <w:left w:val="nil"/>
              <w:bottom w:val="nil"/>
              <w:right w:val="nil"/>
            </w:tcBorders>
            <w:shd w:val="clear" w:color="auto" w:fill="auto"/>
            <w:noWrap/>
            <w:vAlign w:val="bottom"/>
            <w:hideMark/>
          </w:tcPr>
          <w:p w14:paraId="30BD7F0B"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31.1</w:t>
            </w:r>
          </w:p>
        </w:tc>
        <w:tc>
          <w:tcPr>
            <w:tcW w:w="630" w:type="dxa"/>
            <w:tcBorders>
              <w:top w:val="nil"/>
              <w:left w:val="nil"/>
              <w:bottom w:val="nil"/>
              <w:right w:val="nil"/>
            </w:tcBorders>
            <w:shd w:val="clear" w:color="auto" w:fill="auto"/>
            <w:noWrap/>
            <w:vAlign w:val="bottom"/>
            <w:hideMark/>
          </w:tcPr>
          <w:p w14:paraId="70BF87D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142.62</w:t>
            </w:r>
          </w:p>
        </w:tc>
        <w:tc>
          <w:tcPr>
            <w:tcW w:w="630" w:type="dxa"/>
            <w:tcBorders>
              <w:top w:val="nil"/>
              <w:left w:val="nil"/>
              <w:bottom w:val="nil"/>
              <w:right w:val="nil"/>
            </w:tcBorders>
            <w:shd w:val="clear" w:color="auto" w:fill="auto"/>
            <w:noWrap/>
            <w:vAlign w:val="bottom"/>
            <w:hideMark/>
          </w:tcPr>
          <w:p w14:paraId="7ECBEBF8"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8944</w:t>
            </w:r>
          </w:p>
        </w:tc>
        <w:tc>
          <w:tcPr>
            <w:tcW w:w="630" w:type="dxa"/>
            <w:tcBorders>
              <w:top w:val="nil"/>
              <w:left w:val="single" w:sz="4" w:space="0" w:color="auto"/>
              <w:bottom w:val="nil"/>
              <w:right w:val="nil"/>
            </w:tcBorders>
            <w:shd w:val="clear" w:color="auto" w:fill="auto"/>
            <w:noWrap/>
            <w:vAlign w:val="center"/>
            <w:hideMark/>
          </w:tcPr>
          <w:p w14:paraId="70287C68" w14:textId="77777777" w:rsidR="00595166" w:rsidRPr="00A2694A" w:rsidRDefault="00595166" w:rsidP="005A41EC">
            <w:pPr>
              <w:spacing w:line="240" w:lineRule="auto"/>
              <w:jc w:val="center"/>
              <w:rPr>
                <w:rFonts w:cstheme="minorHAnsi"/>
                <w:color w:val="000000"/>
                <w:sz w:val="12"/>
                <w:szCs w:val="12"/>
                <w:lang w:bidi="ar-SA"/>
              </w:rPr>
            </w:pPr>
          </w:p>
          <w:p w14:paraId="5C399099"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0.281</w:t>
            </w:r>
          </w:p>
        </w:tc>
        <w:tc>
          <w:tcPr>
            <w:tcW w:w="720" w:type="dxa"/>
            <w:tcBorders>
              <w:top w:val="nil"/>
              <w:left w:val="nil"/>
              <w:bottom w:val="nil"/>
              <w:right w:val="nil"/>
            </w:tcBorders>
            <w:shd w:val="clear" w:color="auto" w:fill="auto"/>
            <w:noWrap/>
            <w:vAlign w:val="center"/>
            <w:hideMark/>
          </w:tcPr>
          <w:p w14:paraId="276D304D" w14:textId="77777777" w:rsidR="00595166" w:rsidRPr="00A2694A" w:rsidRDefault="00595166" w:rsidP="005A41EC">
            <w:pPr>
              <w:spacing w:line="240" w:lineRule="auto"/>
              <w:jc w:val="center"/>
              <w:rPr>
                <w:rFonts w:cstheme="minorHAnsi"/>
                <w:color w:val="000000"/>
                <w:sz w:val="12"/>
                <w:szCs w:val="12"/>
                <w:lang w:bidi="ar-SA"/>
              </w:rPr>
            </w:pPr>
          </w:p>
          <w:p w14:paraId="22E2B0F9"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0.166</w:t>
            </w:r>
          </w:p>
        </w:tc>
        <w:tc>
          <w:tcPr>
            <w:tcW w:w="720" w:type="dxa"/>
            <w:tcBorders>
              <w:top w:val="nil"/>
              <w:left w:val="nil"/>
              <w:bottom w:val="nil"/>
              <w:right w:val="nil"/>
            </w:tcBorders>
            <w:shd w:val="clear" w:color="auto" w:fill="auto"/>
            <w:noWrap/>
            <w:vAlign w:val="center"/>
            <w:hideMark/>
          </w:tcPr>
          <w:p w14:paraId="6DAC005E" w14:textId="77777777" w:rsidR="00595166" w:rsidRPr="00A2694A" w:rsidRDefault="00595166" w:rsidP="005A41EC">
            <w:pPr>
              <w:spacing w:line="240" w:lineRule="auto"/>
              <w:jc w:val="center"/>
              <w:rPr>
                <w:rFonts w:cstheme="minorHAnsi"/>
                <w:color w:val="000000"/>
                <w:sz w:val="12"/>
                <w:szCs w:val="12"/>
                <w:lang w:bidi="ar-SA"/>
              </w:rPr>
            </w:pPr>
          </w:p>
          <w:p w14:paraId="7A97140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82.6</w:t>
            </w:r>
          </w:p>
        </w:tc>
      </w:tr>
      <w:tr w:rsidR="00595166" w:rsidRPr="00A2694A" w14:paraId="3145161E" w14:textId="77777777" w:rsidTr="00505D6B">
        <w:trPr>
          <w:trHeight w:val="290"/>
        </w:trPr>
        <w:tc>
          <w:tcPr>
            <w:tcW w:w="737" w:type="dxa"/>
            <w:vMerge/>
            <w:tcBorders>
              <w:top w:val="nil"/>
              <w:left w:val="nil"/>
              <w:bottom w:val="single" w:sz="4" w:space="0" w:color="000000"/>
              <w:right w:val="nil"/>
            </w:tcBorders>
            <w:vAlign w:val="center"/>
            <w:hideMark/>
          </w:tcPr>
          <w:p w14:paraId="3694B901" w14:textId="77777777" w:rsidR="00595166" w:rsidRPr="00A2694A" w:rsidRDefault="00595166" w:rsidP="005A41EC">
            <w:pPr>
              <w:spacing w:line="240" w:lineRule="auto"/>
              <w:jc w:val="center"/>
              <w:rPr>
                <w:rFonts w:cstheme="minorHAnsi"/>
                <w:color w:val="000000"/>
                <w:sz w:val="16"/>
                <w:szCs w:val="16"/>
                <w:lang w:bidi="ar-SA"/>
              </w:rPr>
            </w:pPr>
          </w:p>
        </w:tc>
        <w:tc>
          <w:tcPr>
            <w:tcW w:w="623" w:type="dxa"/>
            <w:tcBorders>
              <w:top w:val="nil"/>
              <w:left w:val="nil"/>
              <w:bottom w:val="nil"/>
              <w:right w:val="nil"/>
            </w:tcBorders>
            <w:shd w:val="clear" w:color="auto" w:fill="auto"/>
            <w:noWrap/>
            <w:vAlign w:val="bottom"/>
            <w:hideMark/>
          </w:tcPr>
          <w:p w14:paraId="028A24F2"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Medium</w:t>
            </w:r>
          </w:p>
        </w:tc>
        <w:tc>
          <w:tcPr>
            <w:tcW w:w="721" w:type="dxa"/>
            <w:tcBorders>
              <w:top w:val="nil"/>
              <w:left w:val="single" w:sz="4" w:space="0" w:color="auto"/>
              <w:bottom w:val="nil"/>
              <w:right w:val="nil"/>
            </w:tcBorders>
            <w:shd w:val="clear" w:color="auto" w:fill="auto"/>
            <w:noWrap/>
            <w:vAlign w:val="bottom"/>
            <w:hideMark/>
          </w:tcPr>
          <w:p w14:paraId="08B819A1"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41.3</w:t>
            </w:r>
          </w:p>
        </w:tc>
        <w:tc>
          <w:tcPr>
            <w:tcW w:w="622" w:type="dxa"/>
            <w:tcBorders>
              <w:top w:val="nil"/>
              <w:left w:val="nil"/>
              <w:bottom w:val="nil"/>
              <w:right w:val="nil"/>
            </w:tcBorders>
            <w:shd w:val="clear" w:color="auto" w:fill="auto"/>
            <w:noWrap/>
            <w:vAlign w:val="bottom"/>
            <w:hideMark/>
          </w:tcPr>
          <w:p w14:paraId="19BBF46F"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178.70</w:t>
            </w:r>
          </w:p>
        </w:tc>
        <w:tc>
          <w:tcPr>
            <w:tcW w:w="535" w:type="dxa"/>
            <w:tcBorders>
              <w:top w:val="nil"/>
              <w:left w:val="nil"/>
              <w:bottom w:val="nil"/>
              <w:right w:val="nil"/>
            </w:tcBorders>
            <w:shd w:val="clear" w:color="auto" w:fill="auto"/>
            <w:noWrap/>
            <w:vAlign w:val="bottom"/>
            <w:hideMark/>
          </w:tcPr>
          <w:p w14:paraId="5A9D009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5417</w:t>
            </w:r>
          </w:p>
        </w:tc>
        <w:tc>
          <w:tcPr>
            <w:tcW w:w="546" w:type="dxa"/>
            <w:tcBorders>
              <w:top w:val="nil"/>
              <w:left w:val="single" w:sz="4" w:space="0" w:color="auto"/>
              <w:bottom w:val="nil"/>
              <w:right w:val="nil"/>
            </w:tcBorders>
            <w:shd w:val="clear" w:color="auto" w:fill="auto"/>
            <w:noWrap/>
            <w:vAlign w:val="bottom"/>
            <w:hideMark/>
          </w:tcPr>
          <w:p w14:paraId="542D3767"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0.178</w:t>
            </w:r>
          </w:p>
        </w:tc>
        <w:tc>
          <w:tcPr>
            <w:tcW w:w="716" w:type="dxa"/>
            <w:tcBorders>
              <w:top w:val="nil"/>
              <w:left w:val="nil"/>
              <w:bottom w:val="nil"/>
              <w:right w:val="nil"/>
            </w:tcBorders>
            <w:shd w:val="clear" w:color="auto" w:fill="auto"/>
            <w:noWrap/>
            <w:vAlign w:val="center"/>
            <w:hideMark/>
          </w:tcPr>
          <w:p w14:paraId="65B33A97" w14:textId="77777777" w:rsidR="00595166" w:rsidRPr="00A2694A" w:rsidRDefault="00595166" w:rsidP="005A41EC">
            <w:pPr>
              <w:spacing w:line="240" w:lineRule="auto"/>
              <w:jc w:val="center"/>
              <w:rPr>
                <w:rFonts w:cstheme="minorHAnsi"/>
                <w:color w:val="000000"/>
                <w:sz w:val="12"/>
                <w:szCs w:val="12"/>
                <w:lang w:bidi="ar-SA"/>
              </w:rPr>
            </w:pPr>
          </w:p>
          <w:p w14:paraId="27DB9A5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0.207</w:t>
            </w:r>
          </w:p>
        </w:tc>
        <w:tc>
          <w:tcPr>
            <w:tcW w:w="720" w:type="dxa"/>
            <w:tcBorders>
              <w:top w:val="nil"/>
              <w:left w:val="nil"/>
              <w:bottom w:val="nil"/>
              <w:right w:val="single" w:sz="4" w:space="0" w:color="auto"/>
            </w:tcBorders>
            <w:shd w:val="clear" w:color="auto" w:fill="auto"/>
            <w:noWrap/>
            <w:vAlign w:val="bottom"/>
            <w:hideMark/>
          </w:tcPr>
          <w:p w14:paraId="2EBC82C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89.0</w:t>
            </w:r>
          </w:p>
        </w:tc>
        <w:tc>
          <w:tcPr>
            <w:tcW w:w="630" w:type="dxa"/>
            <w:tcBorders>
              <w:top w:val="nil"/>
              <w:left w:val="nil"/>
              <w:bottom w:val="nil"/>
              <w:right w:val="nil"/>
            </w:tcBorders>
            <w:shd w:val="clear" w:color="auto" w:fill="auto"/>
            <w:noWrap/>
            <w:vAlign w:val="bottom"/>
            <w:hideMark/>
          </w:tcPr>
          <w:p w14:paraId="10F2B6B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40.8</w:t>
            </w:r>
          </w:p>
        </w:tc>
        <w:tc>
          <w:tcPr>
            <w:tcW w:w="630" w:type="dxa"/>
            <w:tcBorders>
              <w:top w:val="nil"/>
              <w:left w:val="nil"/>
              <w:bottom w:val="nil"/>
              <w:right w:val="nil"/>
            </w:tcBorders>
            <w:shd w:val="clear" w:color="auto" w:fill="auto"/>
            <w:noWrap/>
            <w:vAlign w:val="bottom"/>
            <w:hideMark/>
          </w:tcPr>
          <w:p w14:paraId="4A590FFB"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176.43</w:t>
            </w:r>
          </w:p>
        </w:tc>
        <w:tc>
          <w:tcPr>
            <w:tcW w:w="630" w:type="dxa"/>
            <w:tcBorders>
              <w:top w:val="nil"/>
              <w:left w:val="nil"/>
              <w:bottom w:val="nil"/>
              <w:right w:val="nil"/>
            </w:tcBorders>
            <w:shd w:val="clear" w:color="auto" w:fill="auto"/>
            <w:noWrap/>
            <w:vAlign w:val="bottom"/>
            <w:hideMark/>
          </w:tcPr>
          <w:p w14:paraId="55C6E72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7079</w:t>
            </w:r>
          </w:p>
        </w:tc>
        <w:tc>
          <w:tcPr>
            <w:tcW w:w="630" w:type="dxa"/>
            <w:tcBorders>
              <w:top w:val="nil"/>
              <w:left w:val="single" w:sz="4" w:space="0" w:color="auto"/>
              <w:bottom w:val="nil"/>
              <w:right w:val="nil"/>
            </w:tcBorders>
            <w:shd w:val="clear" w:color="auto" w:fill="auto"/>
            <w:noWrap/>
            <w:vAlign w:val="bottom"/>
            <w:hideMark/>
          </w:tcPr>
          <w:p w14:paraId="4A9F7EC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0.21</w:t>
            </w:r>
          </w:p>
        </w:tc>
        <w:tc>
          <w:tcPr>
            <w:tcW w:w="720" w:type="dxa"/>
            <w:tcBorders>
              <w:top w:val="nil"/>
              <w:left w:val="nil"/>
              <w:bottom w:val="nil"/>
              <w:right w:val="nil"/>
            </w:tcBorders>
            <w:shd w:val="clear" w:color="auto" w:fill="auto"/>
            <w:noWrap/>
            <w:vAlign w:val="center"/>
            <w:hideMark/>
          </w:tcPr>
          <w:p w14:paraId="63CF01BD" w14:textId="77777777" w:rsidR="00595166" w:rsidRPr="00A2694A" w:rsidRDefault="00595166" w:rsidP="005A41EC">
            <w:pPr>
              <w:spacing w:line="240" w:lineRule="auto"/>
              <w:jc w:val="center"/>
              <w:rPr>
                <w:rFonts w:cstheme="minorHAnsi"/>
                <w:color w:val="000000"/>
                <w:sz w:val="12"/>
                <w:szCs w:val="12"/>
                <w:lang w:bidi="ar-SA"/>
              </w:rPr>
            </w:pPr>
          </w:p>
          <w:p w14:paraId="1782960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0.164</w:t>
            </w:r>
          </w:p>
        </w:tc>
        <w:tc>
          <w:tcPr>
            <w:tcW w:w="720" w:type="dxa"/>
            <w:tcBorders>
              <w:top w:val="nil"/>
              <w:left w:val="nil"/>
              <w:bottom w:val="nil"/>
              <w:right w:val="nil"/>
            </w:tcBorders>
            <w:shd w:val="clear" w:color="auto" w:fill="auto"/>
            <w:noWrap/>
            <w:vAlign w:val="bottom"/>
            <w:hideMark/>
          </w:tcPr>
          <w:p w14:paraId="07C1CF9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80.7</w:t>
            </w:r>
          </w:p>
        </w:tc>
      </w:tr>
      <w:tr w:rsidR="00595166" w:rsidRPr="00A2694A" w14:paraId="597F815C" w14:textId="77777777" w:rsidTr="00505D6B">
        <w:trPr>
          <w:trHeight w:val="290"/>
        </w:trPr>
        <w:tc>
          <w:tcPr>
            <w:tcW w:w="737" w:type="dxa"/>
            <w:vMerge/>
            <w:tcBorders>
              <w:top w:val="nil"/>
              <w:left w:val="nil"/>
              <w:bottom w:val="single" w:sz="4" w:space="0" w:color="000000"/>
              <w:right w:val="nil"/>
            </w:tcBorders>
            <w:vAlign w:val="center"/>
            <w:hideMark/>
          </w:tcPr>
          <w:p w14:paraId="426E3CF6" w14:textId="77777777" w:rsidR="00595166" w:rsidRPr="00A2694A" w:rsidRDefault="00595166" w:rsidP="005A41EC">
            <w:pPr>
              <w:spacing w:line="240" w:lineRule="auto"/>
              <w:jc w:val="center"/>
              <w:rPr>
                <w:rFonts w:cstheme="minorHAnsi"/>
                <w:color w:val="000000"/>
                <w:sz w:val="16"/>
                <w:szCs w:val="16"/>
                <w:lang w:bidi="ar-SA"/>
              </w:rPr>
            </w:pPr>
          </w:p>
        </w:tc>
        <w:tc>
          <w:tcPr>
            <w:tcW w:w="623" w:type="dxa"/>
            <w:tcBorders>
              <w:top w:val="nil"/>
              <w:left w:val="nil"/>
              <w:bottom w:val="single" w:sz="4" w:space="0" w:color="auto"/>
              <w:right w:val="nil"/>
            </w:tcBorders>
            <w:shd w:val="clear" w:color="auto" w:fill="auto"/>
            <w:noWrap/>
            <w:vAlign w:val="bottom"/>
            <w:hideMark/>
          </w:tcPr>
          <w:p w14:paraId="1A258ED3"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Large</w:t>
            </w:r>
          </w:p>
        </w:tc>
        <w:tc>
          <w:tcPr>
            <w:tcW w:w="721" w:type="dxa"/>
            <w:tcBorders>
              <w:top w:val="nil"/>
              <w:left w:val="single" w:sz="4" w:space="0" w:color="auto"/>
              <w:bottom w:val="single" w:sz="4" w:space="0" w:color="auto"/>
              <w:right w:val="nil"/>
            </w:tcBorders>
            <w:shd w:val="clear" w:color="auto" w:fill="auto"/>
            <w:noWrap/>
            <w:vAlign w:val="bottom"/>
            <w:hideMark/>
          </w:tcPr>
          <w:p w14:paraId="2DE4E5E2"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48.5</w:t>
            </w:r>
          </w:p>
        </w:tc>
        <w:tc>
          <w:tcPr>
            <w:tcW w:w="622" w:type="dxa"/>
            <w:tcBorders>
              <w:top w:val="nil"/>
              <w:left w:val="nil"/>
              <w:bottom w:val="single" w:sz="4" w:space="0" w:color="auto"/>
              <w:right w:val="nil"/>
            </w:tcBorders>
            <w:shd w:val="clear" w:color="auto" w:fill="auto"/>
            <w:noWrap/>
            <w:vAlign w:val="bottom"/>
            <w:hideMark/>
          </w:tcPr>
          <w:p w14:paraId="4153CF8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177.02</w:t>
            </w:r>
          </w:p>
        </w:tc>
        <w:tc>
          <w:tcPr>
            <w:tcW w:w="535" w:type="dxa"/>
            <w:tcBorders>
              <w:top w:val="nil"/>
              <w:left w:val="nil"/>
              <w:bottom w:val="single" w:sz="4" w:space="0" w:color="auto"/>
              <w:right w:val="nil"/>
            </w:tcBorders>
            <w:shd w:val="clear" w:color="auto" w:fill="auto"/>
            <w:noWrap/>
            <w:vAlign w:val="bottom"/>
            <w:hideMark/>
          </w:tcPr>
          <w:p w14:paraId="474DC31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3447</w:t>
            </w:r>
          </w:p>
        </w:tc>
        <w:tc>
          <w:tcPr>
            <w:tcW w:w="546" w:type="dxa"/>
            <w:tcBorders>
              <w:top w:val="nil"/>
              <w:left w:val="single" w:sz="4" w:space="0" w:color="auto"/>
              <w:bottom w:val="single" w:sz="4" w:space="0" w:color="auto"/>
              <w:right w:val="nil"/>
            </w:tcBorders>
            <w:shd w:val="clear" w:color="auto" w:fill="auto"/>
            <w:noWrap/>
            <w:vAlign w:val="center"/>
            <w:hideMark/>
          </w:tcPr>
          <w:p w14:paraId="0D41262A" w14:textId="77777777" w:rsidR="00595166" w:rsidRPr="00A2694A" w:rsidRDefault="00595166" w:rsidP="005A41EC">
            <w:pPr>
              <w:spacing w:line="240" w:lineRule="auto"/>
              <w:jc w:val="center"/>
              <w:rPr>
                <w:rFonts w:cstheme="minorHAnsi"/>
                <w:color w:val="000000"/>
                <w:sz w:val="12"/>
                <w:szCs w:val="12"/>
                <w:lang w:bidi="ar-SA"/>
              </w:rPr>
            </w:pPr>
          </w:p>
          <w:p w14:paraId="1761DB92"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0.119</w:t>
            </w:r>
          </w:p>
        </w:tc>
        <w:tc>
          <w:tcPr>
            <w:tcW w:w="716" w:type="dxa"/>
            <w:tcBorders>
              <w:top w:val="nil"/>
              <w:left w:val="nil"/>
              <w:bottom w:val="single" w:sz="4" w:space="0" w:color="auto"/>
              <w:right w:val="nil"/>
            </w:tcBorders>
            <w:shd w:val="clear" w:color="auto" w:fill="auto"/>
            <w:noWrap/>
            <w:vAlign w:val="center"/>
            <w:hideMark/>
          </w:tcPr>
          <w:p w14:paraId="2031405D" w14:textId="77777777" w:rsidR="00595166" w:rsidRPr="00A2694A" w:rsidRDefault="00595166" w:rsidP="005A41EC">
            <w:pPr>
              <w:spacing w:line="240" w:lineRule="auto"/>
              <w:jc w:val="center"/>
              <w:rPr>
                <w:rFonts w:cstheme="minorHAnsi"/>
                <w:color w:val="000000"/>
                <w:sz w:val="12"/>
                <w:szCs w:val="12"/>
                <w:lang w:bidi="ar-SA"/>
              </w:rPr>
            </w:pPr>
          </w:p>
          <w:p w14:paraId="1C7EFED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0.193</w:t>
            </w:r>
          </w:p>
        </w:tc>
        <w:tc>
          <w:tcPr>
            <w:tcW w:w="720" w:type="dxa"/>
            <w:tcBorders>
              <w:top w:val="nil"/>
              <w:left w:val="nil"/>
              <w:bottom w:val="single" w:sz="4" w:space="0" w:color="auto"/>
              <w:right w:val="single" w:sz="4" w:space="0" w:color="auto"/>
            </w:tcBorders>
            <w:shd w:val="clear" w:color="auto" w:fill="auto"/>
            <w:noWrap/>
            <w:vAlign w:val="bottom"/>
            <w:hideMark/>
          </w:tcPr>
          <w:p w14:paraId="4F03236B"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91.1</w:t>
            </w:r>
          </w:p>
        </w:tc>
        <w:tc>
          <w:tcPr>
            <w:tcW w:w="630" w:type="dxa"/>
            <w:tcBorders>
              <w:top w:val="nil"/>
              <w:left w:val="nil"/>
              <w:bottom w:val="single" w:sz="4" w:space="0" w:color="auto"/>
              <w:right w:val="nil"/>
            </w:tcBorders>
            <w:shd w:val="clear" w:color="auto" w:fill="auto"/>
            <w:noWrap/>
            <w:vAlign w:val="bottom"/>
            <w:hideMark/>
          </w:tcPr>
          <w:p w14:paraId="4672AB3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46.0</w:t>
            </w:r>
          </w:p>
        </w:tc>
        <w:tc>
          <w:tcPr>
            <w:tcW w:w="630" w:type="dxa"/>
            <w:tcBorders>
              <w:top w:val="nil"/>
              <w:left w:val="nil"/>
              <w:bottom w:val="single" w:sz="4" w:space="0" w:color="auto"/>
              <w:right w:val="nil"/>
            </w:tcBorders>
            <w:shd w:val="clear" w:color="auto" w:fill="auto"/>
            <w:noWrap/>
            <w:vAlign w:val="bottom"/>
            <w:hideMark/>
          </w:tcPr>
          <w:p w14:paraId="38204E87"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167.77</w:t>
            </w:r>
          </w:p>
        </w:tc>
        <w:tc>
          <w:tcPr>
            <w:tcW w:w="630" w:type="dxa"/>
            <w:tcBorders>
              <w:top w:val="nil"/>
              <w:left w:val="nil"/>
              <w:bottom w:val="single" w:sz="4" w:space="0" w:color="auto"/>
              <w:right w:val="nil"/>
            </w:tcBorders>
            <w:shd w:val="clear" w:color="auto" w:fill="auto"/>
            <w:noWrap/>
            <w:vAlign w:val="bottom"/>
            <w:hideMark/>
          </w:tcPr>
          <w:p w14:paraId="4A71653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5488</w:t>
            </w:r>
          </w:p>
        </w:tc>
        <w:tc>
          <w:tcPr>
            <w:tcW w:w="630" w:type="dxa"/>
            <w:tcBorders>
              <w:top w:val="nil"/>
              <w:left w:val="single" w:sz="4" w:space="0" w:color="auto"/>
              <w:bottom w:val="single" w:sz="4" w:space="0" w:color="auto"/>
              <w:right w:val="nil"/>
            </w:tcBorders>
            <w:shd w:val="clear" w:color="auto" w:fill="auto"/>
            <w:noWrap/>
            <w:vAlign w:val="center"/>
            <w:hideMark/>
          </w:tcPr>
          <w:p w14:paraId="7B43BB99" w14:textId="77777777" w:rsidR="00595166" w:rsidRPr="00A2694A" w:rsidRDefault="00595166" w:rsidP="005A41EC">
            <w:pPr>
              <w:spacing w:line="240" w:lineRule="auto"/>
              <w:jc w:val="center"/>
              <w:rPr>
                <w:rFonts w:cstheme="minorHAnsi"/>
                <w:color w:val="000000"/>
                <w:sz w:val="12"/>
                <w:szCs w:val="12"/>
                <w:lang w:bidi="ar-SA"/>
              </w:rPr>
            </w:pPr>
          </w:p>
          <w:p w14:paraId="7080E2A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0.151</w:t>
            </w:r>
          </w:p>
        </w:tc>
        <w:tc>
          <w:tcPr>
            <w:tcW w:w="720" w:type="dxa"/>
            <w:tcBorders>
              <w:top w:val="nil"/>
              <w:left w:val="nil"/>
              <w:bottom w:val="single" w:sz="4" w:space="0" w:color="auto"/>
              <w:right w:val="nil"/>
            </w:tcBorders>
            <w:shd w:val="clear" w:color="auto" w:fill="auto"/>
            <w:noWrap/>
            <w:vAlign w:val="center"/>
            <w:hideMark/>
          </w:tcPr>
          <w:p w14:paraId="1B8312AE" w14:textId="77777777" w:rsidR="00595166" w:rsidRPr="00A2694A" w:rsidRDefault="00595166" w:rsidP="005A41EC">
            <w:pPr>
              <w:spacing w:line="240" w:lineRule="auto"/>
              <w:jc w:val="center"/>
              <w:rPr>
                <w:rFonts w:cstheme="minorHAnsi"/>
                <w:color w:val="000000"/>
                <w:sz w:val="12"/>
                <w:szCs w:val="12"/>
                <w:lang w:bidi="ar-SA"/>
              </w:rPr>
            </w:pPr>
          </w:p>
          <w:p w14:paraId="0E706F1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0.145</w:t>
            </w:r>
          </w:p>
        </w:tc>
        <w:tc>
          <w:tcPr>
            <w:tcW w:w="720" w:type="dxa"/>
            <w:tcBorders>
              <w:top w:val="nil"/>
              <w:left w:val="nil"/>
              <w:bottom w:val="single" w:sz="4" w:space="0" w:color="auto"/>
              <w:right w:val="nil"/>
            </w:tcBorders>
            <w:shd w:val="clear" w:color="auto" w:fill="auto"/>
            <w:noWrap/>
            <w:vAlign w:val="center"/>
            <w:hideMark/>
          </w:tcPr>
          <w:p w14:paraId="0A634D1B" w14:textId="77777777" w:rsidR="00595166" w:rsidRPr="00A2694A" w:rsidRDefault="00595166" w:rsidP="005A41EC">
            <w:pPr>
              <w:spacing w:line="240" w:lineRule="auto"/>
              <w:jc w:val="center"/>
              <w:rPr>
                <w:rFonts w:cstheme="minorHAnsi"/>
                <w:color w:val="000000"/>
                <w:sz w:val="12"/>
                <w:szCs w:val="12"/>
                <w:lang w:bidi="ar-SA"/>
              </w:rPr>
            </w:pPr>
          </w:p>
          <w:p w14:paraId="1E91C6A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82.8</w:t>
            </w:r>
          </w:p>
        </w:tc>
      </w:tr>
      <w:tr w:rsidR="00595166" w:rsidRPr="00A2694A" w14:paraId="4CBEB125" w14:textId="77777777" w:rsidTr="00505D6B">
        <w:trPr>
          <w:trHeight w:val="290"/>
        </w:trPr>
        <w:tc>
          <w:tcPr>
            <w:tcW w:w="737" w:type="dxa"/>
            <w:vMerge w:val="restart"/>
            <w:tcBorders>
              <w:top w:val="nil"/>
              <w:left w:val="nil"/>
              <w:bottom w:val="single" w:sz="4" w:space="0" w:color="000000"/>
              <w:right w:val="nil"/>
            </w:tcBorders>
            <w:shd w:val="clear" w:color="auto" w:fill="auto"/>
            <w:noWrap/>
            <w:textDirection w:val="btLr"/>
            <w:vAlign w:val="center"/>
            <w:hideMark/>
          </w:tcPr>
          <w:p w14:paraId="0B928E33" w14:textId="77777777" w:rsidR="00595166" w:rsidRPr="00A2694A" w:rsidRDefault="00595166" w:rsidP="005A41EC">
            <w:pPr>
              <w:spacing w:line="240" w:lineRule="auto"/>
              <w:jc w:val="center"/>
              <w:rPr>
                <w:rFonts w:cstheme="minorHAnsi"/>
                <w:color w:val="000000"/>
                <w:sz w:val="16"/>
                <w:szCs w:val="16"/>
                <w:lang w:bidi="ar-SA"/>
              </w:rPr>
            </w:pPr>
            <w:r w:rsidRPr="00A2694A">
              <w:rPr>
                <w:rFonts w:cstheme="minorHAnsi"/>
                <w:color w:val="000000"/>
                <w:sz w:val="16"/>
                <w:szCs w:val="16"/>
                <w:lang w:bidi="ar-SA"/>
              </w:rPr>
              <w:t>Togo</w:t>
            </w:r>
          </w:p>
        </w:tc>
        <w:tc>
          <w:tcPr>
            <w:tcW w:w="623" w:type="dxa"/>
            <w:tcBorders>
              <w:top w:val="nil"/>
              <w:left w:val="nil"/>
              <w:bottom w:val="nil"/>
              <w:right w:val="nil"/>
            </w:tcBorders>
            <w:shd w:val="clear" w:color="auto" w:fill="auto"/>
            <w:noWrap/>
            <w:vAlign w:val="bottom"/>
            <w:hideMark/>
          </w:tcPr>
          <w:p w14:paraId="106603F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Small</w:t>
            </w:r>
          </w:p>
        </w:tc>
        <w:tc>
          <w:tcPr>
            <w:tcW w:w="721" w:type="dxa"/>
            <w:tcBorders>
              <w:top w:val="nil"/>
              <w:left w:val="single" w:sz="4" w:space="0" w:color="auto"/>
              <w:bottom w:val="nil"/>
              <w:right w:val="nil"/>
            </w:tcBorders>
            <w:shd w:val="clear" w:color="auto" w:fill="auto"/>
            <w:noWrap/>
            <w:vAlign w:val="bottom"/>
            <w:hideMark/>
          </w:tcPr>
          <w:p w14:paraId="34B2A82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18.2</w:t>
            </w:r>
          </w:p>
        </w:tc>
        <w:tc>
          <w:tcPr>
            <w:tcW w:w="622" w:type="dxa"/>
            <w:tcBorders>
              <w:top w:val="nil"/>
              <w:left w:val="nil"/>
              <w:bottom w:val="nil"/>
              <w:right w:val="nil"/>
            </w:tcBorders>
            <w:shd w:val="clear" w:color="auto" w:fill="auto"/>
            <w:noWrap/>
            <w:vAlign w:val="bottom"/>
            <w:hideMark/>
          </w:tcPr>
          <w:p w14:paraId="44E95AA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58.79</w:t>
            </w:r>
          </w:p>
        </w:tc>
        <w:tc>
          <w:tcPr>
            <w:tcW w:w="535" w:type="dxa"/>
            <w:tcBorders>
              <w:top w:val="nil"/>
              <w:left w:val="nil"/>
              <w:bottom w:val="nil"/>
              <w:right w:val="nil"/>
            </w:tcBorders>
            <w:shd w:val="clear" w:color="auto" w:fill="auto"/>
            <w:noWrap/>
            <w:vAlign w:val="bottom"/>
            <w:hideMark/>
          </w:tcPr>
          <w:p w14:paraId="47467508"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4013</w:t>
            </w:r>
          </w:p>
        </w:tc>
        <w:tc>
          <w:tcPr>
            <w:tcW w:w="546" w:type="dxa"/>
            <w:tcBorders>
              <w:top w:val="nil"/>
              <w:left w:val="single" w:sz="4" w:space="0" w:color="auto"/>
              <w:bottom w:val="nil"/>
              <w:right w:val="nil"/>
            </w:tcBorders>
            <w:shd w:val="clear" w:color="auto" w:fill="auto"/>
            <w:noWrap/>
            <w:vAlign w:val="bottom"/>
            <w:hideMark/>
          </w:tcPr>
          <w:p w14:paraId="750483A1"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0.255</w:t>
            </w:r>
          </w:p>
        </w:tc>
        <w:tc>
          <w:tcPr>
            <w:tcW w:w="716" w:type="dxa"/>
            <w:tcBorders>
              <w:top w:val="nil"/>
              <w:left w:val="nil"/>
              <w:bottom w:val="nil"/>
              <w:right w:val="nil"/>
            </w:tcBorders>
            <w:shd w:val="clear" w:color="auto" w:fill="auto"/>
            <w:noWrap/>
            <w:vAlign w:val="center"/>
            <w:hideMark/>
          </w:tcPr>
          <w:p w14:paraId="493A9B84" w14:textId="77777777" w:rsidR="00595166" w:rsidRPr="00A2694A" w:rsidRDefault="00595166" w:rsidP="005A41EC">
            <w:pPr>
              <w:spacing w:line="240" w:lineRule="auto"/>
              <w:jc w:val="center"/>
              <w:rPr>
                <w:rFonts w:cstheme="minorHAnsi"/>
                <w:color w:val="000000"/>
                <w:sz w:val="12"/>
                <w:szCs w:val="12"/>
                <w:lang w:bidi="ar-SA"/>
              </w:rPr>
            </w:pPr>
          </w:p>
          <w:p w14:paraId="686D03A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0.182</w:t>
            </w:r>
          </w:p>
        </w:tc>
        <w:tc>
          <w:tcPr>
            <w:tcW w:w="720" w:type="dxa"/>
            <w:tcBorders>
              <w:top w:val="nil"/>
              <w:left w:val="nil"/>
              <w:bottom w:val="nil"/>
              <w:right w:val="single" w:sz="4" w:space="0" w:color="auto"/>
            </w:tcBorders>
            <w:shd w:val="clear" w:color="auto" w:fill="auto"/>
            <w:noWrap/>
            <w:vAlign w:val="bottom"/>
            <w:hideMark/>
          </w:tcPr>
          <w:p w14:paraId="3932CCD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103.0</w:t>
            </w:r>
          </w:p>
        </w:tc>
        <w:tc>
          <w:tcPr>
            <w:tcW w:w="630" w:type="dxa"/>
            <w:tcBorders>
              <w:top w:val="nil"/>
              <w:left w:val="nil"/>
              <w:bottom w:val="nil"/>
              <w:right w:val="nil"/>
            </w:tcBorders>
            <w:shd w:val="clear" w:color="auto" w:fill="auto"/>
            <w:noWrap/>
            <w:vAlign w:val="bottom"/>
            <w:hideMark/>
          </w:tcPr>
          <w:p w14:paraId="6CE8B7B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21.8</w:t>
            </w:r>
          </w:p>
        </w:tc>
        <w:tc>
          <w:tcPr>
            <w:tcW w:w="630" w:type="dxa"/>
            <w:tcBorders>
              <w:top w:val="nil"/>
              <w:left w:val="nil"/>
              <w:bottom w:val="nil"/>
              <w:right w:val="nil"/>
            </w:tcBorders>
            <w:shd w:val="clear" w:color="auto" w:fill="auto"/>
            <w:noWrap/>
            <w:vAlign w:val="bottom"/>
            <w:hideMark/>
          </w:tcPr>
          <w:p w14:paraId="36DC7AA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69.70</w:t>
            </w:r>
          </w:p>
        </w:tc>
        <w:tc>
          <w:tcPr>
            <w:tcW w:w="630" w:type="dxa"/>
            <w:tcBorders>
              <w:top w:val="nil"/>
              <w:left w:val="nil"/>
              <w:bottom w:val="nil"/>
              <w:right w:val="nil"/>
            </w:tcBorders>
            <w:shd w:val="clear" w:color="auto" w:fill="auto"/>
            <w:noWrap/>
            <w:vAlign w:val="bottom"/>
            <w:hideMark/>
          </w:tcPr>
          <w:p w14:paraId="435A926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5081</w:t>
            </w:r>
          </w:p>
        </w:tc>
        <w:tc>
          <w:tcPr>
            <w:tcW w:w="630" w:type="dxa"/>
            <w:tcBorders>
              <w:top w:val="nil"/>
              <w:left w:val="single" w:sz="4" w:space="0" w:color="auto"/>
              <w:bottom w:val="nil"/>
              <w:right w:val="nil"/>
            </w:tcBorders>
            <w:shd w:val="clear" w:color="auto" w:fill="auto"/>
            <w:noWrap/>
            <w:vAlign w:val="bottom"/>
            <w:hideMark/>
          </w:tcPr>
          <w:p w14:paraId="04AFD15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0.291</w:t>
            </w:r>
          </w:p>
        </w:tc>
        <w:tc>
          <w:tcPr>
            <w:tcW w:w="720" w:type="dxa"/>
            <w:tcBorders>
              <w:top w:val="nil"/>
              <w:left w:val="nil"/>
              <w:bottom w:val="nil"/>
              <w:right w:val="nil"/>
            </w:tcBorders>
            <w:shd w:val="clear" w:color="auto" w:fill="auto"/>
            <w:noWrap/>
            <w:vAlign w:val="bottom"/>
            <w:hideMark/>
          </w:tcPr>
          <w:p w14:paraId="67FFA2F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0.152</w:t>
            </w:r>
          </w:p>
        </w:tc>
        <w:tc>
          <w:tcPr>
            <w:tcW w:w="720" w:type="dxa"/>
            <w:tcBorders>
              <w:top w:val="nil"/>
              <w:left w:val="nil"/>
              <w:bottom w:val="nil"/>
              <w:right w:val="nil"/>
            </w:tcBorders>
            <w:shd w:val="clear" w:color="auto" w:fill="auto"/>
            <w:noWrap/>
            <w:vAlign w:val="bottom"/>
            <w:hideMark/>
          </w:tcPr>
          <w:p w14:paraId="551CCBA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87.5</w:t>
            </w:r>
          </w:p>
        </w:tc>
      </w:tr>
      <w:tr w:rsidR="00595166" w:rsidRPr="00A2694A" w14:paraId="6B56D77A" w14:textId="77777777" w:rsidTr="00505D6B">
        <w:trPr>
          <w:trHeight w:val="290"/>
        </w:trPr>
        <w:tc>
          <w:tcPr>
            <w:tcW w:w="737" w:type="dxa"/>
            <w:vMerge/>
            <w:tcBorders>
              <w:top w:val="nil"/>
              <w:left w:val="nil"/>
              <w:bottom w:val="single" w:sz="4" w:space="0" w:color="000000"/>
              <w:right w:val="nil"/>
            </w:tcBorders>
            <w:vAlign w:val="center"/>
            <w:hideMark/>
          </w:tcPr>
          <w:p w14:paraId="4A9EB79A" w14:textId="77777777" w:rsidR="00595166" w:rsidRPr="00A2694A" w:rsidRDefault="00595166" w:rsidP="005A41EC">
            <w:pPr>
              <w:spacing w:line="240" w:lineRule="auto"/>
              <w:jc w:val="center"/>
              <w:rPr>
                <w:rFonts w:cstheme="minorHAnsi"/>
                <w:color w:val="000000"/>
                <w:sz w:val="16"/>
                <w:szCs w:val="16"/>
                <w:lang w:bidi="ar-SA"/>
              </w:rPr>
            </w:pPr>
          </w:p>
        </w:tc>
        <w:tc>
          <w:tcPr>
            <w:tcW w:w="623" w:type="dxa"/>
            <w:tcBorders>
              <w:top w:val="nil"/>
              <w:left w:val="nil"/>
              <w:bottom w:val="nil"/>
              <w:right w:val="nil"/>
            </w:tcBorders>
            <w:shd w:val="clear" w:color="auto" w:fill="auto"/>
            <w:noWrap/>
            <w:vAlign w:val="bottom"/>
            <w:hideMark/>
          </w:tcPr>
          <w:p w14:paraId="45F65CA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Medium</w:t>
            </w:r>
          </w:p>
        </w:tc>
        <w:tc>
          <w:tcPr>
            <w:tcW w:w="721" w:type="dxa"/>
            <w:tcBorders>
              <w:top w:val="nil"/>
              <w:left w:val="single" w:sz="4" w:space="0" w:color="auto"/>
              <w:bottom w:val="nil"/>
              <w:right w:val="nil"/>
            </w:tcBorders>
            <w:shd w:val="clear" w:color="auto" w:fill="auto"/>
            <w:noWrap/>
            <w:vAlign w:val="bottom"/>
            <w:hideMark/>
          </w:tcPr>
          <w:p w14:paraId="174D0DA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21.9</w:t>
            </w:r>
          </w:p>
        </w:tc>
        <w:tc>
          <w:tcPr>
            <w:tcW w:w="622" w:type="dxa"/>
            <w:tcBorders>
              <w:top w:val="nil"/>
              <w:left w:val="nil"/>
              <w:bottom w:val="nil"/>
              <w:right w:val="nil"/>
            </w:tcBorders>
            <w:shd w:val="clear" w:color="auto" w:fill="auto"/>
            <w:noWrap/>
            <w:vAlign w:val="bottom"/>
            <w:hideMark/>
          </w:tcPr>
          <w:p w14:paraId="02113568"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70.56</w:t>
            </w:r>
          </w:p>
        </w:tc>
        <w:tc>
          <w:tcPr>
            <w:tcW w:w="535" w:type="dxa"/>
            <w:tcBorders>
              <w:top w:val="nil"/>
              <w:left w:val="nil"/>
              <w:bottom w:val="nil"/>
              <w:right w:val="nil"/>
            </w:tcBorders>
            <w:shd w:val="clear" w:color="auto" w:fill="auto"/>
            <w:noWrap/>
            <w:vAlign w:val="bottom"/>
            <w:hideMark/>
          </w:tcPr>
          <w:p w14:paraId="693A8EA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4482</w:t>
            </w:r>
          </w:p>
        </w:tc>
        <w:tc>
          <w:tcPr>
            <w:tcW w:w="546" w:type="dxa"/>
            <w:tcBorders>
              <w:top w:val="nil"/>
              <w:left w:val="single" w:sz="4" w:space="0" w:color="auto"/>
              <w:bottom w:val="nil"/>
              <w:right w:val="nil"/>
            </w:tcBorders>
            <w:shd w:val="clear" w:color="auto" w:fill="auto"/>
            <w:noWrap/>
            <w:vAlign w:val="bottom"/>
            <w:hideMark/>
          </w:tcPr>
          <w:p w14:paraId="0680700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0.268</w:t>
            </w:r>
          </w:p>
        </w:tc>
        <w:tc>
          <w:tcPr>
            <w:tcW w:w="716" w:type="dxa"/>
            <w:tcBorders>
              <w:top w:val="nil"/>
              <w:left w:val="nil"/>
              <w:bottom w:val="nil"/>
              <w:right w:val="nil"/>
            </w:tcBorders>
            <w:shd w:val="clear" w:color="auto" w:fill="auto"/>
            <w:noWrap/>
            <w:vAlign w:val="bottom"/>
            <w:hideMark/>
          </w:tcPr>
          <w:p w14:paraId="0856534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0.174</w:t>
            </w:r>
          </w:p>
        </w:tc>
        <w:tc>
          <w:tcPr>
            <w:tcW w:w="720" w:type="dxa"/>
            <w:tcBorders>
              <w:top w:val="nil"/>
              <w:left w:val="nil"/>
              <w:bottom w:val="nil"/>
              <w:right w:val="single" w:sz="4" w:space="0" w:color="auto"/>
            </w:tcBorders>
            <w:shd w:val="clear" w:color="auto" w:fill="auto"/>
            <w:noWrap/>
            <w:vAlign w:val="bottom"/>
            <w:hideMark/>
          </w:tcPr>
          <w:p w14:paraId="72C4732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96.2</w:t>
            </w:r>
          </w:p>
        </w:tc>
        <w:tc>
          <w:tcPr>
            <w:tcW w:w="630" w:type="dxa"/>
            <w:tcBorders>
              <w:top w:val="nil"/>
              <w:left w:val="nil"/>
              <w:bottom w:val="nil"/>
              <w:right w:val="nil"/>
            </w:tcBorders>
            <w:shd w:val="clear" w:color="auto" w:fill="auto"/>
            <w:noWrap/>
            <w:vAlign w:val="bottom"/>
            <w:hideMark/>
          </w:tcPr>
          <w:p w14:paraId="75825BC8"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24.9</w:t>
            </w:r>
          </w:p>
        </w:tc>
        <w:tc>
          <w:tcPr>
            <w:tcW w:w="630" w:type="dxa"/>
            <w:tcBorders>
              <w:top w:val="nil"/>
              <w:left w:val="nil"/>
              <w:bottom w:val="nil"/>
              <w:right w:val="nil"/>
            </w:tcBorders>
            <w:shd w:val="clear" w:color="auto" w:fill="auto"/>
            <w:noWrap/>
            <w:vAlign w:val="bottom"/>
            <w:hideMark/>
          </w:tcPr>
          <w:p w14:paraId="250805E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83.60</w:t>
            </w:r>
          </w:p>
        </w:tc>
        <w:tc>
          <w:tcPr>
            <w:tcW w:w="630" w:type="dxa"/>
            <w:tcBorders>
              <w:top w:val="nil"/>
              <w:left w:val="nil"/>
              <w:bottom w:val="nil"/>
              <w:right w:val="nil"/>
            </w:tcBorders>
            <w:shd w:val="clear" w:color="auto" w:fill="auto"/>
            <w:noWrap/>
            <w:vAlign w:val="bottom"/>
            <w:hideMark/>
          </w:tcPr>
          <w:p w14:paraId="3FD79808"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7011</w:t>
            </w:r>
          </w:p>
        </w:tc>
        <w:tc>
          <w:tcPr>
            <w:tcW w:w="630" w:type="dxa"/>
            <w:tcBorders>
              <w:top w:val="nil"/>
              <w:left w:val="single" w:sz="4" w:space="0" w:color="auto"/>
              <w:bottom w:val="nil"/>
              <w:right w:val="nil"/>
            </w:tcBorders>
            <w:shd w:val="clear" w:color="auto" w:fill="auto"/>
            <w:noWrap/>
            <w:vAlign w:val="bottom"/>
            <w:hideMark/>
          </w:tcPr>
          <w:p w14:paraId="4CF04352"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0.335</w:t>
            </w:r>
          </w:p>
        </w:tc>
        <w:tc>
          <w:tcPr>
            <w:tcW w:w="720" w:type="dxa"/>
            <w:tcBorders>
              <w:top w:val="nil"/>
              <w:left w:val="nil"/>
              <w:bottom w:val="nil"/>
              <w:right w:val="nil"/>
            </w:tcBorders>
            <w:shd w:val="clear" w:color="auto" w:fill="auto"/>
            <w:noWrap/>
            <w:vAlign w:val="bottom"/>
            <w:hideMark/>
          </w:tcPr>
          <w:p w14:paraId="3853878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0.144</w:t>
            </w:r>
          </w:p>
        </w:tc>
        <w:tc>
          <w:tcPr>
            <w:tcW w:w="720" w:type="dxa"/>
            <w:tcBorders>
              <w:top w:val="nil"/>
              <w:left w:val="nil"/>
              <w:bottom w:val="nil"/>
              <w:right w:val="nil"/>
            </w:tcBorders>
            <w:shd w:val="clear" w:color="auto" w:fill="auto"/>
            <w:noWrap/>
            <w:vAlign w:val="bottom"/>
            <w:hideMark/>
          </w:tcPr>
          <w:p w14:paraId="7782ADE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80.7</w:t>
            </w:r>
          </w:p>
        </w:tc>
      </w:tr>
      <w:tr w:rsidR="00595166" w:rsidRPr="00A2694A" w14:paraId="38383FA4" w14:textId="77777777" w:rsidTr="00505D6B">
        <w:trPr>
          <w:trHeight w:val="290"/>
        </w:trPr>
        <w:tc>
          <w:tcPr>
            <w:tcW w:w="737" w:type="dxa"/>
            <w:vMerge/>
            <w:tcBorders>
              <w:top w:val="nil"/>
              <w:left w:val="nil"/>
              <w:bottom w:val="single" w:sz="4" w:space="0" w:color="000000"/>
              <w:right w:val="nil"/>
            </w:tcBorders>
            <w:vAlign w:val="center"/>
            <w:hideMark/>
          </w:tcPr>
          <w:p w14:paraId="7D954BB1" w14:textId="77777777" w:rsidR="00595166" w:rsidRPr="00A2694A" w:rsidRDefault="00595166" w:rsidP="005A41EC">
            <w:pPr>
              <w:spacing w:line="240" w:lineRule="auto"/>
              <w:jc w:val="center"/>
              <w:rPr>
                <w:rFonts w:cstheme="minorHAnsi"/>
                <w:color w:val="000000"/>
                <w:sz w:val="16"/>
                <w:szCs w:val="16"/>
                <w:lang w:bidi="ar-SA"/>
              </w:rPr>
            </w:pPr>
          </w:p>
        </w:tc>
        <w:tc>
          <w:tcPr>
            <w:tcW w:w="623" w:type="dxa"/>
            <w:tcBorders>
              <w:top w:val="nil"/>
              <w:left w:val="nil"/>
              <w:bottom w:val="single" w:sz="4" w:space="0" w:color="auto"/>
              <w:right w:val="nil"/>
            </w:tcBorders>
            <w:shd w:val="clear" w:color="auto" w:fill="auto"/>
            <w:noWrap/>
            <w:vAlign w:val="bottom"/>
            <w:hideMark/>
          </w:tcPr>
          <w:p w14:paraId="6385C68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Large</w:t>
            </w:r>
          </w:p>
        </w:tc>
        <w:tc>
          <w:tcPr>
            <w:tcW w:w="721" w:type="dxa"/>
            <w:tcBorders>
              <w:top w:val="nil"/>
              <w:left w:val="single" w:sz="4" w:space="0" w:color="auto"/>
              <w:bottom w:val="single" w:sz="4" w:space="0" w:color="auto"/>
              <w:right w:val="nil"/>
            </w:tcBorders>
            <w:shd w:val="clear" w:color="auto" w:fill="auto"/>
            <w:noWrap/>
            <w:vAlign w:val="bottom"/>
            <w:hideMark/>
          </w:tcPr>
          <w:p w14:paraId="1E1EF5C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61.7</w:t>
            </w:r>
          </w:p>
        </w:tc>
        <w:tc>
          <w:tcPr>
            <w:tcW w:w="622" w:type="dxa"/>
            <w:tcBorders>
              <w:top w:val="nil"/>
              <w:left w:val="nil"/>
              <w:bottom w:val="single" w:sz="4" w:space="0" w:color="auto"/>
              <w:right w:val="nil"/>
            </w:tcBorders>
            <w:shd w:val="clear" w:color="auto" w:fill="auto"/>
            <w:noWrap/>
            <w:vAlign w:val="bottom"/>
            <w:hideMark/>
          </w:tcPr>
          <w:p w14:paraId="24C8868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218.88</w:t>
            </w:r>
          </w:p>
        </w:tc>
        <w:tc>
          <w:tcPr>
            <w:tcW w:w="535" w:type="dxa"/>
            <w:tcBorders>
              <w:top w:val="nil"/>
              <w:left w:val="nil"/>
              <w:bottom w:val="single" w:sz="4" w:space="0" w:color="auto"/>
              <w:right w:val="nil"/>
            </w:tcBorders>
            <w:shd w:val="clear" w:color="auto" w:fill="auto"/>
            <w:noWrap/>
            <w:vAlign w:val="bottom"/>
            <w:hideMark/>
          </w:tcPr>
          <w:p w14:paraId="3BDCABD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2093</w:t>
            </w:r>
          </w:p>
        </w:tc>
        <w:tc>
          <w:tcPr>
            <w:tcW w:w="546" w:type="dxa"/>
            <w:tcBorders>
              <w:top w:val="nil"/>
              <w:left w:val="single" w:sz="4" w:space="0" w:color="auto"/>
              <w:bottom w:val="single" w:sz="4" w:space="0" w:color="auto"/>
              <w:right w:val="nil"/>
            </w:tcBorders>
            <w:shd w:val="clear" w:color="auto" w:fill="auto"/>
            <w:noWrap/>
            <w:vAlign w:val="bottom"/>
            <w:hideMark/>
          </w:tcPr>
          <w:p w14:paraId="1BB98B63"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0.127</w:t>
            </w:r>
          </w:p>
        </w:tc>
        <w:tc>
          <w:tcPr>
            <w:tcW w:w="716" w:type="dxa"/>
            <w:tcBorders>
              <w:top w:val="nil"/>
              <w:left w:val="nil"/>
              <w:bottom w:val="single" w:sz="4" w:space="0" w:color="auto"/>
              <w:right w:val="nil"/>
            </w:tcBorders>
            <w:shd w:val="clear" w:color="auto" w:fill="auto"/>
            <w:noWrap/>
            <w:vAlign w:val="bottom"/>
            <w:hideMark/>
          </w:tcPr>
          <w:p w14:paraId="3825097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0.179</w:t>
            </w:r>
          </w:p>
        </w:tc>
        <w:tc>
          <w:tcPr>
            <w:tcW w:w="720" w:type="dxa"/>
            <w:tcBorders>
              <w:top w:val="nil"/>
              <w:left w:val="nil"/>
              <w:bottom w:val="single" w:sz="4" w:space="0" w:color="auto"/>
              <w:right w:val="single" w:sz="4" w:space="0" w:color="auto"/>
            </w:tcBorders>
            <w:shd w:val="clear" w:color="auto" w:fill="auto"/>
            <w:noWrap/>
            <w:vAlign w:val="bottom"/>
            <w:hideMark/>
          </w:tcPr>
          <w:p w14:paraId="7FE9E6E9"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85.5</w:t>
            </w:r>
          </w:p>
        </w:tc>
        <w:tc>
          <w:tcPr>
            <w:tcW w:w="630" w:type="dxa"/>
            <w:tcBorders>
              <w:top w:val="nil"/>
              <w:left w:val="nil"/>
              <w:bottom w:val="single" w:sz="4" w:space="0" w:color="auto"/>
              <w:right w:val="nil"/>
            </w:tcBorders>
            <w:shd w:val="clear" w:color="auto" w:fill="auto"/>
            <w:noWrap/>
            <w:vAlign w:val="bottom"/>
            <w:hideMark/>
          </w:tcPr>
          <w:p w14:paraId="4B4C6511"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62.5</w:t>
            </w:r>
          </w:p>
        </w:tc>
        <w:tc>
          <w:tcPr>
            <w:tcW w:w="630" w:type="dxa"/>
            <w:tcBorders>
              <w:top w:val="nil"/>
              <w:left w:val="nil"/>
              <w:bottom w:val="single" w:sz="4" w:space="0" w:color="auto"/>
              <w:right w:val="nil"/>
            </w:tcBorders>
            <w:shd w:val="clear" w:color="auto" w:fill="auto"/>
            <w:noWrap/>
            <w:vAlign w:val="bottom"/>
            <w:hideMark/>
          </w:tcPr>
          <w:p w14:paraId="4CCE10B8"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220.90</w:t>
            </w:r>
          </w:p>
        </w:tc>
        <w:tc>
          <w:tcPr>
            <w:tcW w:w="630" w:type="dxa"/>
            <w:tcBorders>
              <w:top w:val="nil"/>
              <w:left w:val="nil"/>
              <w:bottom w:val="single" w:sz="4" w:space="0" w:color="auto"/>
              <w:right w:val="nil"/>
            </w:tcBorders>
            <w:shd w:val="clear" w:color="auto" w:fill="auto"/>
            <w:noWrap/>
            <w:vAlign w:val="bottom"/>
            <w:hideMark/>
          </w:tcPr>
          <w:p w14:paraId="186450F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3850</w:t>
            </w:r>
          </w:p>
        </w:tc>
        <w:tc>
          <w:tcPr>
            <w:tcW w:w="630" w:type="dxa"/>
            <w:tcBorders>
              <w:top w:val="nil"/>
              <w:left w:val="single" w:sz="4" w:space="0" w:color="auto"/>
              <w:bottom w:val="single" w:sz="4" w:space="0" w:color="auto"/>
              <w:right w:val="nil"/>
            </w:tcBorders>
            <w:shd w:val="clear" w:color="auto" w:fill="auto"/>
            <w:noWrap/>
            <w:vAlign w:val="bottom"/>
            <w:hideMark/>
          </w:tcPr>
          <w:p w14:paraId="5B83D433"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0.175</w:t>
            </w:r>
          </w:p>
        </w:tc>
        <w:tc>
          <w:tcPr>
            <w:tcW w:w="720" w:type="dxa"/>
            <w:tcBorders>
              <w:top w:val="nil"/>
              <w:left w:val="nil"/>
              <w:bottom w:val="single" w:sz="4" w:space="0" w:color="auto"/>
              <w:right w:val="nil"/>
            </w:tcBorders>
            <w:shd w:val="clear" w:color="auto" w:fill="auto"/>
            <w:noWrap/>
            <w:vAlign w:val="bottom"/>
            <w:hideMark/>
          </w:tcPr>
          <w:p w14:paraId="6B707DA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0.145</w:t>
            </w:r>
          </w:p>
        </w:tc>
        <w:tc>
          <w:tcPr>
            <w:tcW w:w="720" w:type="dxa"/>
            <w:tcBorders>
              <w:top w:val="nil"/>
              <w:left w:val="nil"/>
              <w:bottom w:val="single" w:sz="4" w:space="0" w:color="auto"/>
              <w:right w:val="nil"/>
            </w:tcBorders>
            <w:shd w:val="clear" w:color="auto" w:fill="auto"/>
            <w:noWrap/>
            <w:vAlign w:val="bottom"/>
            <w:hideMark/>
          </w:tcPr>
          <w:p w14:paraId="559109F8"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73.9</w:t>
            </w:r>
          </w:p>
        </w:tc>
      </w:tr>
      <w:tr w:rsidR="00595166" w:rsidRPr="00A2694A" w14:paraId="4AF469FF" w14:textId="77777777" w:rsidTr="00505D6B">
        <w:trPr>
          <w:trHeight w:val="290"/>
        </w:trPr>
        <w:tc>
          <w:tcPr>
            <w:tcW w:w="737" w:type="dxa"/>
            <w:vMerge w:val="restart"/>
            <w:tcBorders>
              <w:top w:val="nil"/>
              <w:left w:val="nil"/>
              <w:bottom w:val="single" w:sz="4" w:space="0" w:color="000000"/>
              <w:right w:val="nil"/>
            </w:tcBorders>
            <w:shd w:val="clear" w:color="auto" w:fill="auto"/>
            <w:noWrap/>
            <w:textDirection w:val="btLr"/>
            <w:vAlign w:val="center"/>
            <w:hideMark/>
          </w:tcPr>
          <w:p w14:paraId="60EE5A88" w14:textId="77777777" w:rsidR="00595166" w:rsidRPr="00A2694A" w:rsidRDefault="00595166" w:rsidP="005A41EC">
            <w:pPr>
              <w:spacing w:line="240" w:lineRule="auto"/>
              <w:jc w:val="center"/>
              <w:rPr>
                <w:rFonts w:cstheme="minorHAnsi"/>
                <w:color w:val="000000"/>
                <w:sz w:val="16"/>
                <w:szCs w:val="16"/>
                <w:lang w:bidi="ar-SA"/>
              </w:rPr>
            </w:pPr>
            <w:r w:rsidRPr="00A2694A">
              <w:rPr>
                <w:rFonts w:cstheme="minorHAnsi"/>
                <w:color w:val="000000"/>
                <w:sz w:val="16"/>
                <w:szCs w:val="16"/>
                <w:lang w:bidi="ar-SA"/>
              </w:rPr>
              <w:t>Ghana</w:t>
            </w:r>
          </w:p>
        </w:tc>
        <w:tc>
          <w:tcPr>
            <w:tcW w:w="623" w:type="dxa"/>
            <w:tcBorders>
              <w:top w:val="nil"/>
              <w:left w:val="nil"/>
              <w:bottom w:val="nil"/>
              <w:right w:val="nil"/>
            </w:tcBorders>
            <w:shd w:val="clear" w:color="auto" w:fill="auto"/>
            <w:noWrap/>
            <w:vAlign w:val="bottom"/>
            <w:hideMark/>
          </w:tcPr>
          <w:p w14:paraId="3313F91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Small</w:t>
            </w:r>
          </w:p>
        </w:tc>
        <w:tc>
          <w:tcPr>
            <w:tcW w:w="721" w:type="dxa"/>
            <w:tcBorders>
              <w:top w:val="nil"/>
              <w:left w:val="single" w:sz="4" w:space="0" w:color="auto"/>
              <w:bottom w:val="nil"/>
              <w:right w:val="nil"/>
            </w:tcBorders>
            <w:shd w:val="clear" w:color="auto" w:fill="auto"/>
            <w:noWrap/>
            <w:vAlign w:val="bottom"/>
            <w:hideMark/>
          </w:tcPr>
          <w:p w14:paraId="20478721"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27.9</w:t>
            </w:r>
          </w:p>
        </w:tc>
        <w:tc>
          <w:tcPr>
            <w:tcW w:w="622" w:type="dxa"/>
            <w:tcBorders>
              <w:top w:val="nil"/>
              <w:left w:val="nil"/>
              <w:bottom w:val="nil"/>
              <w:right w:val="nil"/>
            </w:tcBorders>
            <w:shd w:val="clear" w:color="auto" w:fill="auto"/>
            <w:noWrap/>
            <w:vAlign w:val="bottom"/>
            <w:hideMark/>
          </w:tcPr>
          <w:p w14:paraId="7317B11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286.28</w:t>
            </w:r>
          </w:p>
        </w:tc>
        <w:tc>
          <w:tcPr>
            <w:tcW w:w="535" w:type="dxa"/>
            <w:tcBorders>
              <w:top w:val="nil"/>
              <w:left w:val="nil"/>
              <w:bottom w:val="nil"/>
              <w:right w:val="nil"/>
            </w:tcBorders>
            <w:shd w:val="clear" w:color="auto" w:fill="auto"/>
            <w:noWrap/>
            <w:vAlign w:val="bottom"/>
            <w:hideMark/>
          </w:tcPr>
          <w:p w14:paraId="6EF095D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15142</w:t>
            </w:r>
          </w:p>
        </w:tc>
        <w:tc>
          <w:tcPr>
            <w:tcW w:w="546" w:type="dxa"/>
            <w:tcBorders>
              <w:top w:val="nil"/>
              <w:left w:val="single" w:sz="4" w:space="0" w:color="auto"/>
              <w:bottom w:val="nil"/>
              <w:right w:val="nil"/>
            </w:tcBorders>
            <w:shd w:val="clear" w:color="auto" w:fill="auto"/>
            <w:noWrap/>
            <w:vAlign w:val="bottom"/>
            <w:hideMark/>
          </w:tcPr>
          <w:p w14:paraId="1EB2449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0.247</w:t>
            </w:r>
          </w:p>
        </w:tc>
        <w:tc>
          <w:tcPr>
            <w:tcW w:w="716" w:type="dxa"/>
            <w:tcBorders>
              <w:top w:val="nil"/>
              <w:left w:val="nil"/>
              <w:bottom w:val="nil"/>
              <w:right w:val="nil"/>
            </w:tcBorders>
            <w:shd w:val="clear" w:color="auto" w:fill="auto"/>
            <w:noWrap/>
            <w:vAlign w:val="center"/>
            <w:hideMark/>
          </w:tcPr>
          <w:p w14:paraId="37FDE75D" w14:textId="77777777" w:rsidR="00595166" w:rsidRPr="00A2694A" w:rsidRDefault="00595166" w:rsidP="005A41EC">
            <w:pPr>
              <w:spacing w:line="240" w:lineRule="auto"/>
              <w:jc w:val="center"/>
              <w:rPr>
                <w:rFonts w:cstheme="minorHAnsi"/>
                <w:color w:val="000000"/>
                <w:sz w:val="12"/>
                <w:szCs w:val="12"/>
                <w:lang w:bidi="ar-SA"/>
              </w:rPr>
            </w:pPr>
          </w:p>
          <w:p w14:paraId="22A1AF7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0.200</w:t>
            </w:r>
          </w:p>
        </w:tc>
        <w:tc>
          <w:tcPr>
            <w:tcW w:w="720" w:type="dxa"/>
            <w:tcBorders>
              <w:top w:val="nil"/>
              <w:left w:val="nil"/>
              <w:bottom w:val="nil"/>
              <w:right w:val="single" w:sz="4" w:space="0" w:color="auto"/>
            </w:tcBorders>
            <w:shd w:val="clear" w:color="auto" w:fill="auto"/>
            <w:noWrap/>
            <w:vAlign w:val="center"/>
            <w:hideMark/>
          </w:tcPr>
          <w:p w14:paraId="2FD4D8B9" w14:textId="77777777" w:rsidR="00595166" w:rsidRPr="00A2694A" w:rsidRDefault="00595166" w:rsidP="005A41EC">
            <w:pPr>
              <w:spacing w:line="240" w:lineRule="auto"/>
              <w:jc w:val="center"/>
              <w:rPr>
                <w:rFonts w:cstheme="minorHAnsi"/>
                <w:color w:val="000000"/>
                <w:sz w:val="12"/>
                <w:szCs w:val="12"/>
                <w:lang w:bidi="ar-SA"/>
              </w:rPr>
            </w:pPr>
          </w:p>
          <w:p w14:paraId="138AF40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89.1</w:t>
            </w:r>
          </w:p>
        </w:tc>
        <w:tc>
          <w:tcPr>
            <w:tcW w:w="630" w:type="dxa"/>
            <w:tcBorders>
              <w:top w:val="nil"/>
              <w:left w:val="nil"/>
              <w:bottom w:val="nil"/>
              <w:right w:val="nil"/>
            </w:tcBorders>
            <w:shd w:val="clear" w:color="auto" w:fill="auto"/>
            <w:noWrap/>
            <w:vAlign w:val="bottom"/>
            <w:hideMark/>
          </w:tcPr>
          <w:p w14:paraId="54C124B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26.5</w:t>
            </w:r>
          </w:p>
        </w:tc>
        <w:tc>
          <w:tcPr>
            <w:tcW w:w="630" w:type="dxa"/>
            <w:tcBorders>
              <w:top w:val="nil"/>
              <w:left w:val="nil"/>
              <w:bottom w:val="nil"/>
              <w:right w:val="nil"/>
            </w:tcBorders>
            <w:shd w:val="clear" w:color="auto" w:fill="auto"/>
            <w:noWrap/>
            <w:vAlign w:val="bottom"/>
            <w:hideMark/>
          </w:tcPr>
          <w:p w14:paraId="10AB18D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271.05</w:t>
            </w:r>
          </w:p>
        </w:tc>
        <w:tc>
          <w:tcPr>
            <w:tcW w:w="630" w:type="dxa"/>
            <w:tcBorders>
              <w:top w:val="nil"/>
              <w:left w:val="nil"/>
              <w:bottom w:val="nil"/>
              <w:right w:val="nil"/>
            </w:tcBorders>
            <w:shd w:val="clear" w:color="auto" w:fill="auto"/>
            <w:noWrap/>
            <w:vAlign w:val="bottom"/>
            <w:hideMark/>
          </w:tcPr>
          <w:p w14:paraId="0EE5A497"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16994</w:t>
            </w:r>
          </w:p>
        </w:tc>
        <w:tc>
          <w:tcPr>
            <w:tcW w:w="630" w:type="dxa"/>
            <w:tcBorders>
              <w:top w:val="nil"/>
              <w:left w:val="single" w:sz="4" w:space="0" w:color="auto"/>
              <w:bottom w:val="nil"/>
              <w:right w:val="nil"/>
            </w:tcBorders>
            <w:shd w:val="clear" w:color="auto" w:fill="auto"/>
            <w:noWrap/>
            <w:vAlign w:val="bottom"/>
            <w:hideMark/>
          </w:tcPr>
          <w:p w14:paraId="1AE7E137"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0.274</w:t>
            </w:r>
          </w:p>
        </w:tc>
        <w:tc>
          <w:tcPr>
            <w:tcW w:w="720" w:type="dxa"/>
            <w:tcBorders>
              <w:top w:val="nil"/>
              <w:left w:val="nil"/>
              <w:bottom w:val="nil"/>
              <w:right w:val="nil"/>
            </w:tcBorders>
            <w:shd w:val="clear" w:color="auto" w:fill="auto"/>
            <w:noWrap/>
            <w:vAlign w:val="bottom"/>
            <w:hideMark/>
          </w:tcPr>
          <w:p w14:paraId="4CB7C2D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0.158</w:t>
            </w:r>
          </w:p>
        </w:tc>
        <w:tc>
          <w:tcPr>
            <w:tcW w:w="720" w:type="dxa"/>
            <w:tcBorders>
              <w:top w:val="nil"/>
              <w:left w:val="nil"/>
              <w:bottom w:val="nil"/>
              <w:right w:val="nil"/>
            </w:tcBorders>
            <w:shd w:val="clear" w:color="auto" w:fill="auto"/>
            <w:noWrap/>
            <w:vAlign w:val="bottom"/>
            <w:hideMark/>
          </w:tcPr>
          <w:p w14:paraId="40BA6D0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85.4</w:t>
            </w:r>
          </w:p>
        </w:tc>
      </w:tr>
      <w:tr w:rsidR="00595166" w:rsidRPr="00A2694A" w14:paraId="63B4A7EB" w14:textId="77777777" w:rsidTr="00505D6B">
        <w:trPr>
          <w:trHeight w:val="290"/>
        </w:trPr>
        <w:tc>
          <w:tcPr>
            <w:tcW w:w="737" w:type="dxa"/>
            <w:vMerge/>
            <w:tcBorders>
              <w:top w:val="nil"/>
              <w:left w:val="nil"/>
              <w:bottom w:val="single" w:sz="4" w:space="0" w:color="000000"/>
              <w:right w:val="nil"/>
            </w:tcBorders>
            <w:vAlign w:val="center"/>
            <w:hideMark/>
          </w:tcPr>
          <w:p w14:paraId="1D93430A" w14:textId="77777777" w:rsidR="00595166" w:rsidRPr="00A2694A" w:rsidRDefault="00595166" w:rsidP="005A41EC">
            <w:pPr>
              <w:spacing w:line="240" w:lineRule="auto"/>
              <w:jc w:val="center"/>
              <w:rPr>
                <w:rFonts w:cstheme="minorHAnsi"/>
                <w:color w:val="000000"/>
                <w:sz w:val="16"/>
                <w:szCs w:val="16"/>
                <w:lang w:bidi="ar-SA"/>
              </w:rPr>
            </w:pPr>
          </w:p>
        </w:tc>
        <w:tc>
          <w:tcPr>
            <w:tcW w:w="623" w:type="dxa"/>
            <w:tcBorders>
              <w:top w:val="nil"/>
              <w:left w:val="nil"/>
              <w:bottom w:val="nil"/>
              <w:right w:val="nil"/>
            </w:tcBorders>
            <w:shd w:val="clear" w:color="auto" w:fill="auto"/>
            <w:noWrap/>
            <w:vAlign w:val="bottom"/>
            <w:hideMark/>
          </w:tcPr>
          <w:p w14:paraId="357FA39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Medium</w:t>
            </w:r>
          </w:p>
        </w:tc>
        <w:tc>
          <w:tcPr>
            <w:tcW w:w="721" w:type="dxa"/>
            <w:tcBorders>
              <w:top w:val="nil"/>
              <w:left w:val="single" w:sz="4" w:space="0" w:color="auto"/>
              <w:bottom w:val="nil"/>
              <w:right w:val="nil"/>
            </w:tcBorders>
            <w:shd w:val="clear" w:color="auto" w:fill="auto"/>
            <w:noWrap/>
            <w:vAlign w:val="bottom"/>
            <w:hideMark/>
          </w:tcPr>
          <w:p w14:paraId="7CB379DF"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36.2</w:t>
            </w:r>
          </w:p>
        </w:tc>
        <w:tc>
          <w:tcPr>
            <w:tcW w:w="622" w:type="dxa"/>
            <w:tcBorders>
              <w:top w:val="nil"/>
              <w:left w:val="nil"/>
              <w:bottom w:val="nil"/>
              <w:right w:val="nil"/>
            </w:tcBorders>
            <w:shd w:val="clear" w:color="auto" w:fill="auto"/>
            <w:noWrap/>
            <w:vAlign w:val="bottom"/>
            <w:hideMark/>
          </w:tcPr>
          <w:p w14:paraId="0C574BB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353.03</w:t>
            </w:r>
          </w:p>
        </w:tc>
        <w:tc>
          <w:tcPr>
            <w:tcW w:w="535" w:type="dxa"/>
            <w:tcBorders>
              <w:top w:val="nil"/>
              <w:left w:val="nil"/>
              <w:bottom w:val="nil"/>
              <w:right w:val="nil"/>
            </w:tcBorders>
            <w:shd w:val="clear" w:color="auto" w:fill="auto"/>
            <w:noWrap/>
            <w:vAlign w:val="bottom"/>
            <w:hideMark/>
          </w:tcPr>
          <w:p w14:paraId="0BFF532B"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14086</w:t>
            </w:r>
          </w:p>
        </w:tc>
        <w:tc>
          <w:tcPr>
            <w:tcW w:w="546" w:type="dxa"/>
            <w:tcBorders>
              <w:top w:val="nil"/>
              <w:left w:val="single" w:sz="4" w:space="0" w:color="auto"/>
              <w:bottom w:val="nil"/>
              <w:right w:val="nil"/>
            </w:tcBorders>
            <w:shd w:val="clear" w:color="auto" w:fill="auto"/>
            <w:noWrap/>
            <w:vAlign w:val="bottom"/>
            <w:hideMark/>
          </w:tcPr>
          <w:p w14:paraId="5D263CE3"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0.218</w:t>
            </w:r>
          </w:p>
        </w:tc>
        <w:tc>
          <w:tcPr>
            <w:tcW w:w="716" w:type="dxa"/>
            <w:tcBorders>
              <w:top w:val="nil"/>
              <w:left w:val="nil"/>
              <w:bottom w:val="nil"/>
              <w:right w:val="nil"/>
            </w:tcBorders>
            <w:shd w:val="clear" w:color="auto" w:fill="auto"/>
            <w:noWrap/>
            <w:vAlign w:val="center"/>
            <w:hideMark/>
          </w:tcPr>
          <w:p w14:paraId="1EFAA702" w14:textId="77777777" w:rsidR="00595166" w:rsidRPr="00A2694A" w:rsidRDefault="00595166" w:rsidP="005A41EC">
            <w:pPr>
              <w:spacing w:line="240" w:lineRule="auto"/>
              <w:jc w:val="center"/>
              <w:rPr>
                <w:rFonts w:cstheme="minorHAnsi"/>
                <w:color w:val="000000"/>
                <w:sz w:val="12"/>
                <w:szCs w:val="12"/>
                <w:lang w:bidi="ar-SA"/>
              </w:rPr>
            </w:pPr>
          </w:p>
          <w:p w14:paraId="10E5C9B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0.205</w:t>
            </w:r>
          </w:p>
        </w:tc>
        <w:tc>
          <w:tcPr>
            <w:tcW w:w="720" w:type="dxa"/>
            <w:tcBorders>
              <w:top w:val="nil"/>
              <w:left w:val="nil"/>
              <w:bottom w:val="nil"/>
              <w:right w:val="single" w:sz="4" w:space="0" w:color="auto"/>
            </w:tcBorders>
            <w:shd w:val="clear" w:color="auto" w:fill="auto"/>
            <w:noWrap/>
            <w:vAlign w:val="bottom"/>
            <w:hideMark/>
          </w:tcPr>
          <w:p w14:paraId="5A77A6E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83.6</w:t>
            </w:r>
          </w:p>
        </w:tc>
        <w:tc>
          <w:tcPr>
            <w:tcW w:w="630" w:type="dxa"/>
            <w:tcBorders>
              <w:top w:val="nil"/>
              <w:left w:val="nil"/>
              <w:bottom w:val="nil"/>
              <w:right w:val="nil"/>
            </w:tcBorders>
            <w:shd w:val="clear" w:color="auto" w:fill="auto"/>
            <w:noWrap/>
            <w:vAlign w:val="bottom"/>
            <w:hideMark/>
          </w:tcPr>
          <w:p w14:paraId="3B4BB63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32.4</w:t>
            </w:r>
          </w:p>
        </w:tc>
        <w:tc>
          <w:tcPr>
            <w:tcW w:w="630" w:type="dxa"/>
            <w:tcBorders>
              <w:top w:val="nil"/>
              <w:left w:val="nil"/>
              <w:bottom w:val="nil"/>
              <w:right w:val="nil"/>
            </w:tcBorders>
            <w:shd w:val="clear" w:color="auto" w:fill="auto"/>
            <w:noWrap/>
            <w:vAlign w:val="bottom"/>
            <w:hideMark/>
          </w:tcPr>
          <w:p w14:paraId="6299B62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315.70</w:t>
            </w:r>
          </w:p>
        </w:tc>
        <w:tc>
          <w:tcPr>
            <w:tcW w:w="630" w:type="dxa"/>
            <w:tcBorders>
              <w:top w:val="nil"/>
              <w:left w:val="nil"/>
              <w:bottom w:val="nil"/>
              <w:right w:val="nil"/>
            </w:tcBorders>
            <w:shd w:val="clear" w:color="auto" w:fill="auto"/>
            <w:noWrap/>
            <w:vAlign w:val="bottom"/>
            <w:hideMark/>
          </w:tcPr>
          <w:p w14:paraId="3DED675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15648</w:t>
            </w:r>
          </w:p>
        </w:tc>
        <w:tc>
          <w:tcPr>
            <w:tcW w:w="630" w:type="dxa"/>
            <w:tcBorders>
              <w:top w:val="nil"/>
              <w:left w:val="single" w:sz="4" w:space="0" w:color="auto"/>
              <w:bottom w:val="nil"/>
              <w:right w:val="nil"/>
            </w:tcBorders>
            <w:shd w:val="clear" w:color="auto" w:fill="auto"/>
            <w:noWrap/>
            <w:vAlign w:val="bottom"/>
            <w:hideMark/>
          </w:tcPr>
          <w:p w14:paraId="57A20311"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0.243</w:t>
            </w:r>
          </w:p>
        </w:tc>
        <w:tc>
          <w:tcPr>
            <w:tcW w:w="720" w:type="dxa"/>
            <w:tcBorders>
              <w:top w:val="nil"/>
              <w:left w:val="nil"/>
              <w:bottom w:val="nil"/>
              <w:right w:val="nil"/>
            </w:tcBorders>
            <w:shd w:val="clear" w:color="auto" w:fill="auto"/>
            <w:noWrap/>
            <w:vAlign w:val="bottom"/>
            <w:hideMark/>
          </w:tcPr>
          <w:p w14:paraId="7D5C7F2F"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0.164</w:t>
            </w:r>
          </w:p>
        </w:tc>
        <w:tc>
          <w:tcPr>
            <w:tcW w:w="720" w:type="dxa"/>
            <w:tcBorders>
              <w:top w:val="nil"/>
              <w:left w:val="nil"/>
              <w:bottom w:val="nil"/>
              <w:right w:val="nil"/>
            </w:tcBorders>
            <w:shd w:val="clear" w:color="auto" w:fill="auto"/>
            <w:noWrap/>
            <w:vAlign w:val="bottom"/>
            <w:hideMark/>
          </w:tcPr>
          <w:p w14:paraId="6088305F"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82.5</w:t>
            </w:r>
          </w:p>
        </w:tc>
      </w:tr>
      <w:tr w:rsidR="00595166" w:rsidRPr="00A2694A" w14:paraId="1C418562" w14:textId="77777777" w:rsidTr="00505D6B">
        <w:trPr>
          <w:trHeight w:val="290"/>
        </w:trPr>
        <w:tc>
          <w:tcPr>
            <w:tcW w:w="737" w:type="dxa"/>
            <w:vMerge/>
            <w:tcBorders>
              <w:top w:val="nil"/>
              <w:left w:val="nil"/>
              <w:bottom w:val="single" w:sz="4" w:space="0" w:color="000000"/>
              <w:right w:val="nil"/>
            </w:tcBorders>
            <w:vAlign w:val="center"/>
            <w:hideMark/>
          </w:tcPr>
          <w:p w14:paraId="249AC26E" w14:textId="77777777" w:rsidR="00595166" w:rsidRPr="00A2694A" w:rsidRDefault="00595166" w:rsidP="005A41EC">
            <w:pPr>
              <w:spacing w:line="240" w:lineRule="auto"/>
              <w:jc w:val="center"/>
              <w:rPr>
                <w:rFonts w:cstheme="minorHAnsi"/>
                <w:color w:val="000000"/>
                <w:sz w:val="16"/>
                <w:szCs w:val="16"/>
                <w:lang w:bidi="ar-SA"/>
              </w:rPr>
            </w:pPr>
          </w:p>
        </w:tc>
        <w:tc>
          <w:tcPr>
            <w:tcW w:w="623" w:type="dxa"/>
            <w:tcBorders>
              <w:top w:val="nil"/>
              <w:left w:val="nil"/>
              <w:bottom w:val="single" w:sz="4" w:space="0" w:color="auto"/>
              <w:right w:val="nil"/>
            </w:tcBorders>
            <w:shd w:val="clear" w:color="auto" w:fill="auto"/>
            <w:noWrap/>
            <w:vAlign w:val="bottom"/>
            <w:hideMark/>
          </w:tcPr>
          <w:p w14:paraId="6021CA8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Large</w:t>
            </w:r>
          </w:p>
        </w:tc>
        <w:tc>
          <w:tcPr>
            <w:tcW w:w="721" w:type="dxa"/>
            <w:tcBorders>
              <w:top w:val="nil"/>
              <w:left w:val="single" w:sz="4" w:space="0" w:color="auto"/>
              <w:bottom w:val="single" w:sz="4" w:space="0" w:color="auto"/>
              <w:right w:val="nil"/>
            </w:tcBorders>
            <w:shd w:val="clear" w:color="auto" w:fill="auto"/>
            <w:noWrap/>
            <w:vAlign w:val="bottom"/>
            <w:hideMark/>
          </w:tcPr>
          <w:p w14:paraId="0B648633"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57.5</w:t>
            </w:r>
          </w:p>
        </w:tc>
        <w:tc>
          <w:tcPr>
            <w:tcW w:w="622" w:type="dxa"/>
            <w:tcBorders>
              <w:top w:val="nil"/>
              <w:left w:val="nil"/>
              <w:bottom w:val="single" w:sz="4" w:space="0" w:color="auto"/>
              <w:right w:val="nil"/>
            </w:tcBorders>
            <w:shd w:val="clear" w:color="auto" w:fill="auto"/>
            <w:noWrap/>
            <w:vAlign w:val="bottom"/>
            <w:hideMark/>
          </w:tcPr>
          <w:p w14:paraId="2A7D197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1019.91</w:t>
            </w:r>
          </w:p>
        </w:tc>
        <w:tc>
          <w:tcPr>
            <w:tcW w:w="535" w:type="dxa"/>
            <w:tcBorders>
              <w:top w:val="nil"/>
              <w:left w:val="nil"/>
              <w:bottom w:val="single" w:sz="4" w:space="0" w:color="auto"/>
              <w:right w:val="nil"/>
            </w:tcBorders>
            <w:shd w:val="clear" w:color="auto" w:fill="auto"/>
            <w:noWrap/>
            <w:vAlign w:val="bottom"/>
            <w:hideMark/>
          </w:tcPr>
          <w:p w14:paraId="1C47846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14477</w:t>
            </w:r>
          </w:p>
        </w:tc>
        <w:tc>
          <w:tcPr>
            <w:tcW w:w="546" w:type="dxa"/>
            <w:tcBorders>
              <w:top w:val="nil"/>
              <w:left w:val="single" w:sz="4" w:space="0" w:color="auto"/>
              <w:bottom w:val="single" w:sz="4" w:space="0" w:color="auto"/>
              <w:right w:val="nil"/>
            </w:tcBorders>
            <w:shd w:val="clear" w:color="auto" w:fill="auto"/>
            <w:noWrap/>
            <w:vAlign w:val="bottom"/>
            <w:hideMark/>
          </w:tcPr>
          <w:p w14:paraId="7EAF8C3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0.141</w:t>
            </w:r>
          </w:p>
        </w:tc>
        <w:tc>
          <w:tcPr>
            <w:tcW w:w="716" w:type="dxa"/>
            <w:tcBorders>
              <w:top w:val="nil"/>
              <w:left w:val="nil"/>
              <w:bottom w:val="single" w:sz="4" w:space="0" w:color="auto"/>
              <w:right w:val="nil"/>
            </w:tcBorders>
            <w:shd w:val="clear" w:color="auto" w:fill="auto"/>
            <w:noWrap/>
            <w:vAlign w:val="center"/>
            <w:hideMark/>
          </w:tcPr>
          <w:p w14:paraId="2FA39657" w14:textId="77777777" w:rsidR="00595166" w:rsidRPr="00A2694A" w:rsidRDefault="00595166" w:rsidP="005A41EC">
            <w:pPr>
              <w:spacing w:line="240" w:lineRule="auto"/>
              <w:jc w:val="center"/>
              <w:rPr>
                <w:rFonts w:cstheme="minorHAnsi"/>
                <w:color w:val="000000"/>
                <w:sz w:val="12"/>
                <w:szCs w:val="12"/>
                <w:lang w:bidi="ar-SA"/>
              </w:rPr>
            </w:pPr>
          </w:p>
          <w:p w14:paraId="31CB587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0.193</w:t>
            </w:r>
          </w:p>
        </w:tc>
        <w:tc>
          <w:tcPr>
            <w:tcW w:w="720" w:type="dxa"/>
            <w:tcBorders>
              <w:top w:val="nil"/>
              <w:left w:val="nil"/>
              <w:bottom w:val="single" w:sz="4" w:space="0" w:color="auto"/>
              <w:right w:val="single" w:sz="4" w:space="0" w:color="auto"/>
            </w:tcBorders>
            <w:shd w:val="clear" w:color="auto" w:fill="auto"/>
            <w:noWrap/>
            <w:vAlign w:val="bottom"/>
            <w:hideMark/>
          </w:tcPr>
          <w:p w14:paraId="610D339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79.1</w:t>
            </w:r>
          </w:p>
        </w:tc>
        <w:tc>
          <w:tcPr>
            <w:tcW w:w="630" w:type="dxa"/>
            <w:tcBorders>
              <w:top w:val="nil"/>
              <w:left w:val="nil"/>
              <w:bottom w:val="single" w:sz="4" w:space="0" w:color="auto"/>
              <w:right w:val="nil"/>
            </w:tcBorders>
            <w:shd w:val="clear" w:color="auto" w:fill="auto"/>
            <w:noWrap/>
            <w:vAlign w:val="bottom"/>
            <w:hideMark/>
          </w:tcPr>
          <w:p w14:paraId="5281968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52.7</w:t>
            </w:r>
          </w:p>
        </w:tc>
        <w:tc>
          <w:tcPr>
            <w:tcW w:w="630" w:type="dxa"/>
            <w:tcBorders>
              <w:top w:val="nil"/>
              <w:left w:val="nil"/>
              <w:bottom w:val="single" w:sz="4" w:space="0" w:color="auto"/>
              <w:right w:val="nil"/>
            </w:tcBorders>
            <w:shd w:val="clear" w:color="auto" w:fill="auto"/>
            <w:noWrap/>
            <w:vAlign w:val="bottom"/>
            <w:hideMark/>
          </w:tcPr>
          <w:p w14:paraId="50779A7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933.56</w:t>
            </w:r>
          </w:p>
        </w:tc>
        <w:tc>
          <w:tcPr>
            <w:tcW w:w="630" w:type="dxa"/>
            <w:tcBorders>
              <w:top w:val="nil"/>
              <w:left w:val="nil"/>
              <w:bottom w:val="single" w:sz="4" w:space="0" w:color="auto"/>
              <w:right w:val="nil"/>
            </w:tcBorders>
            <w:shd w:val="clear" w:color="auto" w:fill="auto"/>
            <w:noWrap/>
            <w:vAlign w:val="bottom"/>
            <w:hideMark/>
          </w:tcPr>
          <w:p w14:paraId="176EC67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23114</w:t>
            </w:r>
          </w:p>
        </w:tc>
        <w:tc>
          <w:tcPr>
            <w:tcW w:w="630" w:type="dxa"/>
            <w:tcBorders>
              <w:top w:val="nil"/>
              <w:left w:val="single" w:sz="4" w:space="0" w:color="auto"/>
              <w:bottom w:val="single" w:sz="4" w:space="0" w:color="auto"/>
              <w:right w:val="nil"/>
            </w:tcBorders>
            <w:shd w:val="clear" w:color="auto" w:fill="auto"/>
            <w:noWrap/>
            <w:vAlign w:val="bottom"/>
            <w:hideMark/>
          </w:tcPr>
          <w:p w14:paraId="0FC186C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0.146</w:t>
            </w:r>
          </w:p>
        </w:tc>
        <w:tc>
          <w:tcPr>
            <w:tcW w:w="720" w:type="dxa"/>
            <w:tcBorders>
              <w:top w:val="nil"/>
              <w:left w:val="nil"/>
              <w:bottom w:val="single" w:sz="4" w:space="0" w:color="auto"/>
              <w:right w:val="nil"/>
            </w:tcBorders>
            <w:shd w:val="clear" w:color="auto" w:fill="auto"/>
            <w:noWrap/>
            <w:vAlign w:val="bottom"/>
            <w:hideMark/>
          </w:tcPr>
          <w:p w14:paraId="0E5C19D9"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144</w:t>
            </w:r>
          </w:p>
        </w:tc>
        <w:tc>
          <w:tcPr>
            <w:tcW w:w="720" w:type="dxa"/>
            <w:tcBorders>
              <w:top w:val="nil"/>
              <w:left w:val="nil"/>
              <w:bottom w:val="single" w:sz="4" w:space="0" w:color="auto"/>
              <w:right w:val="nil"/>
            </w:tcBorders>
            <w:shd w:val="clear" w:color="auto" w:fill="auto"/>
            <w:noWrap/>
            <w:vAlign w:val="bottom"/>
            <w:hideMark/>
          </w:tcPr>
          <w:p w14:paraId="7E584AFB"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76.3</w:t>
            </w:r>
          </w:p>
        </w:tc>
      </w:tr>
      <w:tr w:rsidR="00595166" w:rsidRPr="00A2694A" w14:paraId="1F0CC352" w14:textId="77777777" w:rsidTr="00505D6B">
        <w:trPr>
          <w:trHeight w:val="290"/>
        </w:trPr>
        <w:tc>
          <w:tcPr>
            <w:tcW w:w="737" w:type="dxa"/>
            <w:vMerge w:val="restart"/>
            <w:tcBorders>
              <w:top w:val="nil"/>
              <w:left w:val="nil"/>
              <w:bottom w:val="single" w:sz="4" w:space="0" w:color="000000"/>
              <w:right w:val="nil"/>
            </w:tcBorders>
            <w:shd w:val="clear" w:color="auto" w:fill="auto"/>
            <w:noWrap/>
            <w:textDirection w:val="btLr"/>
            <w:vAlign w:val="center"/>
            <w:hideMark/>
          </w:tcPr>
          <w:p w14:paraId="18A6C05E" w14:textId="77777777" w:rsidR="00595166" w:rsidRPr="00A2694A" w:rsidRDefault="00595166" w:rsidP="005A41EC">
            <w:pPr>
              <w:spacing w:line="240" w:lineRule="auto"/>
              <w:jc w:val="center"/>
              <w:rPr>
                <w:rFonts w:cstheme="minorHAnsi"/>
                <w:color w:val="000000"/>
                <w:sz w:val="16"/>
                <w:szCs w:val="16"/>
                <w:lang w:bidi="ar-SA"/>
              </w:rPr>
            </w:pPr>
            <w:r w:rsidRPr="00A2694A">
              <w:rPr>
                <w:rFonts w:cstheme="minorHAnsi"/>
                <w:color w:val="000000"/>
                <w:sz w:val="16"/>
                <w:szCs w:val="16"/>
                <w:lang w:bidi="ar-SA"/>
              </w:rPr>
              <w:t>Nigeria</w:t>
            </w:r>
          </w:p>
        </w:tc>
        <w:tc>
          <w:tcPr>
            <w:tcW w:w="623" w:type="dxa"/>
            <w:tcBorders>
              <w:top w:val="nil"/>
              <w:left w:val="nil"/>
              <w:bottom w:val="nil"/>
              <w:right w:val="nil"/>
            </w:tcBorders>
            <w:shd w:val="clear" w:color="auto" w:fill="auto"/>
            <w:noWrap/>
            <w:vAlign w:val="bottom"/>
            <w:hideMark/>
          </w:tcPr>
          <w:p w14:paraId="502E9FB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Small</w:t>
            </w:r>
          </w:p>
        </w:tc>
        <w:tc>
          <w:tcPr>
            <w:tcW w:w="721" w:type="dxa"/>
            <w:tcBorders>
              <w:top w:val="nil"/>
              <w:left w:val="single" w:sz="4" w:space="0" w:color="auto"/>
              <w:bottom w:val="nil"/>
              <w:right w:val="nil"/>
            </w:tcBorders>
            <w:shd w:val="clear" w:color="auto" w:fill="auto"/>
            <w:noWrap/>
            <w:vAlign w:val="bottom"/>
            <w:hideMark/>
          </w:tcPr>
          <w:p w14:paraId="27B28AA6"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25.6</w:t>
            </w:r>
          </w:p>
        </w:tc>
        <w:tc>
          <w:tcPr>
            <w:tcW w:w="622" w:type="dxa"/>
            <w:tcBorders>
              <w:top w:val="nil"/>
              <w:left w:val="nil"/>
              <w:bottom w:val="nil"/>
              <w:right w:val="nil"/>
            </w:tcBorders>
            <w:shd w:val="clear" w:color="auto" w:fill="auto"/>
            <w:noWrap/>
            <w:vAlign w:val="bottom"/>
            <w:hideMark/>
          </w:tcPr>
          <w:p w14:paraId="077DC14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1011.23</w:t>
            </w:r>
          </w:p>
        </w:tc>
        <w:tc>
          <w:tcPr>
            <w:tcW w:w="535" w:type="dxa"/>
            <w:tcBorders>
              <w:top w:val="nil"/>
              <w:left w:val="nil"/>
              <w:bottom w:val="nil"/>
              <w:right w:val="nil"/>
            </w:tcBorders>
            <w:shd w:val="clear" w:color="auto" w:fill="auto"/>
            <w:noWrap/>
            <w:vAlign w:val="bottom"/>
            <w:hideMark/>
          </w:tcPr>
          <w:p w14:paraId="7E6B578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54023</w:t>
            </w:r>
          </w:p>
        </w:tc>
        <w:tc>
          <w:tcPr>
            <w:tcW w:w="546" w:type="dxa"/>
            <w:tcBorders>
              <w:top w:val="nil"/>
              <w:left w:val="single" w:sz="4" w:space="0" w:color="auto"/>
              <w:bottom w:val="nil"/>
              <w:right w:val="nil"/>
            </w:tcBorders>
            <w:shd w:val="clear" w:color="auto" w:fill="auto"/>
            <w:noWrap/>
            <w:vAlign w:val="bottom"/>
            <w:hideMark/>
          </w:tcPr>
          <w:p w14:paraId="770A382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0.350</w:t>
            </w:r>
          </w:p>
        </w:tc>
        <w:tc>
          <w:tcPr>
            <w:tcW w:w="716" w:type="dxa"/>
            <w:tcBorders>
              <w:top w:val="nil"/>
              <w:left w:val="nil"/>
              <w:bottom w:val="nil"/>
              <w:right w:val="nil"/>
            </w:tcBorders>
            <w:shd w:val="clear" w:color="auto" w:fill="auto"/>
            <w:noWrap/>
            <w:vAlign w:val="bottom"/>
            <w:hideMark/>
          </w:tcPr>
          <w:p w14:paraId="5E19F7A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0.245</w:t>
            </w:r>
          </w:p>
        </w:tc>
        <w:tc>
          <w:tcPr>
            <w:tcW w:w="720" w:type="dxa"/>
            <w:tcBorders>
              <w:top w:val="nil"/>
              <w:left w:val="nil"/>
              <w:bottom w:val="nil"/>
              <w:right w:val="single" w:sz="4" w:space="0" w:color="auto"/>
            </w:tcBorders>
            <w:shd w:val="clear" w:color="auto" w:fill="auto"/>
            <w:noWrap/>
            <w:vAlign w:val="bottom"/>
            <w:hideMark/>
          </w:tcPr>
          <w:p w14:paraId="253FA641" w14:textId="250944F7" w:rsidR="00595166" w:rsidRPr="00A2694A" w:rsidRDefault="004E5959" w:rsidP="005A41EC">
            <w:pPr>
              <w:spacing w:line="240" w:lineRule="auto"/>
              <w:jc w:val="center"/>
              <w:rPr>
                <w:rFonts w:cstheme="minorHAnsi"/>
                <w:color w:val="000000"/>
                <w:sz w:val="12"/>
                <w:szCs w:val="12"/>
                <w:lang w:bidi="ar-SA"/>
              </w:rPr>
            </w:pPr>
            <w:r>
              <w:rPr>
                <w:rFonts w:cstheme="minorHAnsi"/>
                <w:color w:val="000000"/>
                <w:sz w:val="12"/>
                <w:szCs w:val="12"/>
                <w:lang w:bidi="ar-SA"/>
              </w:rPr>
              <w:t>NA</w:t>
            </w:r>
          </w:p>
        </w:tc>
        <w:tc>
          <w:tcPr>
            <w:tcW w:w="630" w:type="dxa"/>
            <w:tcBorders>
              <w:top w:val="nil"/>
              <w:left w:val="nil"/>
              <w:bottom w:val="nil"/>
              <w:right w:val="nil"/>
            </w:tcBorders>
            <w:shd w:val="clear" w:color="auto" w:fill="auto"/>
            <w:noWrap/>
            <w:vAlign w:val="bottom"/>
            <w:hideMark/>
          </w:tcPr>
          <w:p w14:paraId="15D9CF8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24.7</w:t>
            </w:r>
          </w:p>
        </w:tc>
        <w:tc>
          <w:tcPr>
            <w:tcW w:w="630" w:type="dxa"/>
            <w:tcBorders>
              <w:top w:val="nil"/>
              <w:left w:val="nil"/>
              <w:bottom w:val="nil"/>
              <w:right w:val="nil"/>
            </w:tcBorders>
            <w:shd w:val="clear" w:color="auto" w:fill="auto"/>
            <w:noWrap/>
            <w:vAlign w:val="bottom"/>
            <w:hideMark/>
          </w:tcPr>
          <w:p w14:paraId="5FFA2AB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973.85</w:t>
            </w:r>
          </w:p>
        </w:tc>
        <w:tc>
          <w:tcPr>
            <w:tcW w:w="630" w:type="dxa"/>
            <w:tcBorders>
              <w:top w:val="nil"/>
              <w:left w:val="nil"/>
              <w:bottom w:val="nil"/>
              <w:right w:val="nil"/>
            </w:tcBorders>
            <w:shd w:val="clear" w:color="auto" w:fill="auto"/>
            <w:noWrap/>
            <w:vAlign w:val="bottom"/>
            <w:hideMark/>
          </w:tcPr>
          <w:p w14:paraId="1B4526F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57309</w:t>
            </w:r>
          </w:p>
        </w:tc>
        <w:tc>
          <w:tcPr>
            <w:tcW w:w="630" w:type="dxa"/>
            <w:tcBorders>
              <w:top w:val="nil"/>
              <w:left w:val="single" w:sz="4" w:space="0" w:color="auto"/>
              <w:bottom w:val="nil"/>
              <w:right w:val="nil"/>
            </w:tcBorders>
            <w:shd w:val="clear" w:color="auto" w:fill="auto"/>
            <w:noWrap/>
            <w:vAlign w:val="bottom"/>
            <w:hideMark/>
          </w:tcPr>
          <w:p w14:paraId="46F58B7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0.270</w:t>
            </w:r>
          </w:p>
        </w:tc>
        <w:tc>
          <w:tcPr>
            <w:tcW w:w="720" w:type="dxa"/>
            <w:tcBorders>
              <w:top w:val="nil"/>
              <w:left w:val="nil"/>
              <w:bottom w:val="nil"/>
              <w:right w:val="nil"/>
            </w:tcBorders>
            <w:shd w:val="clear" w:color="auto" w:fill="auto"/>
            <w:noWrap/>
            <w:vAlign w:val="bottom"/>
            <w:hideMark/>
          </w:tcPr>
          <w:p w14:paraId="54F3CF49"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0.163</w:t>
            </w:r>
          </w:p>
        </w:tc>
        <w:tc>
          <w:tcPr>
            <w:tcW w:w="720" w:type="dxa"/>
            <w:tcBorders>
              <w:top w:val="nil"/>
              <w:left w:val="nil"/>
              <w:bottom w:val="nil"/>
              <w:right w:val="nil"/>
            </w:tcBorders>
            <w:shd w:val="clear" w:color="auto" w:fill="auto"/>
            <w:noWrap/>
            <w:vAlign w:val="bottom"/>
            <w:hideMark/>
          </w:tcPr>
          <w:p w14:paraId="2863FDCF" w14:textId="5EC2B5C6" w:rsidR="00595166" w:rsidRPr="00A2694A" w:rsidRDefault="004E5959" w:rsidP="005A41EC">
            <w:pPr>
              <w:spacing w:line="240" w:lineRule="auto"/>
              <w:jc w:val="center"/>
              <w:rPr>
                <w:rFonts w:cstheme="minorHAnsi"/>
                <w:color w:val="000000"/>
                <w:sz w:val="12"/>
                <w:szCs w:val="12"/>
                <w:lang w:bidi="ar-SA"/>
              </w:rPr>
            </w:pPr>
            <w:r>
              <w:rPr>
                <w:rFonts w:cstheme="minorHAnsi"/>
                <w:color w:val="000000"/>
                <w:sz w:val="12"/>
                <w:szCs w:val="12"/>
                <w:lang w:bidi="ar-SA"/>
              </w:rPr>
              <w:t>NA</w:t>
            </w:r>
          </w:p>
        </w:tc>
      </w:tr>
      <w:tr w:rsidR="00595166" w:rsidRPr="00A2694A" w14:paraId="5F6D896E" w14:textId="77777777" w:rsidTr="00505D6B">
        <w:trPr>
          <w:trHeight w:val="290"/>
        </w:trPr>
        <w:tc>
          <w:tcPr>
            <w:tcW w:w="737" w:type="dxa"/>
            <w:vMerge/>
            <w:tcBorders>
              <w:top w:val="nil"/>
              <w:left w:val="nil"/>
              <w:bottom w:val="single" w:sz="4" w:space="0" w:color="000000"/>
              <w:right w:val="nil"/>
            </w:tcBorders>
            <w:vAlign w:val="center"/>
            <w:hideMark/>
          </w:tcPr>
          <w:p w14:paraId="47ADE174" w14:textId="77777777" w:rsidR="00595166" w:rsidRPr="00A2694A" w:rsidRDefault="00595166" w:rsidP="005A41EC">
            <w:pPr>
              <w:spacing w:line="240" w:lineRule="auto"/>
              <w:jc w:val="center"/>
              <w:rPr>
                <w:rFonts w:cstheme="minorHAnsi"/>
                <w:color w:val="000000"/>
                <w:sz w:val="12"/>
                <w:szCs w:val="12"/>
                <w:lang w:bidi="ar-SA"/>
              </w:rPr>
            </w:pPr>
          </w:p>
        </w:tc>
        <w:tc>
          <w:tcPr>
            <w:tcW w:w="623" w:type="dxa"/>
            <w:tcBorders>
              <w:top w:val="nil"/>
              <w:left w:val="nil"/>
              <w:bottom w:val="nil"/>
              <w:right w:val="nil"/>
            </w:tcBorders>
            <w:shd w:val="clear" w:color="auto" w:fill="auto"/>
            <w:noWrap/>
            <w:vAlign w:val="bottom"/>
            <w:hideMark/>
          </w:tcPr>
          <w:p w14:paraId="74AEEF9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Medium</w:t>
            </w:r>
          </w:p>
        </w:tc>
        <w:tc>
          <w:tcPr>
            <w:tcW w:w="721" w:type="dxa"/>
            <w:tcBorders>
              <w:top w:val="nil"/>
              <w:left w:val="single" w:sz="4" w:space="0" w:color="auto"/>
              <w:bottom w:val="nil"/>
              <w:right w:val="nil"/>
            </w:tcBorders>
            <w:shd w:val="clear" w:color="auto" w:fill="auto"/>
            <w:noWrap/>
            <w:vAlign w:val="bottom"/>
            <w:hideMark/>
          </w:tcPr>
          <w:p w14:paraId="762B370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38.1</w:t>
            </w:r>
          </w:p>
        </w:tc>
        <w:tc>
          <w:tcPr>
            <w:tcW w:w="622" w:type="dxa"/>
            <w:tcBorders>
              <w:top w:val="nil"/>
              <w:left w:val="nil"/>
              <w:bottom w:val="nil"/>
              <w:right w:val="nil"/>
            </w:tcBorders>
            <w:shd w:val="clear" w:color="auto" w:fill="auto"/>
            <w:noWrap/>
            <w:vAlign w:val="bottom"/>
            <w:hideMark/>
          </w:tcPr>
          <w:p w14:paraId="72EAA4B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3070.55</w:t>
            </w:r>
          </w:p>
        </w:tc>
        <w:tc>
          <w:tcPr>
            <w:tcW w:w="535" w:type="dxa"/>
            <w:tcBorders>
              <w:top w:val="nil"/>
              <w:left w:val="nil"/>
              <w:bottom w:val="nil"/>
              <w:right w:val="nil"/>
            </w:tcBorders>
            <w:shd w:val="clear" w:color="auto" w:fill="auto"/>
            <w:noWrap/>
            <w:vAlign w:val="bottom"/>
            <w:hideMark/>
          </w:tcPr>
          <w:p w14:paraId="2EBCE71B"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82598</w:t>
            </w:r>
          </w:p>
        </w:tc>
        <w:tc>
          <w:tcPr>
            <w:tcW w:w="546" w:type="dxa"/>
            <w:tcBorders>
              <w:top w:val="nil"/>
              <w:left w:val="single" w:sz="4" w:space="0" w:color="auto"/>
              <w:bottom w:val="nil"/>
              <w:right w:val="nil"/>
            </w:tcBorders>
            <w:shd w:val="clear" w:color="auto" w:fill="auto"/>
            <w:noWrap/>
            <w:vAlign w:val="bottom"/>
            <w:hideMark/>
          </w:tcPr>
          <w:p w14:paraId="1FFAB154"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0.175</w:t>
            </w:r>
          </w:p>
        </w:tc>
        <w:tc>
          <w:tcPr>
            <w:tcW w:w="716" w:type="dxa"/>
            <w:tcBorders>
              <w:top w:val="nil"/>
              <w:left w:val="nil"/>
              <w:bottom w:val="nil"/>
              <w:right w:val="nil"/>
            </w:tcBorders>
            <w:shd w:val="clear" w:color="auto" w:fill="auto"/>
            <w:noWrap/>
            <w:vAlign w:val="center"/>
            <w:hideMark/>
          </w:tcPr>
          <w:p w14:paraId="6F71B808" w14:textId="77777777" w:rsidR="00595166" w:rsidRPr="00A2694A" w:rsidRDefault="00595166" w:rsidP="005A41EC">
            <w:pPr>
              <w:spacing w:line="240" w:lineRule="auto"/>
              <w:jc w:val="center"/>
              <w:rPr>
                <w:rFonts w:cstheme="minorHAnsi"/>
                <w:color w:val="000000"/>
                <w:sz w:val="12"/>
                <w:szCs w:val="12"/>
                <w:lang w:bidi="ar-SA"/>
              </w:rPr>
            </w:pPr>
          </w:p>
          <w:p w14:paraId="78AE06E9"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0.193</w:t>
            </w:r>
          </w:p>
        </w:tc>
        <w:tc>
          <w:tcPr>
            <w:tcW w:w="720" w:type="dxa"/>
            <w:tcBorders>
              <w:top w:val="nil"/>
              <w:left w:val="nil"/>
              <w:bottom w:val="nil"/>
              <w:right w:val="single" w:sz="4" w:space="0" w:color="auto"/>
            </w:tcBorders>
            <w:shd w:val="clear" w:color="auto" w:fill="auto"/>
            <w:noWrap/>
            <w:vAlign w:val="bottom"/>
            <w:hideMark/>
          </w:tcPr>
          <w:p w14:paraId="474C0A29" w14:textId="08047CAF" w:rsidR="00595166" w:rsidRPr="00A2694A" w:rsidRDefault="004E5959" w:rsidP="005A41EC">
            <w:pPr>
              <w:spacing w:line="240" w:lineRule="auto"/>
              <w:jc w:val="center"/>
              <w:rPr>
                <w:rFonts w:cstheme="minorHAnsi"/>
                <w:color w:val="000000"/>
                <w:sz w:val="12"/>
                <w:szCs w:val="12"/>
                <w:lang w:bidi="ar-SA"/>
              </w:rPr>
            </w:pPr>
            <w:r>
              <w:rPr>
                <w:rFonts w:cstheme="minorHAnsi"/>
                <w:color w:val="000000"/>
                <w:sz w:val="12"/>
                <w:szCs w:val="12"/>
                <w:lang w:bidi="ar-SA"/>
              </w:rPr>
              <w:t>NA</w:t>
            </w:r>
          </w:p>
        </w:tc>
        <w:tc>
          <w:tcPr>
            <w:tcW w:w="630" w:type="dxa"/>
            <w:tcBorders>
              <w:top w:val="nil"/>
              <w:left w:val="nil"/>
              <w:bottom w:val="nil"/>
              <w:right w:val="nil"/>
            </w:tcBorders>
            <w:shd w:val="clear" w:color="auto" w:fill="auto"/>
            <w:noWrap/>
            <w:vAlign w:val="bottom"/>
            <w:hideMark/>
          </w:tcPr>
          <w:p w14:paraId="4B2EA7E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34.5</w:t>
            </w:r>
          </w:p>
        </w:tc>
        <w:tc>
          <w:tcPr>
            <w:tcW w:w="630" w:type="dxa"/>
            <w:tcBorders>
              <w:top w:val="nil"/>
              <w:left w:val="nil"/>
              <w:bottom w:val="nil"/>
              <w:right w:val="nil"/>
            </w:tcBorders>
            <w:shd w:val="clear" w:color="auto" w:fill="auto"/>
            <w:noWrap/>
            <w:vAlign w:val="bottom"/>
            <w:hideMark/>
          </w:tcPr>
          <w:p w14:paraId="57ED118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2777.68</w:t>
            </w:r>
          </w:p>
        </w:tc>
        <w:tc>
          <w:tcPr>
            <w:tcW w:w="630" w:type="dxa"/>
            <w:tcBorders>
              <w:top w:val="nil"/>
              <w:left w:val="nil"/>
              <w:bottom w:val="nil"/>
              <w:right w:val="nil"/>
            </w:tcBorders>
            <w:shd w:val="clear" w:color="auto" w:fill="auto"/>
            <w:noWrap/>
            <w:vAlign w:val="bottom"/>
            <w:hideMark/>
          </w:tcPr>
          <w:p w14:paraId="3CC741F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92389</w:t>
            </w:r>
          </w:p>
        </w:tc>
        <w:tc>
          <w:tcPr>
            <w:tcW w:w="630" w:type="dxa"/>
            <w:tcBorders>
              <w:top w:val="nil"/>
              <w:left w:val="single" w:sz="4" w:space="0" w:color="auto"/>
              <w:bottom w:val="nil"/>
              <w:right w:val="nil"/>
            </w:tcBorders>
            <w:shd w:val="clear" w:color="auto" w:fill="auto"/>
            <w:noWrap/>
            <w:vAlign w:val="bottom"/>
            <w:hideMark/>
          </w:tcPr>
          <w:p w14:paraId="433B52BD"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0.198</w:t>
            </w:r>
          </w:p>
        </w:tc>
        <w:tc>
          <w:tcPr>
            <w:tcW w:w="720" w:type="dxa"/>
            <w:tcBorders>
              <w:top w:val="nil"/>
              <w:left w:val="nil"/>
              <w:bottom w:val="nil"/>
              <w:right w:val="nil"/>
            </w:tcBorders>
            <w:shd w:val="clear" w:color="auto" w:fill="auto"/>
            <w:noWrap/>
            <w:vAlign w:val="bottom"/>
            <w:hideMark/>
          </w:tcPr>
          <w:p w14:paraId="55E1EF9B"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0.155</w:t>
            </w:r>
          </w:p>
        </w:tc>
        <w:tc>
          <w:tcPr>
            <w:tcW w:w="720" w:type="dxa"/>
            <w:tcBorders>
              <w:top w:val="nil"/>
              <w:left w:val="nil"/>
              <w:bottom w:val="nil"/>
              <w:right w:val="nil"/>
            </w:tcBorders>
            <w:shd w:val="clear" w:color="auto" w:fill="auto"/>
            <w:noWrap/>
            <w:vAlign w:val="bottom"/>
            <w:hideMark/>
          </w:tcPr>
          <w:p w14:paraId="57B1EA12" w14:textId="7ABF0687" w:rsidR="00595166" w:rsidRPr="00A2694A" w:rsidRDefault="004E5959" w:rsidP="005A41EC">
            <w:pPr>
              <w:spacing w:line="240" w:lineRule="auto"/>
              <w:jc w:val="center"/>
              <w:rPr>
                <w:rFonts w:cstheme="minorHAnsi"/>
                <w:color w:val="000000"/>
                <w:sz w:val="12"/>
                <w:szCs w:val="12"/>
                <w:lang w:bidi="ar-SA"/>
              </w:rPr>
            </w:pPr>
            <w:r>
              <w:rPr>
                <w:rFonts w:cstheme="minorHAnsi"/>
                <w:color w:val="000000"/>
                <w:sz w:val="12"/>
                <w:szCs w:val="12"/>
                <w:lang w:bidi="ar-SA"/>
              </w:rPr>
              <w:t>NA</w:t>
            </w:r>
          </w:p>
        </w:tc>
      </w:tr>
      <w:tr w:rsidR="00595166" w:rsidRPr="00A2694A" w14:paraId="7ABAC918" w14:textId="77777777" w:rsidTr="00505D6B">
        <w:trPr>
          <w:trHeight w:val="290"/>
        </w:trPr>
        <w:tc>
          <w:tcPr>
            <w:tcW w:w="737" w:type="dxa"/>
            <w:vMerge/>
            <w:tcBorders>
              <w:top w:val="nil"/>
              <w:left w:val="nil"/>
              <w:bottom w:val="single" w:sz="4" w:space="0" w:color="000000"/>
              <w:right w:val="nil"/>
            </w:tcBorders>
            <w:vAlign w:val="center"/>
            <w:hideMark/>
          </w:tcPr>
          <w:p w14:paraId="083E3973" w14:textId="77777777" w:rsidR="00595166" w:rsidRPr="00A2694A" w:rsidRDefault="00595166" w:rsidP="005A41EC">
            <w:pPr>
              <w:spacing w:line="240" w:lineRule="auto"/>
              <w:jc w:val="center"/>
              <w:rPr>
                <w:rFonts w:cstheme="minorHAnsi"/>
                <w:color w:val="000000"/>
                <w:sz w:val="12"/>
                <w:szCs w:val="12"/>
                <w:lang w:bidi="ar-SA"/>
              </w:rPr>
            </w:pPr>
          </w:p>
        </w:tc>
        <w:tc>
          <w:tcPr>
            <w:tcW w:w="623" w:type="dxa"/>
            <w:tcBorders>
              <w:top w:val="nil"/>
              <w:left w:val="nil"/>
              <w:bottom w:val="single" w:sz="4" w:space="0" w:color="auto"/>
              <w:right w:val="nil"/>
            </w:tcBorders>
            <w:shd w:val="clear" w:color="auto" w:fill="auto"/>
            <w:noWrap/>
            <w:vAlign w:val="bottom"/>
            <w:hideMark/>
          </w:tcPr>
          <w:p w14:paraId="562EA74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Large</w:t>
            </w:r>
          </w:p>
        </w:tc>
        <w:tc>
          <w:tcPr>
            <w:tcW w:w="721" w:type="dxa"/>
            <w:tcBorders>
              <w:top w:val="nil"/>
              <w:left w:val="single" w:sz="4" w:space="0" w:color="auto"/>
              <w:bottom w:val="single" w:sz="4" w:space="0" w:color="auto"/>
              <w:right w:val="nil"/>
            </w:tcBorders>
            <w:shd w:val="clear" w:color="auto" w:fill="auto"/>
            <w:noWrap/>
            <w:vAlign w:val="bottom"/>
            <w:hideMark/>
          </w:tcPr>
          <w:p w14:paraId="56D31E1C"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37.2</w:t>
            </w:r>
          </w:p>
        </w:tc>
        <w:tc>
          <w:tcPr>
            <w:tcW w:w="622" w:type="dxa"/>
            <w:tcBorders>
              <w:top w:val="nil"/>
              <w:left w:val="nil"/>
              <w:bottom w:val="single" w:sz="4" w:space="0" w:color="auto"/>
              <w:right w:val="nil"/>
            </w:tcBorders>
            <w:shd w:val="clear" w:color="auto" w:fill="auto"/>
            <w:noWrap/>
            <w:vAlign w:val="bottom"/>
            <w:hideMark/>
          </w:tcPr>
          <w:p w14:paraId="7C370C88"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3266.60</w:t>
            </w:r>
          </w:p>
        </w:tc>
        <w:tc>
          <w:tcPr>
            <w:tcW w:w="535" w:type="dxa"/>
            <w:tcBorders>
              <w:top w:val="nil"/>
              <w:left w:val="nil"/>
              <w:bottom w:val="single" w:sz="4" w:space="0" w:color="auto"/>
              <w:right w:val="nil"/>
            </w:tcBorders>
            <w:shd w:val="clear" w:color="auto" w:fill="auto"/>
            <w:noWrap/>
            <w:vAlign w:val="bottom"/>
            <w:hideMark/>
          </w:tcPr>
          <w:p w14:paraId="66E8C0F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87416</w:t>
            </w:r>
          </w:p>
        </w:tc>
        <w:tc>
          <w:tcPr>
            <w:tcW w:w="546" w:type="dxa"/>
            <w:tcBorders>
              <w:top w:val="nil"/>
              <w:left w:val="single" w:sz="4" w:space="0" w:color="auto"/>
              <w:bottom w:val="single" w:sz="4" w:space="0" w:color="auto"/>
              <w:right w:val="nil"/>
            </w:tcBorders>
            <w:shd w:val="clear" w:color="auto" w:fill="auto"/>
            <w:noWrap/>
            <w:vAlign w:val="bottom"/>
            <w:hideMark/>
          </w:tcPr>
          <w:p w14:paraId="0A403587"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0.142</w:t>
            </w:r>
          </w:p>
        </w:tc>
        <w:tc>
          <w:tcPr>
            <w:tcW w:w="716" w:type="dxa"/>
            <w:tcBorders>
              <w:top w:val="nil"/>
              <w:left w:val="nil"/>
              <w:bottom w:val="single" w:sz="4" w:space="0" w:color="auto"/>
              <w:right w:val="nil"/>
            </w:tcBorders>
            <w:shd w:val="clear" w:color="auto" w:fill="auto"/>
            <w:noWrap/>
            <w:vAlign w:val="bottom"/>
            <w:hideMark/>
          </w:tcPr>
          <w:p w14:paraId="5C52357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0.194</w:t>
            </w:r>
          </w:p>
        </w:tc>
        <w:tc>
          <w:tcPr>
            <w:tcW w:w="720" w:type="dxa"/>
            <w:tcBorders>
              <w:top w:val="nil"/>
              <w:left w:val="nil"/>
              <w:bottom w:val="single" w:sz="4" w:space="0" w:color="auto"/>
              <w:right w:val="single" w:sz="4" w:space="0" w:color="auto"/>
            </w:tcBorders>
            <w:shd w:val="clear" w:color="auto" w:fill="auto"/>
            <w:noWrap/>
            <w:vAlign w:val="bottom"/>
            <w:hideMark/>
          </w:tcPr>
          <w:p w14:paraId="58D8E8C5"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92.79</w:t>
            </w:r>
          </w:p>
        </w:tc>
        <w:tc>
          <w:tcPr>
            <w:tcW w:w="630" w:type="dxa"/>
            <w:tcBorders>
              <w:top w:val="nil"/>
              <w:left w:val="nil"/>
              <w:bottom w:val="single" w:sz="4" w:space="0" w:color="auto"/>
              <w:right w:val="nil"/>
            </w:tcBorders>
            <w:shd w:val="clear" w:color="auto" w:fill="auto"/>
            <w:noWrap/>
            <w:vAlign w:val="bottom"/>
            <w:hideMark/>
          </w:tcPr>
          <w:p w14:paraId="1466BAAA"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34.8</w:t>
            </w:r>
          </w:p>
        </w:tc>
        <w:tc>
          <w:tcPr>
            <w:tcW w:w="630" w:type="dxa"/>
            <w:tcBorders>
              <w:top w:val="nil"/>
              <w:left w:val="nil"/>
              <w:bottom w:val="single" w:sz="4" w:space="0" w:color="auto"/>
              <w:right w:val="nil"/>
            </w:tcBorders>
            <w:shd w:val="clear" w:color="auto" w:fill="auto"/>
            <w:noWrap/>
            <w:vAlign w:val="bottom"/>
            <w:hideMark/>
          </w:tcPr>
          <w:p w14:paraId="4413D137"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3045.53</w:t>
            </w:r>
          </w:p>
        </w:tc>
        <w:tc>
          <w:tcPr>
            <w:tcW w:w="630" w:type="dxa"/>
            <w:tcBorders>
              <w:top w:val="nil"/>
              <w:left w:val="nil"/>
              <w:bottom w:val="single" w:sz="4" w:space="0" w:color="auto"/>
              <w:right w:val="nil"/>
            </w:tcBorders>
            <w:shd w:val="clear" w:color="auto" w:fill="auto"/>
            <w:noWrap/>
            <w:vAlign w:val="bottom"/>
            <w:hideMark/>
          </w:tcPr>
          <w:p w14:paraId="474E136E"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107009</w:t>
            </w:r>
          </w:p>
        </w:tc>
        <w:tc>
          <w:tcPr>
            <w:tcW w:w="630" w:type="dxa"/>
            <w:tcBorders>
              <w:top w:val="nil"/>
              <w:left w:val="single" w:sz="4" w:space="0" w:color="auto"/>
              <w:bottom w:val="single" w:sz="4" w:space="0" w:color="auto"/>
              <w:right w:val="nil"/>
            </w:tcBorders>
            <w:shd w:val="clear" w:color="auto" w:fill="auto"/>
            <w:noWrap/>
            <w:vAlign w:val="bottom"/>
            <w:hideMark/>
          </w:tcPr>
          <w:p w14:paraId="194C44BF"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0.173</w:t>
            </w:r>
          </w:p>
        </w:tc>
        <w:tc>
          <w:tcPr>
            <w:tcW w:w="720" w:type="dxa"/>
            <w:tcBorders>
              <w:top w:val="nil"/>
              <w:left w:val="nil"/>
              <w:bottom w:val="single" w:sz="4" w:space="0" w:color="auto"/>
              <w:right w:val="nil"/>
            </w:tcBorders>
            <w:shd w:val="clear" w:color="auto" w:fill="auto"/>
            <w:noWrap/>
            <w:vAlign w:val="bottom"/>
            <w:hideMark/>
          </w:tcPr>
          <w:p w14:paraId="1DF60870"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0.155</w:t>
            </w:r>
          </w:p>
        </w:tc>
        <w:tc>
          <w:tcPr>
            <w:tcW w:w="720" w:type="dxa"/>
            <w:tcBorders>
              <w:top w:val="nil"/>
              <w:left w:val="nil"/>
              <w:bottom w:val="single" w:sz="4" w:space="0" w:color="auto"/>
              <w:right w:val="nil"/>
            </w:tcBorders>
            <w:shd w:val="clear" w:color="auto" w:fill="auto"/>
            <w:noWrap/>
            <w:vAlign w:val="bottom"/>
            <w:hideMark/>
          </w:tcPr>
          <w:p w14:paraId="02AE7B3F" w14:textId="77777777" w:rsidR="00595166" w:rsidRPr="00A2694A" w:rsidRDefault="00595166" w:rsidP="005A41EC">
            <w:pPr>
              <w:spacing w:line="240" w:lineRule="auto"/>
              <w:jc w:val="center"/>
              <w:rPr>
                <w:rFonts w:cstheme="minorHAnsi"/>
                <w:color w:val="000000"/>
                <w:sz w:val="12"/>
                <w:szCs w:val="12"/>
                <w:lang w:bidi="ar-SA"/>
              </w:rPr>
            </w:pPr>
            <w:r w:rsidRPr="00A2694A">
              <w:rPr>
                <w:rFonts w:cstheme="minorHAnsi"/>
                <w:color w:val="000000"/>
                <w:sz w:val="12"/>
                <w:szCs w:val="12"/>
                <w:lang w:bidi="ar-SA"/>
              </w:rPr>
              <w:t>86.87</w:t>
            </w:r>
          </w:p>
        </w:tc>
      </w:tr>
    </w:tbl>
    <w:p w14:paraId="73E5C472" w14:textId="1AE6A37E" w:rsidR="00595166" w:rsidRDefault="00595166" w:rsidP="00505D6B">
      <w:pPr>
        <w:spacing w:after="160" w:line="240" w:lineRule="auto"/>
        <w:rPr>
          <w:rFonts w:ascii="Times New Roman" w:eastAsia="Aptos" w:hAnsi="Times New Roman"/>
          <w:bCs/>
          <w:lang w:bidi="ar-SA"/>
          <w14:ligatures w14:val="standardContextual"/>
        </w:rPr>
      </w:pPr>
      <w:r>
        <w:rPr>
          <w:rFonts w:ascii="Times New Roman" w:eastAsia="Aptos" w:hAnsi="Times New Roman"/>
          <w:bCs/>
          <w:lang w:bidi="ar-SA"/>
          <w14:ligatures w14:val="standardContextual"/>
        </w:rPr>
        <w:t xml:space="preserve">Note: </w:t>
      </w:r>
      <w:r w:rsidR="000F7C1F">
        <w:rPr>
          <w:rFonts w:ascii="Times New Roman" w:eastAsia="Aptos" w:hAnsi="Times New Roman"/>
          <w:bCs/>
          <w:lang w:bidi="ar-SA"/>
          <w14:ligatures w14:val="standardContextual"/>
        </w:rPr>
        <w:t xml:space="preserve">NA is </w:t>
      </w:r>
      <w:r w:rsidR="00041F99">
        <w:rPr>
          <w:rFonts w:ascii="Times New Roman" w:eastAsia="Aptos" w:hAnsi="Times New Roman"/>
          <w:bCs/>
          <w:lang w:bidi="ar-SA"/>
          <w14:ligatures w14:val="standardContextual"/>
        </w:rPr>
        <w:t>no data</w:t>
      </w:r>
      <w:r w:rsidR="000F7C1F">
        <w:rPr>
          <w:rFonts w:ascii="Times New Roman" w:eastAsia="Aptos" w:hAnsi="Times New Roman"/>
          <w:bCs/>
          <w:lang w:bidi="ar-SA"/>
          <w14:ligatures w14:val="standardContextual"/>
        </w:rPr>
        <w:t xml:space="preserve">. </w:t>
      </w:r>
      <w:r>
        <w:rPr>
          <w:rFonts w:ascii="Times New Roman" w:eastAsia="Aptos" w:hAnsi="Times New Roman"/>
          <w:bCs/>
          <w:lang w:bidi="ar-SA"/>
          <w14:ligatures w14:val="standardContextual"/>
        </w:rPr>
        <w:t>The quantity metrics consist of the percentage of landscape (PLAND), total class area (CA), and number of developed patches (NP). The pattern metrics comprise the normalized landscape shape index (NLSI), contiguous index (CONTIG), and the mean Euclidean Nearest Neighbor (ENN_MN).</w:t>
      </w:r>
    </w:p>
    <w:p w14:paraId="2B8A4E2C" w14:textId="77777777" w:rsidR="00595166" w:rsidRPr="00103457" w:rsidRDefault="00595166" w:rsidP="00595166">
      <w:pPr>
        <w:jc w:val="both"/>
        <w:rPr>
          <w:rFonts w:ascii="Times New Roman" w:eastAsia="Aptos" w:hAnsi="Times New Roman"/>
          <w:bCs/>
          <w:lang w:bidi="ar-SA"/>
          <w14:ligatures w14:val="standardContextual"/>
        </w:rPr>
      </w:pPr>
    </w:p>
    <w:p w14:paraId="558A6728" w14:textId="71AA57CA" w:rsidR="00F07CED" w:rsidRDefault="00F07CED" w:rsidP="000D1E60">
      <w:pPr>
        <w:keepNext/>
        <w:spacing w:after="160" w:line="360" w:lineRule="auto"/>
        <w:jc w:val="both"/>
      </w:pPr>
      <w:r>
        <w:rPr>
          <w:noProof/>
          <w:lang w:bidi="ar-SA"/>
        </w:rPr>
        <w:lastRenderedPageBreak/>
        <w:drawing>
          <wp:inline distT="0" distB="0" distL="0" distR="0" wp14:anchorId="2EF6C516" wp14:editId="05604844">
            <wp:extent cx="5843765" cy="6376946"/>
            <wp:effectExtent l="0" t="0" r="5080" b="5080"/>
            <wp:docPr id="3495526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52683" name="Picture 34955268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48583" cy="6382204"/>
                    </a:xfrm>
                    <a:prstGeom prst="rect">
                      <a:avLst/>
                    </a:prstGeom>
                  </pic:spPr>
                </pic:pic>
              </a:graphicData>
            </a:graphic>
          </wp:inline>
        </w:drawing>
      </w:r>
    </w:p>
    <w:p w14:paraId="3B73090D" w14:textId="1A349D72" w:rsidR="0017686A" w:rsidRPr="00334850" w:rsidRDefault="0017686A" w:rsidP="00505D6B">
      <w:pPr>
        <w:spacing w:line="240" w:lineRule="auto"/>
      </w:pPr>
      <w:bookmarkStart w:id="156" w:name="_Ref171971896"/>
      <w:bookmarkStart w:id="157" w:name="_Toc172233514"/>
      <w:bookmarkStart w:id="158" w:name="_Ref169282864"/>
      <w:r w:rsidRPr="00995088">
        <w:rPr>
          <w:b/>
          <w:bCs/>
        </w:rPr>
        <w:t xml:space="preserve">Figure </w:t>
      </w:r>
      <w:r w:rsidRPr="00995088">
        <w:rPr>
          <w:b/>
          <w:bCs/>
        </w:rPr>
        <w:fldChar w:fldCharType="begin"/>
      </w:r>
      <w:r w:rsidRPr="00995088">
        <w:rPr>
          <w:b/>
          <w:bCs/>
        </w:rPr>
        <w:instrText xml:space="preserve"> SEQ Figure \* ARABIC </w:instrText>
      </w:r>
      <w:r w:rsidRPr="00995088">
        <w:rPr>
          <w:b/>
          <w:bCs/>
        </w:rPr>
        <w:fldChar w:fldCharType="separate"/>
      </w:r>
      <w:r w:rsidR="00B129D9">
        <w:rPr>
          <w:b/>
          <w:bCs/>
          <w:noProof/>
        </w:rPr>
        <w:t>17</w:t>
      </w:r>
      <w:r w:rsidRPr="00995088">
        <w:rPr>
          <w:b/>
          <w:bCs/>
        </w:rPr>
        <w:fldChar w:fldCharType="end"/>
      </w:r>
      <w:bookmarkEnd w:id="156"/>
      <w:r w:rsidRPr="00334850">
        <w:t>: Three-map comparison of the initial development in 2015, reference map for 2020, and simulated map for 2020. Correct rejections are undeveloped cells across all three maps, and persistence of developed are developed cells across all three maps. Misses are reference changes simulated as developed in 2015, and hits are reference changes simulated as change, false alarms are reference persistence simulated as change.</w:t>
      </w:r>
      <w:bookmarkEnd w:id="157"/>
    </w:p>
    <w:p w14:paraId="6E401E05" w14:textId="3ECB2504" w:rsidR="00020149" w:rsidRDefault="00020149" w:rsidP="00F24BAF">
      <w:pPr>
        <w:spacing w:line="240" w:lineRule="auto"/>
        <w:rPr>
          <w:b/>
          <w:bCs/>
        </w:rPr>
      </w:pPr>
      <w:bookmarkStart w:id="159" w:name="_Ref169282675"/>
      <w:bookmarkEnd w:id="158"/>
      <w:r>
        <w:rPr>
          <w:b/>
          <w:bCs/>
          <w:noProof/>
          <w:lang w:bidi="ar-SA"/>
        </w:rPr>
        <w:lastRenderedPageBreak/>
        <w:drawing>
          <wp:inline distT="0" distB="0" distL="0" distR="0" wp14:anchorId="1257CD24" wp14:editId="0AD57C39">
            <wp:extent cx="5759196" cy="4319016"/>
            <wp:effectExtent l="0" t="0" r="0" b="5715"/>
            <wp:docPr id="901206423" name="Picture 52"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06423" name="Picture 52" descr="A graph of different colored lines&#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196" cy="4319016"/>
                    </a:xfrm>
                    <a:prstGeom prst="rect">
                      <a:avLst/>
                    </a:prstGeom>
                  </pic:spPr>
                </pic:pic>
              </a:graphicData>
            </a:graphic>
          </wp:inline>
        </w:drawing>
      </w:r>
    </w:p>
    <w:p w14:paraId="78CEEC10" w14:textId="0D0919B8" w:rsidR="00F64774" w:rsidRPr="008F04BF" w:rsidRDefault="00F64774" w:rsidP="00F64774">
      <w:pPr>
        <w:spacing w:line="240" w:lineRule="auto"/>
      </w:pPr>
      <w:bookmarkStart w:id="160" w:name="_Ref171971881"/>
      <w:bookmarkStart w:id="161" w:name="_Toc172233515"/>
      <w:r w:rsidRPr="0032502E">
        <w:rPr>
          <w:b/>
          <w:bCs/>
        </w:rPr>
        <w:t xml:space="preserve">Figure </w:t>
      </w:r>
      <w:r w:rsidRPr="0032502E">
        <w:rPr>
          <w:b/>
          <w:bCs/>
        </w:rPr>
        <w:fldChar w:fldCharType="begin"/>
      </w:r>
      <w:r w:rsidRPr="0032502E">
        <w:rPr>
          <w:b/>
          <w:bCs/>
        </w:rPr>
        <w:instrText xml:space="preserve"> SEQ Figure \* ARABIC </w:instrText>
      </w:r>
      <w:r w:rsidRPr="0032502E">
        <w:rPr>
          <w:b/>
          <w:bCs/>
        </w:rPr>
        <w:fldChar w:fldCharType="separate"/>
      </w:r>
      <w:r w:rsidR="00B129D9">
        <w:rPr>
          <w:b/>
          <w:bCs/>
          <w:noProof/>
        </w:rPr>
        <w:t>18</w:t>
      </w:r>
      <w:r w:rsidRPr="0032502E">
        <w:rPr>
          <w:b/>
          <w:bCs/>
        </w:rPr>
        <w:fldChar w:fldCharType="end"/>
      </w:r>
      <w:bookmarkEnd w:id="160"/>
      <w:r w:rsidRPr="008F04BF">
        <w:t>: Proportion of total simulated area occupied by various components in the figure of merit (FoM). In Benin, the FoM in large and medium cities was 0.05; in small cities, it was 0.04. In Ghana, FoM in large cities was 0.06; in medium and small cities, it was 0.04. In Nigeria, the FoM in large cities was 0.15; in medium cities, it was 0.16; and in small cities, it was 0.10. In Togo, the FoM in large cities was 0.12; in medium cities, it was 0.05; and in small cities, it was 0.04.</w:t>
      </w:r>
      <w:bookmarkEnd w:id="161"/>
    </w:p>
    <w:p w14:paraId="5EF1AEE2" w14:textId="77777777" w:rsidR="00F64774" w:rsidRDefault="00F64774" w:rsidP="00F24BAF">
      <w:pPr>
        <w:spacing w:line="240" w:lineRule="auto"/>
        <w:rPr>
          <w:b/>
          <w:bCs/>
        </w:rPr>
      </w:pPr>
    </w:p>
    <w:p w14:paraId="4FDC0AF3" w14:textId="77777777" w:rsidR="00103457" w:rsidRPr="00103457" w:rsidRDefault="00103457" w:rsidP="00277F12">
      <w:pPr>
        <w:pStyle w:val="Heading3"/>
      </w:pPr>
      <w:bookmarkStart w:id="162" w:name="_Toc172288757"/>
      <w:bookmarkEnd w:id="159"/>
      <w:r w:rsidRPr="00103457">
        <w:t>Quantities and rates of expansion across administrative boundaries</w:t>
      </w:r>
      <w:bookmarkEnd w:id="162"/>
    </w:p>
    <w:p w14:paraId="129293CE" w14:textId="11B08F95" w:rsidR="001D0904" w:rsidRPr="001D0904" w:rsidRDefault="001D0904" w:rsidP="001D0904">
      <w:pPr>
        <w:ind w:firstLine="360"/>
        <w:rPr>
          <w:rFonts w:ascii="Times New Roman" w:eastAsia="Aptos" w:hAnsi="Times New Roman"/>
          <w:lang w:bidi="ar-SA"/>
          <w14:ligatures w14:val="standardContextual"/>
        </w:rPr>
      </w:pPr>
      <w:r w:rsidRPr="001D0904">
        <w:rPr>
          <w:rFonts w:ascii="Times New Roman" w:eastAsia="Aptos" w:hAnsi="Times New Roman"/>
          <w:lang w:bidi="ar-SA"/>
          <w14:ligatures w14:val="standardContextual"/>
        </w:rPr>
        <w:t xml:space="preserve">Increases in simulated developed area varied across countries in the study area. In Benin, the developed area increased from 788.10 km² in 2020 to 3036.56 km² in 2050. In Ghana, the simulated developed area increased from 2644.20 km² in 2020 to 25361.58 km² in 2050. In Nigeria, the simulated developed area increased from 10828.68 km² in 2020 to 94915.29 km² in 2050, and in Togo, the developed area increased from 681.09 km² in 2020 to 6499.31 km² in 2050 </w:t>
      </w:r>
      <w:r w:rsidR="00995088" w:rsidRPr="4E6AD041">
        <w:rPr>
          <w:rFonts w:ascii="Times New Roman" w:hAnsi="Times New Roman"/>
        </w:rPr>
        <w:t>(</w:t>
      </w:r>
      <w:r w:rsidR="00995088" w:rsidRPr="00995088">
        <w:rPr>
          <w:rFonts w:ascii="Times New Roman" w:hAnsi="Times New Roman"/>
        </w:rPr>
        <w:fldChar w:fldCharType="begin"/>
      </w:r>
      <w:r w:rsidR="00995088" w:rsidRPr="00995088">
        <w:rPr>
          <w:rFonts w:ascii="Times New Roman" w:hAnsi="Times New Roman"/>
        </w:rPr>
        <w:instrText xml:space="preserve"> REF _Ref171972085 \h  \* MERGEFORMAT </w:instrText>
      </w:r>
      <w:r w:rsidR="00995088" w:rsidRPr="00995088">
        <w:rPr>
          <w:rFonts w:ascii="Times New Roman" w:hAnsi="Times New Roman"/>
        </w:rPr>
      </w:r>
      <w:r w:rsidR="00995088" w:rsidRPr="00995088">
        <w:rPr>
          <w:rFonts w:ascii="Times New Roman" w:hAnsi="Times New Roman"/>
        </w:rPr>
        <w:fldChar w:fldCharType="separate"/>
      </w:r>
      <w:r w:rsidR="00B129D9" w:rsidRPr="00B129D9">
        <w:t xml:space="preserve">Table </w:t>
      </w:r>
      <w:r w:rsidR="00B129D9" w:rsidRPr="00B129D9">
        <w:rPr>
          <w:noProof/>
        </w:rPr>
        <w:t>11</w:t>
      </w:r>
      <w:r w:rsidR="00995088" w:rsidRPr="00995088">
        <w:rPr>
          <w:rFonts w:ascii="Times New Roman" w:hAnsi="Times New Roman"/>
        </w:rPr>
        <w:fldChar w:fldCharType="end"/>
      </w:r>
      <w:r w:rsidR="00995088" w:rsidRPr="00995088">
        <w:rPr>
          <w:rFonts w:ascii="Times New Roman" w:hAnsi="Times New Roman"/>
        </w:rPr>
        <w:t>).</w:t>
      </w:r>
      <w:r w:rsidR="00995088" w:rsidRPr="4E6AD041">
        <w:rPr>
          <w:rFonts w:ascii="Times New Roman" w:hAnsi="Times New Roman"/>
        </w:rPr>
        <w:t xml:space="preserve"> </w:t>
      </w:r>
      <w:r w:rsidRPr="001D0904">
        <w:rPr>
          <w:rFonts w:ascii="Times New Roman" w:eastAsia="Aptos" w:hAnsi="Times New Roman"/>
          <w:lang w:bidi="ar-SA"/>
          <w14:ligatures w14:val="standardContextual"/>
        </w:rPr>
        <w:t xml:space="preserve">Thus, the simulated developed area between 2020 and 2050 shows a 9.6 times </w:t>
      </w:r>
      <w:r w:rsidRPr="001D0904">
        <w:rPr>
          <w:rFonts w:ascii="Times New Roman" w:eastAsia="Aptos" w:hAnsi="Times New Roman"/>
          <w:lang w:bidi="ar-SA"/>
          <w14:ligatures w14:val="standardContextual"/>
        </w:rPr>
        <w:lastRenderedPageBreak/>
        <w:t xml:space="preserve">increase in Ghana, a 9.5 times increase in Togo, an 8.7 times increase in Nigeria, and a 3.9 times increase in Benin. </w:t>
      </w:r>
    </w:p>
    <w:p w14:paraId="3C4E8A67" w14:textId="703A22B4" w:rsidR="001D0904" w:rsidRDefault="001D0904" w:rsidP="003549C3">
      <w:pPr>
        <w:ind w:firstLine="360"/>
        <w:rPr>
          <w:rFonts w:ascii="Times New Roman" w:eastAsia="Aptos" w:hAnsi="Times New Roman"/>
          <w:lang w:bidi="ar-SA"/>
          <w14:ligatures w14:val="standardContextual"/>
        </w:rPr>
      </w:pPr>
      <w:r w:rsidRPr="001D0904">
        <w:rPr>
          <w:rFonts w:ascii="Times New Roman" w:eastAsia="Aptos" w:hAnsi="Times New Roman"/>
          <w:lang w:bidi="ar-SA"/>
          <w14:ligatures w14:val="standardContextual"/>
        </w:rPr>
        <w:t xml:space="preserve">The annual expansion rate varies in each country, with most simulated annual increases occurring in the period 2030 – 2040, except in Benin, where most of the increases were in 2040 – 2050 </w:t>
      </w:r>
      <w:r w:rsidR="00995088" w:rsidRPr="4E6AD041">
        <w:rPr>
          <w:rFonts w:ascii="Times New Roman" w:hAnsi="Times New Roman"/>
        </w:rPr>
        <w:t>(</w:t>
      </w:r>
      <w:r w:rsidR="00995088" w:rsidRPr="00995088">
        <w:rPr>
          <w:rFonts w:ascii="Times New Roman" w:hAnsi="Times New Roman"/>
        </w:rPr>
        <w:fldChar w:fldCharType="begin"/>
      </w:r>
      <w:r w:rsidR="00995088" w:rsidRPr="00995088">
        <w:rPr>
          <w:rFonts w:ascii="Times New Roman" w:hAnsi="Times New Roman"/>
        </w:rPr>
        <w:instrText xml:space="preserve"> REF _Ref171972085 \h  \* MERGEFORMAT </w:instrText>
      </w:r>
      <w:r w:rsidR="00995088" w:rsidRPr="00995088">
        <w:rPr>
          <w:rFonts w:ascii="Times New Roman" w:hAnsi="Times New Roman"/>
        </w:rPr>
      </w:r>
      <w:r w:rsidR="00995088" w:rsidRPr="00995088">
        <w:rPr>
          <w:rFonts w:ascii="Times New Roman" w:hAnsi="Times New Roman"/>
        </w:rPr>
        <w:fldChar w:fldCharType="separate"/>
      </w:r>
      <w:r w:rsidR="00B129D9" w:rsidRPr="00B129D9">
        <w:t xml:space="preserve">Table </w:t>
      </w:r>
      <w:r w:rsidR="00B129D9" w:rsidRPr="00B129D9">
        <w:rPr>
          <w:noProof/>
        </w:rPr>
        <w:t>11</w:t>
      </w:r>
      <w:r w:rsidR="00995088" w:rsidRPr="00995088">
        <w:rPr>
          <w:rFonts w:ascii="Times New Roman" w:hAnsi="Times New Roman"/>
        </w:rPr>
        <w:fldChar w:fldCharType="end"/>
      </w:r>
      <w:r w:rsidR="00995088" w:rsidRPr="00995088">
        <w:rPr>
          <w:rFonts w:ascii="Times New Roman" w:hAnsi="Times New Roman"/>
        </w:rPr>
        <w:t>).</w:t>
      </w:r>
      <w:r w:rsidR="00995088" w:rsidRPr="4E6AD041">
        <w:rPr>
          <w:rFonts w:ascii="Times New Roman" w:hAnsi="Times New Roman"/>
        </w:rPr>
        <w:t xml:space="preserve"> </w:t>
      </w:r>
      <w:r w:rsidRPr="001D0904">
        <w:rPr>
          <w:rFonts w:ascii="Times New Roman" w:eastAsia="Aptos" w:hAnsi="Times New Roman"/>
          <w:lang w:bidi="ar-SA"/>
          <w14:ligatures w14:val="standardContextual"/>
        </w:rPr>
        <w:t xml:space="preserve">Also, the simulated distribution of annual expansion rate hotspots was uneven and varied across different time </w:t>
      </w:r>
      <w:r w:rsidRPr="00E40081">
        <w:rPr>
          <w:rFonts w:ascii="Times New Roman" w:eastAsia="Aptos" w:hAnsi="Times New Roman"/>
          <w:lang w:bidi="ar-SA"/>
          <w14:ligatures w14:val="standardContextual"/>
        </w:rPr>
        <w:t xml:space="preserve">intervals </w:t>
      </w:r>
      <w:r w:rsidR="00E40081" w:rsidRPr="00E40081">
        <w:rPr>
          <w:rFonts w:ascii="Times New Roman" w:hAnsi="Times New Roman"/>
        </w:rPr>
        <w:t>(</w:t>
      </w:r>
      <w:r w:rsidR="00E40081" w:rsidRPr="00E40081">
        <w:rPr>
          <w:rFonts w:ascii="Times New Roman" w:hAnsi="Times New Roman"/>
        </w:rPr>
        <w:fldChar w:fldCharType="begin"/>
      </w:r>
      <w:r w:rsidR="00E40081" w:rsidRPr="00E40081">
        <w:rPr>
          <w:rFonts w:ascii="Times New Roman" w:hAnsi="Times New Roman"/>
        </w:rPr>
        <w:instrText xml:space="preserve"> REF _Ref171971937 \h  \* MERGEFORMAT </w:instrText>
      </w:r>
      <w:r w:rsidR="00E40081" w:rsidRPr="00E40081">
        <w:rPr>
          <w:rFonts w:ascii="Times New Roman" w:hAnsi="Times New Roman"/>
        </w:rPr>
      </w:r>
      <w:r w:rsidR="00E40081" w:rsidRPr="00E40081">
        <w:rPr>
          <w:rFonts w:ascii="Times New Roman" w:hAnsi="Times New Roman"/>
        </w:rPr>
        <w:fldChar w:fldCharType="separate"/>
      </w:r>
      <w:r w:rsidR="00B129D9" w:rsidRPr="00B129D9">
        <w:t xml:space="preserve">Figure </w:t>
      </w:r>
      <w:r w:rsidR="00B129D9" w:rsidRPr="00B129D9">
        <w:rPr>
          <w:noProof/>
        </w:rPr>
        <w:t>19</w:t>
      </w:r>
      <w:r w:rsidR="00E40081" w:rsidRPr="00E40081">
        <w:rPr>
          <w:rFonts w:ascii="Times New Roman" w:hAnsi="Times New Roman"/>
        </w:rPr>
        <w:fldChar w:fldCharType="end"/>
      </w:r>
      <w:r w:rsidR="00E40081" w:rsidRPr="00E40081">
        <w:rPr>
          <w:rFonts w:ascii="Times New Roman" w:hAnsi="Times New Roman"/>
        </w:rPr>
        <w:t>)</w:t>
      </w:r>
      <w:r w:rsidRPr="00E40081">
        <w:rPr>
          <w:rFonts w:ascii="Times New Roman" w:eastAsia="Aptos" w:hAnsi="Times New Roman"/>
          <w:lang w:bidi="ar-SA"/>
          <w14:ligatures w14:val="standardContextual"/>
        </w:rPr>
        <w:t>.</w:t>
      </w:r>
      <w:r w:rsidRPr="001D0904">
        <w:rPr>
          <w:rFonts w:ascii="Times New Roman" w:eastAsia="Aptos" w:hAnsi="Times New Roman"/>
          <w:lang w:bidi="ar-SA"/>
          <w14:ligatures w14:val="standardContextual"/>
        </w:rPr>
        <w:t xml:space="preserve"> From 2020-2030, higher annual expansion rates were highest in the southern part of Ghana, the southern and northern parts of Togo and Nigeria, and the central part of Benin. From 2030 – 2040, most of the highest growth was distributed across the entire country, with the lowest expansion rates mostly occurring in the southern parts of each country. Likewise, from 2040 -2050, most of the lowest annual expansion rates were in the southern parts of each country and central parts of Nigeria.</w:t>
      </w:r>
    </w:p>
    <w:p w14:paraId="48218C6A" w14:textId="19E6EAEE" w:rsidR="003A3065" w:rsidRDefault="00B430A8" w:rsidP="00D305A0">
      <w:pPr>
        <w:spacing w:line="240" w:lineRule="auto"/>
      </w:pPr>
      <w:bookmarkStart w:id="163" w:name="_Ref171972085"/>
      <w:bookmarkStart w:id="164" w:name="_Ref169282431"/>
      <w:bookmarkStart w:id="165" w:name="_Toc172233727"/>
      <w:r w:rsidRPr="0032502E">
        <w:rPr>
          <w:b/>
          <w:bCs/>
        </w:rPr>
        <w:t xml:space="preserve">Table </w:t>
      </w:r>
      <w:r w:rsidRPr="0032502E">
        <w:rPr>
          <w:b/>
          <w:bCs/>
        </w:rPr>
        <w:fldChar w:fldCharType="begin"/>
      </w:r>
      <w:r w:rsidRPr="0032502E">
        <w:rPr>
          <w:b/>
          <w:bCs/>
        </w:rPr>
        <w:instrText xml:space="preserve"> SEQ Table \* ARABIC </w:instrText>
      </w:r>
      <w:r w:rsidRPr="0032502E">
        <w:rPr>
          <w:b/>
          <w:bCs/>
        </w:rPr>
        <w:fldChar w:fldCharType="separate"/>
      </w:r>
      <w:r w:rsidR="00B129D9">
        <w:rPr>
          <w:b/>
          <w:bCs/>
          <w:noProof/>
        </w:rPr>
        <w:t>11</w:t>
      </w:r>
      <w:r w:rsidRPr="0032502E">
        <w:rPr>
          <w:b/>
          <w:bCs/>
        </w:rPr>
        <w:fldChar w:fldCharType="end"/>
      </w:r>
      <w:bookmarkEnd w:id="163"/>
      <w:r w:rsidRPr="00A931D7">
        <w:t>: Developed area and annual expansion rates across three-time intervals.</w:t>
      </w:r>
      <w:bookmarkEnd w:id="164"/>
      <w:bookmarkEnd w:id="165"/>
    </w:p>
    <w:p w14:paraId="749AD175" w14:textId="77777777" w:rsidR="00575593" w:rsidRPr="003A3065" w:rsidRDefault="00575593" w:rsidP="00D305A0">
      <w:pPr>
        <w:spacing w:line="240" w:lineRule="auto"/>
      </w:pPr>
    </w:p>
    <w:tbl>
      <w:tblPr>
        <w:tblW w:w="9243" w:type="dxa"/>
        <w:tblLook w:val="04A0" w:firstRow="1" w:lastRow="0" w:firstColumn="1" w:lastColumn="0" w:noHBand="0" w:noVBand="1"/>
      </w:tblPr>
      <w:tblGrid>
        <w:gridCol w:w="1003"/>
        <w:gridCol w:w="1116"/>
        <w:gridCol w:w="1116"/>
        <w:gridCol w:w="1116"/>
        <w:gridCol w:w="1116"/>
        <w:gridCol w:w="1279"/>
        <w:gridCol w:w="1256"/>
        <w:gridCol w:w="1257"/>
      </w:tblGrid>
      <w:tr w:rsidR="00103457" w:rsidRPr="00103457" w14:paraId="2975A0B7" w14:textId="77777777" w:rsidTr="005A2836">
        <w:trPr>
          <w:trHeight w:val="320"/>
        </w:trPr>
        <w:tc>
          <w:tcPr>
            <w:tcW w:w="1000" w:type="dxa"/>
            <w:vMerge w:val="restart"/>
            <w:tcBorders>
              <w:top w:val="single" w:sz="4" w:space="0" w:color="auto"/>
              <w:left w:val="nil"/>
              <w:bottom w:val="single" w:sz="4" w:space="0" w:color="000000"/>
              <w:right w:val="nil"/>
            </w:tcBorders>
            <w:shd w:val="clear" w:color="auto" w:fill="auto"/>
            <w:noWrap/>
            <w:vAlign w:val="center"/>
            <w:hideMark/>
          </w:tcPr>
          <w:p w14:paraId="58DA3994" w14:textId="77777777" w:rsidR="00103457" w:rsidRPr="00103457" w:rsidRDefault="00103457" w:rsidP="00D305A0">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Country</w:t>
            </w:r>
          </w:p>
        </w:tc>
        <w:tc>
          <w:tcPr>
            <w:tcW w:w="44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6DFB915" w14:textId="77777777" w:rsidR="00103457" w:rsidRPr="00103457" w:rsidRDefault="00103457" w:rsidP="00D305A0">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Developed Area (km²)</w:t>
            </w:r>
          </w:p>
        </w:tc>
        <w:tc>
          <w:tcPr>
            <w:tcW w:w="3792" w:type="dxa"/>
            <w:gridSpan w:val="3"/>
            <w:tcBorders>
              <w:top w:val="single" w:sz="4" w:space="0" w:color="auto"/>
              <w:left w:val="single" w:sz="4" w:space="0" w:color="auto"/>
              <w:bottom w:val="single" w:sz="4" w:space="0" w:color="auto"/>
              <w:right w:val="nil"/>
            </w:tcBorders>
            <w:shd w:val="clear" w:color="auto" w:fill="auto"/>
            <w:noWrap/>
            <w:vAlign w:val="bottom"/>
            <w:hideMark/>
          </w:tcPr>
          <w:p w14:paraId="0FCC3E10" w14:textId="77777777" w:rsidR="00103457" w:rsidRPr="00103457" w:rsidRDefault="00103457" w:rsidP="00D305A0">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AER (%)</w:t>
            </w:r>
          </w:p>
        </w:tc>
      </w:tr>
      <w:tr w:rsidR="00103457" w:rsidRPr="00103457" w14:paraId="361F38D8" w14:textId="77777777" w:rsidTr="005A2836">
        <w:trPr>
          <w:trHeight w:val="320"/>
        </w:trPr>
        <w:tc>
          <w:tcPr>
            <w:tcW w:w="1000" w:type="dxa"/>
            <w:vMerge/>
            <w:tcBorders>
              <w:top w:val="single" w:sz="4" w:space="0" w:color="auto"/>
              <w:left w:val="nil"/>
              <w:bottom w:val="single" w:sz="4" w:space="0" w:color="000000"/>
              <w:right w:val="nil"/>
            </w:tcBorders>
            <w:vAlign w:val="center"/>
            <w:hideMark/>
          </w:tcPr>
          <w:p w14:paraId="20A3491A" w14:textId="77777777" w:rsidR="00103457" w:rsidRPr="00103457" w:rsidRDefault="00103457" w:rsidP="00103457">
            <w:pPr>
              <w:spacing w:line="240" w:lineRule="auto"/>
              <w:rPr>
                <w:rFonts w:ascii="Times New Roman" w:hAnsi="Times New Roman"/>
                <w:color w:val="000000"/>
                <w:lang w:bidi="ar-SA"/>
                <w14:ligatures w14:val="standardContextual"/>
              </w:rPr>
            </w:pPr>
          </w:p>
        </w:tc>
        <w:tc>
          <w:tcPr>
            <w:tcW w:w="1112" w:type="dxa"/>
            <w:tcBorders>
              <w:top w:val="nil"/>
              <w:left w:val="nil"/>
              <w:bottom w:val="single" w:sz="4" w:space="0" w:color="auto"/>
              <w:right w:val="nil"/>
            </w:tcBorders>
            <w:shd w:val="clear" w:color="auto" w:fill="auto"/>
            <w:noWrap/>
            <w:vAlign w:val="bottom"/>
            <w:hideMark/>
          </w:tcPr>
          <w:p w14:paraId="33381BE6"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2020</w:t>
            </w:r>
          </w:p>
        </w:tc>
        <w:tc>
          <w:tcPr>
            <w:tcW w:w="1112" w:type="dxa"/>
            <w:tcBorders>
              <w:top w:val="nil"/>
              <w:left w:val="nil"/>
              <w:bottom w:val="single" w:sz="4" w:space="0" w:color="auto"/>
              <w:right w:val="nil"/>
            </w:tcBorders>
            <w:shd w:val="clear" w:color="auto" w:fill="auto"/>
            <w:noWrap/>
            <w:vAlign w:val="bottom"/>
            <w:hideMark/>
          </w:tcPr>
          <w:p w14:paraId="0A931BE7"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2030</w:t>
            </w:r>
          </w:p>
        </w:tc>
        <w:tc>
          <w:tcPr>
            <w:tcW w:w="1112" w:type="dxa"/>
            <w:tcBorders>
              <w:top w:val="nil"/>
              <w:left w:val="nil"/>
              <w:bottom w:val="single" w:sz="4" w:space="0" w:color="auto"/>
              <w:right w:val="nil"/>
            </w:tcBorders>
            <w:shd w:val="clear" w:color="auto" w:fill="auto"/>
            <w:noWrap/>
            <w:vAlign w:val="bottom"/>
            <w:hideMark/>
          </w:tcPr>
          <w:p w14:paraId="48A21C1F"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2040</w:t>
            </w:r>
          </w:p>
        </w:tc>
        <w:tc>
          <w:tcPr>
            <w:tcW w:w="1112" w:type="dxa"/>
            <w:tcBorders>
              <w:top w:val="nil"/>
              <w:left w:val="nil"/>
              <w:bottom w:val="single" w:sz="4" w:space="0" w:color="auto"/>
              <w:right w:val="single" w:sz="4" w:space="0" w:color="auto"/>
            </w:tcBorders>
            <w:shd w:val="clear" w:color="auto" w:fill="auto"/>
            <w:noWrap/>
            <w:vAlign w:val="bottom"/>
            <w:hideMark/>
          </w:tcPr>
          <w:p w14:paraId="0E1DBBBD"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2050</w:t>
            </w:r>
          </w:p>
        </w:tc>
        <w:tc>
          <w:tcPr>
            <w:tcW w:w="1279" w:type="dxa"/>
            <w:tcBorders>
              <w:top w:val="nil"/>
              <w:left w:val="single" w:sz="4" w:space="0" w:color="auto"/>
              <w:bottom w:val="single" w:sz="4" w:space="0" w:color="auto"/>
              <w:right w:val="nil"/>
            </w:tcBorders>
            <w:shd w:val="clear" w:color="auto" w:fill="auto"/>
            <w:noWrap/>
            <w:vAlign w:val="bottom"/>
            <w:hideMark/>
          </w:tcPr>
          <w:p w14:paraId="25B7F969"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2020-2030</w:t>
            </w:r>
          </w:p>
        </w:tc>
        <w:tc>
          <w:tcPr>
            <w:tcW w:w="1256" w:type="dxa"/>
            <w:tcBorders>
              <w:top w:val="nil"/>
              <w:left w:val="nil"/>
              <w:bottom w:val="single" w:sz="4" w:space="0" w:color="auto"/>
              <w:right w:val="nil"/>
            </w:tcBorders>
            <w:shd w:val="clear" w:color="auto" w:fill="auto"/>
            <w:noWrap/>
            <w:vAlign w:val="bottom"/>
            <w:hideMark/>
          </w:tcPr>
          <w:p w14:paraId="1DE7EA04"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2030-2040</w:t>
            </w:r>
          </w:p>
        </w:tc>
        <w:tc>
          <w:tcPr>
            <w:tcW w:w="1256" w:type="dxa"/>
            <w:tcBorders>
              <w:top w:val="nil"/>
              <w:left w:val="nil"/>
              <w:bottom w:val="single" w:sz="4" w:space="0" w:color="auto"/>
              <w:right w:val="nil"/>
            </w:tcBorders>
            <w:shd w:val="clear" w:color="auto" w:fill="auto"/>
            <w:noWrap/>
            <w:vAlign w:val="bottom"/>
            <w:hideMark/>
          </w:tcPr>
          <w:p w14:paraId="6509701F"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2040-2050</w:t>
            </w:r>
          </w:p>
        </w:tc>
      </w:tr>
      <w:tr w:rsidR="00103457" w:rsidRPr="00103457" w14:paraId="77D0D842" w14:textId="77777777" w:rsidTr="005A2836">
        <w:trPr>
          <w:trHeight w:val="320"/>
        </w:trPr>
        <w:tc>
          <w:tcPr>
            <w:tcW w:w="1000" w:type="dxa"/>
            <w:tcBorders>
              <w:top w:val="nil"/>
              <w:left w:val="nil"/>
              <w:bottom w:val="nil"/>
              <w:right w:val="nil"/>
            </w:tcBorders>
            <w:shd w:val="clear" w:color="auto" w:fill="auto"/>
            <w:noWrap/>
            <w:vAlign w:val="bottom"/>
            <w:hideMark/>
          </w:tcPr>
          <w:p w14:paraId="66D4794E" w14:textId="77777777" w:rsidR="00103457" w:rsidRPr="00103457" w:rsidRDefault="00103457" w:rsidP="00103457">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Benin</w:t>
            </w:r>
          </w:p>
        </w:tc>
        <w:tc>
          <w:tcPr>
            <w:tcW w:w="1112" w:type="dxa"/>
            <w:tcBorders>
              <w:top w:val="nil"/>
              <w:left w:val="nil"/>
              <w:bottom w:val="nil"/>
              <w:right w:val="nil"/>
            </w:tcBorders>
            <w:shd w:val="clear" w:color="auto" w:fill="auto"/>
            <w:noWrap/>
            <w:vAlign w:val="bottom"/>
            <w:hideMark/>
          </w:tcPr>
          <w:p w14:paraId="003E8014"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788.10</w:t>
            </w:r>
          </w:p>
        </w:tc>
        <w:tc>
          <w:tcPr>
            <w:tcW w:w="1112" w:type="dxa"/>
            <w:tcBorders>
              <w:top w:val="nil"/>
              <w:left w:val="nil"/>
              <w:bottom w:val="nil"/>
              <w:right w:val="nil"/>
            </w:tcBorders>
            <w:shd w:val="clear" w:color="auto" w:fill="auto"/>
            <w:noWrap/>
            <w:vAlign w:val="bottom"/>
            <w:hideMark/>
          </w:tcPr>
          <w:p w14:paraId="78C43177"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1091.87</w:t>
            </w:r>
          </w:p>
        </w:tc>
        <w:tc>
          <w:tcPr>
            <w:tcW w:w="1112" w:type="dxa"/>
            <w:tcBorders>
              <w:top w:val="nil"/>
              <w:left w:val="nil"/>
              <w:bottom w:val="nil"/>
              <w:right w:val="nil"/>
            </w:tcBorders>
            <w:shd w:val="clear" w:color="auto" w:fill="auto"/>
            <w:noWrap/>
            <w:vAlign w:val="bottom"/>
            <w:hideMark/>
          </w:tcPr>
          <w:p w14:paraId="19AA96E6"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1790.50</w:t>
            </w:r>
          </w:p>
        </w:tc>
        <w:tc>
          <w:tcPr>
            <w:tcW w:w="1112" w:type="dxa"/>
            <w:tcBorders>
              <w:top w:val="nil"/>
              <w:left w:val="nil"/>
              <w:bottom w:val="nil"/>
              <w:right w:val="nil"/>
            </w:tcBorders>
            <w:shd w:val="clear" w:color="auto" w:fill="auto"/>
            <w:noWrap/>
            <w:vAlign w:val="bottom"/>
            <w:hideMark/>
          </w:tcPr>
          <w:p w14:paraId="406BB060"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3036.56</w:t>
            </w:r>
          </w:p>
        </w:tc>
        <w:tc>
          <w:tcPr>
            <w:tcW w:w="1279" w:type="dxa"/>
            <w:tcBorders>
              <w:top w:val="nil"/>
              <w:left w:val="nil"/>
              <w:bottom w:val="nil"/>
              <w:right w:val="nil"/>
            </w:tcBorders>
            <w:shd w:val="clear" w:color="auto" w:fill="auto"/>
            <w:noWrap/>
            <w:vAlign w:val="bottom"/>
            <w:hideMark/>
          </w:tcPr>
          <w:p w14:paraId="7E5A1CE7"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3.31</w:t>
            </w:r>
          </w:p>
        </w:tc>
        <w:tc>
          <w:tcPr>
            <w:tcW w:w="1256" w:type="dxa"/>
            <w:tcBorders>
              <w:top w:val="nil"/>
              <w:left w:val="nil"/>
              <w:bottom w:val="nil"/>
              <w:right w:val="nil"/>
            </w:tcBorders>
            <w:shd w:val="clear" w:color="auto" w:fill="auto"/>
            <w:noWrap/>
            <w:vAlign w:val="bottom"/>
            <w:hideMark/>
          </w:tcPr>
          <w:p w14:paraId="6213B570"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5.07</w:t>
            </w:r>
          </w:p>
        </w:tc>
        <w:tc>
          <w:tcPr>
            <w:tcW w:w="1256" w:type="dxa"/>
            <w:tcBorders>
              <w:top w:val="nil"/>
              <w:left w:val="nil"/>
              <w:bottom w:val="nil"/>
              <w:right w:val="nil"/>
            </w:tcBorders>
            <w:shd w:val="clear" w:color="auto" w:fill="auto"/>
            <w:noWrap/>
            <w:vAlign w:val="bottom"/>
            <w:hideMark/>
          </w:tcPr>
          <w:p w14:paraId="29247CB4"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5.42</w:t>
            </w:r>
          </w:p>
        </w:tc>
      </w:tr>
      <w:tr w:rsidR="00103457" w:rsidRPr="00103457" w14:paraId="1EA5C132" w14:textId="77777777" w:rsidTr="005A2836">
        <w:trPr>
          <w:trHeight w:val="320"/>
        </w:trPr>
        <w:tc>
          <w:tcPr>
            <w:tcW w:w="1000" w:type="dxa"/>
            <w:tcBorders>
              <w:top w:val="nil"/>
              <w:left w:val="nil"/>
              <w:bottom w:val="nil"/>
              <w:right w:val="nil"/>
            </w:tcBorders>
            <w:shd w:val="clear" w:color="auto" w:fill="auto"/>
            <w:noWrap/>
            <w:vAlign w:val="bottom"/>
            <w:hideMark/>
          </w:tcPr>
          <w:p w14:paraId="22055823" w14:textId="77777777" w:rsidR="00103457" w:rsidRPr="00103457" w:rsidRDefault="00103457" w:rsidP="00103457">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Ghana</w:t>
            </w:r>
          </w:p>
        </w:tc>
        <w:tc>
          <w:tcPr>
            <w:tcW w:w="1112" w:type="dxa"/>
            <w:tcBorders>
              <w:top w:val="nil"/>
              <w:left w:val="nil"/>
              <w:bottom w:val="nil"/>
              <w:right w:val="nil"/>
            </w:tcBorders>
            <w:shd w:val="clear" w:color="auto" w:fill="auto"/>
            <w:noWrap/>
            <w:vAlign w:val="bottom"/>
            <w:hideMark/>
          </w:tcPr>
          <w:p w14:paraId="4212E971"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2644.20</w:t>
            </w:r>
          </w:p>
        </w:tc>
        <w:tc>
          <w:tcPr>
            <w:tcW w:w="1112" w:type="dxa"/>
            <w:tcBorders>
              <w:top w:val="nil"/>
              <w:left w:val="nil"/>
              <w:bottom w:val="nil"/>
              <w:right w:val="nil"/>
            </w:tcBorders>
            <w:shd w:val="clear" w:color="auto" w:fill="auto"/>
            <w:noWrap/>
            <w:vAlign w:val="bottom"/>
            <w:hideMark/>
          </w:tcPr>
          <w:p w14:paraId="6A926CC3"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6184.06</w:t>
            </w:r>
          </w:p>
        </w:tc>
        <w:tc>
          <w:tcPr>
            <w:tcW w:w="1112" w:type="dxa"/>
            <w:tcBorders>
              <w:top w:val="nil"/>
              <w:left w:val="nil"/>
              <w:bottom w:val="nil"/>
              <w:right w:val="nil"/>
            </w:tcBorders>
            <w:shd w:val="clear" w:color="auto" w:fill="auto"/>
            <w:noWrap/>
            <w:vAlign w:val="bottom"/>
            <w:hideMark/>
          </w:tcPr>
          <w:p w14:paraId="0E637771"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14627.33</w:t>
            </w:r>
          </w:p>
        </w:tc>
        <w:tc>
          <w:tcPr>
            <w:tcW w:w="1112" w:type="dxa"/>
            <w:tcBorders>
              <w:top w:val="nil"/>
              <w:left w:val="nil"/>
              <w:bottom w:val="nil"/>
              <w:right w:val="nil"/>
            </w:tcBorders>
            <w:shd w:val="clear" w:color="auto" w:fill="auto"/>
            <w:noWrap/>
            <w:vAlign w:val="bottom"/>
            <w:hideMark/>
          </w:tcPr>
          <w:p w14:paraId="18E9F488"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25361.58</w:t>
            </w:r>
          </w:p>
        </w:tc>
        <w:tc>
          <w:tcPr>
            <w:tcW w:w="1279" w:type="dxa"/>
            <w:tcBorders>
              <w:top w:val="nil"/>
              <w:left w:val="nil"/>
              <w:bottom w:val="nil"/>
              <w:right w:val="nil"/>
            </w:tcBorders>
            <w:shd w:val="clear" w:color="auto" w:fill="auto"/>
            <w:noWrap/>
            <w:vAlign w:val="bottom"/>
            <w:hideMark/>
          </w:tcPr>
          <w:p w14:paraId="6256CE03"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8.87</w:t>
            </w:r>
          </w:p>
        </w:tc>
        <w:tc>
          <w:tcPr>
            <w:tcW w:w="1256" w:type="dxa"/>
            <w:tcBorders>
              <w:top w:val="nil"/>
              <w:left w:val="nil"/>
              <w:bottom w:val="nil"/>
              <w:right w:val="nil"/>
            </w:tcBorders>
            <w:shd w:val="clear" w:color="auto" w:fill="auto"/>
            <w:noWrap/>
            <w:vAlign w:val="bottom"/>
            <w:hideMark/>
          </w:tcPr>
          <w:p w14:paraId="372A234E"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8.99</w:t>
            </w:r>
          </w:p>
        </w:tc>
        <w:tc>
          <w:tcPr>
            <w:tcW w:w="1256" w:type="dxa"/>
            <w:tcBorders>
              <w:top w:val="nil"/>
              <w:left w:val="nil"/>
              <w:bottom w:val="nil"/>
              <w:right w:val="nil"/>
            </w:tcBorders>
            <w:shd w:val="clear" w:color="auto" w:fill="auto"/>
            <w:noWrap/>
            <w:vAlign w:val="bottom"/>
            <w:hideMark/>
          </w:tcPr>
          <w:p w14:paraId="6699357C"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5.66</w:t>
            </w:r>
          </w:p>
        </w:tc>
      </w:tr>
      <w:tr w:rsidR="00103457" w:rsidRPr="00103457" w14:paraId="26DB9A15" w14:textId="77777777" w:rsidTr="005A2836">
        <w:trPr>
          <w:trHeight w:val="320"/>
        </w:trPr>
        <w:tc>
          <w:tcPr>
            <w:tcW w:w="1000" w:type="dxa"/>
            <w:tcBorders>
              <w:top w:val="nil"/>
              <w:left w:val="nil"/>
              <w:bottom w:val="nil"/>
              <w:right w:val="nil"/>
            </w:tcBorders>
            <w:shd w:val="clear" w:color="auto" w:fill="auto"/>
            <w:noWrap/>
            <w:vAlign w:val="bottom"/>
            <w:hideMark/>
          </w:tcPr>
          <w:p w14:paraId="57F16B43" w14:textId="77777777" w:rsidR="00103457" w:rsidRPr="00103457" w:rsidRDefault="00103457" w:rsidP="00103457">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Nigeria</w:t>
            </w:r>
          </w:p>
        </w:tc>
        <w:tc>
          <w:tcPr>
            <w:tcW w:w="1112" w:type="dxa"/>
            <w:tcBorders>
              <w:top w:val="nil"/>
              <w:left w:val="nil"/>
              <w:bottom w:val="nil"/>
              <w:right w:val="nil"/>
            </w:tcBorders>
            <w:shd w:val="clear" w:color="auto" w:fill="auto"/>
            <w:noWrap/>
            <w:vAlign w:val="bottom"/>
            <w:hideMark/>
          </w:tcPr>
          <w:p w14:paraId="63ACC9D8"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10828.68</w:t>
            </w:r>
          </w:p>
        </w:tc>
        <w:tc>
          <w:tcPr>
            <w:tcW w:w="1112" w:type="dxa"/>
            <w:tcBorders>
              <w:top w:val="nil"/>
              <w:left w:val="nil"/>
              <w:bottom w:val="nil"/>
              <w:right w:val="nil"/>
            </w:tcBorders>
            <w:shd w:val="clear" w:color="auto" w:fill="auto"/>
            <w:noWrap/>
            <w:vAlign w:val="bottom"/>
            <w:hideMark/>
          </w:tcPr>
          <w:p w14:paraId="76C861DF"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21729.84</w:t>
            </w:r>
          </w:p>
        </w:tc>
        <w:tc>
          <w:tcPr>
            <w:tcW w:w="1112" w:type="dxa"/>
            <w:tcBorders>
              <w:top w:val="nil"/>
              <w:left w:val="nil"/>
              <w:bottom w:val="nil"/>
              <w:right w:val="nil"/>
            </w:tcBorders>
            <w:shd w:val="clear" w:color="auto" w:fill="auto"/>
            <w:noWrap/>
            <w:vAlign w:val="bottom"/>
            <w:hideMark/>
          </w:tcPr>
          <w:p w14:paraId="005F9244"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48938.95</w:t>
            </w:r>
          </w:p>
        </w:tc>
        <w:tc>
          <w:tcPr>
            <w:tcW w:w="1112" w:type="dxa"/>
            <w:tcBorders>
              <w:top w:val="nil"/>
              <w:left w:val="nil"/>
              <w:bottom w:val="nil"/>
              <w:right w:val="nil"/>
            </w:tcBorders>
            <w:shd w:val="clear" w:color="auto" w:fill="auto"/>
            <w:noWrap/>
            <w:vAlign w:val="bottom"/>
            <w:hideMark/>
          </w:tcPr>
          <w:p w14:paraId="6D7ADDB1"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94915.29</w:t>
            </w:r>
          </w:p>
        </w:tc>
        <w:tc>
          <w:tcPr>
            <w:tcW w:w="1279" w:type="dxa"/>
            <w:tcBorders>
              <w:top w:val="nil"/>
              <w:left w:val="nil"/>
              <w:bottom w:val="nil"/>
              <w:right w:val="nil"/>
            </w:tcBorders>
            <w:shd w:val="clear" w:color="auto" w:fill="auto"/>
            <w:noWrap/>
            <w:vAlign w:val="bottom"/>
            <w:hideMark/>
          </w:tcPr>
          <w:p w14:paraId="1D97C8D7"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7.21</w:t>
            </w:r>
          </w:p>
        </w:tc>
        <w:tc>
          <w:tcPr>
            <w:tcW w:w="1256" w:type="dxa"/>
            <w:tcBorders>
              <w:top w:val="nil"/>
              <w:left w:val="nil"/>
              <w:bottom w:val="nil"/>
              <w:right w:val="nil"/>
            </w:tcBorders>
            <w:shd w:val="clear" w:color="auto" w:fill="auto"/>
            <w:noWrap/>
            <w:vAlign w:val="bottom"/>
            <w:hideMark/>
          </w:tcPr>
          <w:p w14:paraId="6300936E"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8.46</w:t>
            </w:r>
          </w:p>
        </w:tc>
        <w:tc>
          <w:tcPr>
            <w:tcW w:w="1256" w:type="dxa"/>
            <w:tcBorders>
              <w:top w:val="nil"/>
              <w:left w:val="nil"/>
              <w:bottom w:val="nil"/>
              <w:right w:val="nil"/>
            </w:tcBorders>
            <w:shd w:val="clear" w:color="auto" w:fill="auto"/>
            <w:noWrap/>
            <w:vAlign w:val="bottom"/>
            <w:hideMark/>
          </w:tcPr>
          <w:p w14:paraId="2824CD10"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6.85</w:t>
            </w:r>
          </w:p>
        </w:tc>
      </w:tr>
      <w:tr w:rsidR="00103457" w:rsidRPr="00103457" w14:paraId="1229C441" w14:textId="77777777" w:rsidTr="005A2836">
        <w:trPr>
          <w:trHeight w:val="320"/>
        </w:trPr>
        <w:tc>
          <w:tcPr>
            <w:tcW w:w="1000" w:type="dxa"/>
            <w:tcBorders>
              <w:top w:val="nil"/>
              <w:left w:val="nil"/>
              <w:bottom w:val="single" w:sz="4" w:space="0" w:color="auto"/>
              <w:right w:val="nil"/>
            </w:tcBorders>
            <w:shd w:val="clear" w:color="auto" w:fill="auto"/>
            <w:noWrap/>
            <w:vAlign w:val="bottom"/>
            <w:hideMark/>
          </w:tcPr>
          <w:p w14:paraId="51B2E51B" w14:textId="77777777" w:rsidR="00103457" w:rsidRPr="00103457" w:rsidRDefault="00103457" w:rsidP="00103457">
            <w:pPr>
              <w:spacing w:line="240" w:lineRule="auto"/>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Togo</w:t>
            </w:r>
          </w:p>
        </w:tc>
        <w:tc>
          <w:tcPr>
            <w:tcW w:w="1112" w:type="dxa"/>
            <w:tcBorders>
              <w:top w:val="nil"/>
              <w:left w:val="nil"/>
              <w:bottom w:val="single" w:sz="4" w:space="0" w:color="auto"/>
              <w:right w:val="nil"/>
            </w:tcBorders>
            <w:shd w:val="clear" w:color="auto" w:fill="auto"/>
            <w:noWrap/>
            <w:vAlign w:val="bottom"/>
            <w:hideMark/>
          </w:tcPr>
          <w:p w14:paraId="570C0F9A"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681.09</w:t>
            </w:r>
          </w:p>
        </w:tc>
        <w:tc>
          <w:tcPr>
            <w:tcW w:w="1112" w:type="dxa"/>
            <w:tcBorders>
              <w:top w:val="nil"/>
              <w:left w:val="nil"/>
              <w:bottom w:val="single" w:sz="4" w:space="0" w:color="auto"/>
              <w:right w:val="nil"/>
            </w:tcBorders>
            <w:shd w:val="clear" w:color="auto" w:fill="auto"/>
            <w:noWrap/>
            <w:vAlign w:val="bottom"/>
            <w:hideMark/>
          </w:tcPr>
          <w:p w14:paraId="04BF7C23"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869.16</w:t>
            </w:r>
          </w:p>
        </w:tc>
        <w:tc>
          <w:tcPr>
            <w:tcW w:w="1112" w:type="dxa"/>
            <w:tcBorders>
              <w:top w:val="nil"/>
              <w:left w:val="nil"/>
              <w:bottom w:val="single" w:sz="4" w:space="0" w:color="auto"/>
              <w:right w:val="nil"/>
            </w:tcBorders>
            <w:shd w:val="clear" w:color="auto" w:fill="auto"/>
            <w:noWrap/>
            <w:vAlign w:val="bottom"/>
            <w:hideMark/>
          </w:tcPr>
          <w:p w14:paraId="410A017D"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2434.65</w:t>
            </w:r>
          </w:p>
        </w:tc>
        <w:tc>
          <w:tcPr>
            <w:tcW w:w="1112" w:type="dxa"/>
            <w:tcBorders>
              <w:top w:val="nil"/>
              <w:left w:val="nil"/>
              <w:bottom w:val="single" w:sz="4" w:space="0" w:color="auto"/>
              <w:right w:val="nil"/>
            </w:tcBorders>
            <w:shd w:val="clear" w:color="auto" w:fill="auto"/>
            <w:noWrap/>
            <w:vAlign w:val="bottom"/>
            <w:hideMark/>
          </w:tcPr>
          <w:p w14:paraId="37E7E9C8"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6499.31</w:t>
            </w:r>
          </w:p>
        </w:tc>
        <w:tc>
          <w:tcPr>
            <w:tcW w:w="1279" w:type="dxa"/>
            <w:tcBorders>
              <w:top w:val="nil"/>
              <w:left w:val="nil"/>
              <w:bottom w:val="single" w:sz="4" w:space="0" w:color="auto"/>
              <w:right w:val="nil"/>
            </w:tcBorders>
            <w:shd w:val="clear" w:color="auto" w:fill="auto"/>
            <w:noWrap/>
            <w:vAlign w:val="bottom"/>
            <w:hideMark/>
          </w:tcPr>
          <w:p w14:paraId="57008189"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2.47</w:t>
            </w:r>
          </w:p>
        </w:tc>
        <w:tc>
          <w:tcPr>
            <w:tcW w:w="1256" w:type="dxa"/>
            <w:tcBorders>
              <w:top w:val="nil"/>
              <w:left w:val="nil"/>
              <w:bottom w:val="single" w:sz="4" w:space="0" w:color="auto"/>
              <w:right w:val="nil"/>
            </w:tcBorders>
            <w:shd w:val="clear" w:color="auto" w:fill="auto"/>
            <w:noWrap/>
            <w:vAlign w:val="bottom"/>
            <w:hideMark/>
          </w:tcPr>
          <w:p w14:paraId="4976437B"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10.8</w:t>
            </w:r>
          </w:p>
        </w:tc>
        <w:tc>
          <w:tcPr>
            <w:tcW w:w="1256" w:type="dxa"/>
            <w:tcBorders>
              <w:top w:val="nil"/>
              <w:left w:val="nil"/>
              <w:bottom w:val="single" w:sz="4" w:space="0" w:color="auto"/>
              <w:right w:val="nil"/>
            </w:tcBorders>
            <w:shd w:val="clear" w:color="auto" w:fill="auto"/>
            <w:noWrap/>
            <w:vAlign w:val="bottom"/>
            <w:hideMark/>
          </w:tcPr>
          <w:p w14:paraId="59078FF0" w14:textId="77777777" w:rsidR="00103457" w:rsidRPr="00103457" w:rsidRDefault="00103457" w:rsidP="00103457">
            <w:pPr>
              <w:spacing w:line="240" w:lineRule="auto"/>
              <w:jc w:val="center"/>
              <w:rPr>
                <w:rFonts w:ascii="Times New Roman" w:hAnsi="Times New Roman"/>
                <w:color w:val="000000"/>
                <w:lang w:bidi="ar-SA"/>
                <w14:ligatures w14:val="standardContextual"/>
              </w:rPr>
            </w:pPr>
            <w:r w:rsidRPr="00103457">
              <w:rPr>
                <w:rFonts w:ascii="Times New Roman" w:hAnsi="Times New Roman"/>
                <w:color w:val="000000"/>
                <w:lang w:bidi="ar-SA"/>
                <w14:ligatures w14:val="standardContextual"/>
              </w:rPr>
              <w:t>10.3</w:t>
            </w:r>
          </w:p>
        </w:tc>
      </w:tr>
    </w:tbl>
    <w:p w14:paraId="458B42C7" w14:textId="77777777" w:rsidR="00A82BAC" w:rsidRDefault="00103457" w:rsidP="00A82BAC">
      <w:pPr>
        <w:keepNext/>
        <w:spacing w:after="160" w:line="240" w:lineRule="auto"/>
        <w:jc w:val="both"/>
      </w:pPr>
      <w:r w:rsidRPr="00103457">
        <w:rPr>
          <w:rFonts w:ascii="Times New Roman" w:eastAsia="Aptos" w:hAnsi="Times New Roman"/>
          <w:bCs/>
          <w:noProof/>
          <w:lang w:bidi="ar-SA"/>
          <w14:ligatures w14:val="standardContextual"/>
        </w:rPr>
        <w:lastRenderedPageBreak/>
        <w:drawing>
          <wp:inline distT="0" distB="0" distL="0" distR="0" wp14:anchorId="725239A6" wp14:editId="3133657A">
            <wp:extent cx="5859942" cy="7561580"/>
            <wp:effectExtent l="0" t="0" r="7620" b="1270"/>
            <wp:docPr id="1928852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5270" name="Picture 19288527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71981" cy="7577115"/>
                    </a:xfrm>
                    <a:prstGeom prst="rect">
                      <a:avLst/>
                    </a:prstGeom>
                  </pic:spPr>
                </pic:pic>
              </a:graphicData>
            </a:graphic>
          </wp:inline>
        </w:drawing>
      </w:r>
    </w:p>
    <w:p w14:paraId="1DFAE22D" w14:textId="08E8156D" w:rsidR="00577CE5" w:rsidRPr="00AB7592" w:rsidRDefault="00577CE5" w:rsidP="00505D6B">
      <w:pPr>
        <w:spacing w:line="240" w:lineRule="auto"/>
        <w:rPr>
          <w:bCs/>
        </w:rPr>
      </w:pPr>
      <w:bookmarkStart w:id="166" w:name="_Ref171971937"/>
      <w:bookmarkStart w:id="167" w:name="_Toc172233516"/>
      <w:bookmarkStart w:id="168" w:name="_Ref169282521"/>
      <w:r w:rsidRPr="0032502E">
        <w:rPr>
          <w:b/>
          <w:bCs/>
        </w:rPr>
        <w:t xml:space="preserve">Figure </w:t>
      </w:r>
      <w:r w:rsidRPr="0032502E">
        <w:rPr>
          <w:b/>
          <w:bCs/>
        </w:rPr>
        <w:fldChar w:fldCharType="begin"/>
      </w:r>
      <w:r w:rsidRPr="0032502E">
        <w:rPr>
          <w:b/>
          <w:bCs/>
        </w:rPr>
        <w:instrText xml:space="preserve"> SEQ Figure \* ARABIC </w:instrText>
      </w:r>
      <w:r w:rsidRPr="0032502E">
        <w:rPr>
          <w:b/>
          <w:bCs/>
        </w:rPr>
        <w:fldChar w:fldCharType="separate"/>
      </w:r>
      <w:r w:rsidR="00B129D9">
        <w:rPr>
          <w:b/>
          <w:bCs/>
          <w:noProof/>
        </w:rPr>
        <w:t>19</w:t>
      </w:r>
      <w:r w:rsidRPr="0032502E">
        <w:rPr>
          <w:b/>
          <w:bCs/>
        </w:rPr>
        <w:fldChar w:fldCharType="end"/>
      </w:r>
      <w:bookmarkEnd w:id="166"/>
      <w:r w:rsidRPr="00AB7592">
        <w:t>: Annual expansion rates across administrative unit level-2 boundaries from 2020 – 2030, 2030 – 2040, and 2040 – 2050.</w:t>
      </w:r>
      <w:bookmarkEnd w:id="167"/>
    </w:p>
    <w:p w14:paraId="028EAF86" w14:textId="77777777" w:rsidR="00103457" w:rsidRPr="00103457" w:rsidRDefault="00103457" w:rsidP="00590F94">
      <w:pPr>
        <w:pStyle w:val="Heading2"/>
      </w:pPr>
      <w:bookmarkStart w:id="169" w:name="_Toc172288758"/>
      <w:bookmarkEnd w:id="168"/>
      <w:r w:rsidRPr="00103457">
        <w:lastRenderedPageBreak/>
        <w:t>Discussion</w:t>
      </w:r>
      <w:bookmarkEnd w:id="169"/>
    </w:p>
    <w:p w14:paraId="36F05C35" w14:textId="2D8EBFCC" w:rsidR="00103457" w:rsidRPr="00103457" w:rsidRDefault="007765B2" w:rsidP="005A2836">
      <w:pPr>
        <w:pStyle w:val="Heading3"/>
      </w:pPr>
      <w:bookmarkStart w:id="170" w:name="_Toc172288759"/>
      <w:r>
        <w:t>Importance of input</w:t>
      </w:r>
      <w:r w:rsidR="00103457" w:rsidRPr="00103457">
        <w:t xml:space="preserve"> variables</w:t>
      </w:r>
      <w:bookmarkEnd w:id="170"/>
    </w:p>
    <w:p w14:paraId="6B744A51" w14:textId="7365B06B" w:rsidR="000D34FF" w:rsidRDefault="000D34FF" w:rsidP="005A2836">
      <w:pPr>
        <w:ind w:firstLine="360"/>
        <w:rPr>
          <w:rFonts w:ascii="Times New Roman" w:hAnsi="Times New Roman"/>
        </w:rPr>
      </w:pPr>
      <w:r w:rsidRPr="4E6AD041">
        <w:rPr>
          <w:rFonts w:ascii="Times New Roman" w:hAnsi="Times New Roman"/>
        </w:rPr>
        <w:t xml:space="preserve">We modeled the relationship between change in developed area from 2001 – 2015 and several spatially explicit predictor variables for each country's small, medium, and large cities. We found that the importance of different input variables varied across city sizes. Development pressure, which is the </w:t>
      </w:r>
      <w:r w:rsidR="00454312">
        <w:rPr>
          <w:rFonts w:ascii="Times New Roman" w:hAnsi="Times New Roman"/>
        </w:rPr>
        <w:t xml:space="preserve">dynamic </w:t>
      </w:r>
      <w:r w:rsidRPr="4E6AD041">
        <w:rPr>
          <w:rFonts w:ascii="Times New Roman" w:hAnsi="Times New Roman"/>
        </w:rPr>
        <w:t>mechanism</w:t>
      </w:r>
      <w:r w:rsidR="00454312">
        <w:rPr>
          <w:rFonts w:ascii="Times New Roman" w:hAnsi="Times New Roman"/>
        </w:rPr>
        <w:t xml:space="preserve"> </w:t>
      </w:r>
      <w:r w:rsidRPr="4E6AD041">
        <w:rPr>
          <w:rFonts w:ascii="Times New Roman" w:hAnsi="Times New Roman"/>
        </w:rPr>
        <w:t>consider</w:t>
      </w:r>
      <w:r w:rsidR="00234216">
        <w:rPr>
          <w:rFonts w:ascii="Times New Roman" w:hAnsi="Times New Roman"/>
        </w:rPr>
        <w:t>ing</w:t>
      </w:r>
      <w:r w:rsidRPr="4E6AD041">
        <w:rPr>
          <w:rFonts w:ascii="Times New Roman" w:hAnsi="Times New Roman"/>
        </w:rPr>
        <w:t xml:space="preserve"> the distance from the previously developed areas, was most important across large, medium, and small cities in each country, except large cities in Benin, where the distance to all city centers was most important. Previous urban simulation studies in the region often found that urban developed areas were low at high elevations and in steep terrain and that these topographic variables are important predictors of urban change </w:t>
      </w:r>
      <w:r>
        <w:rPr>
          <w:rFonts w:ascii="Times New Roman" w:hAnsi="Times New Roman"/>
        </w:rPr>
        <w:fldChar w:fldCharType="begin"/>
      </w:r>
      <w:r>
        <w:rPr>
          <w:rFonts w:ascii="Times New Roman" w:hAnsi="Times New Roman"/>
        </w:rPr>
        <w:instrText xml:space="preserve"> ADDIN ZOTERO_ITEM CSL_CITATION {"citationID":"l1qj54BN","properties":{"formattedCitation":"(Aburas et al., 2016; Enoguanbhor et al., 2022; Kukkonen et al., 2018)","plainCitation":"(Aburas et al., 2016; Enoguanbhor et al., 2022; Kukkonen et al., 2018)","noteIndex":0},"citationItems":[{"id":86,"uris":["http://zotero.org/users/8906743/items/YMDT9YTL"],"itemData":{"id":86,"type":"article-journal","archive_location":"WOS:000383003500035","container-title":"International Journal of Applied Earth Observation and Geoinformation","DOI":"10.1016/j.jag.2016.07.007","ISSN":"0303-2434","journalAbbreviation":"International Journal of Applied Earth Observation and Geoinformation","page":"380-389","title":"The simulation and prediction of spatio-temporal urban growth trends using cellular automata models: A review","volume":"52","author":[{"family":"Aburas","given":"Maher Milad"},{"family":"Ho","given":"Yuek Ming"},{"family":"Ramli","given":"Mohammad Firuz"},{"family":"Ash'aari","given":"Zulfa Hanan"}],"issued":{"date-parts":[["2016",10]]}}},{"id":583,"uris":["http://zotero.org/users/8906743/items/LIDBKJY2"],"itemData":{"id":583,"type":"article-journal","abstract":"In the Global South, including the Sub-Saharan African city-regions, the possible future urban expansion patterns may pose a challenge towards improving environmental sustainability. Land use planning strategies and instruments for regulating urban expansion are faced with challenges, including insufficient data availability to offer insights into the possible future urban expansion. This study integrated empirical data derived from Geographic Information Systems, Remote Sensing, and surveys of experts to offer insights into the possible future urban expansion under spatial planning scenarios to support land use planning and environmental sustainability of city-regions. We analyzed the spatial determinants of urban expansion, calibrated the land cover model using the Multi-Layer Perceptron Neural Network and Markov, and developed three scenarios to simulate land cover from 2017 to 2030 and to 2050. The scenarios include Business As Usual that extrapolates past trends; Regional Land Use Plan that restricts urban expansion to the land designated for urban development, and; Adjusted Urban Land that incorporates the leapfrogged settlements into the land designated for urban development. Additionally, we quantified the potential degradation of environmentally sensitive areas by future urban expansion under the three scenarios. Results indicated a high, little, and no potential degradation of environmentally sensitive areas by the future urban expansion under the Business As Usual, Adjusted Urban Land, and Regional Land Use Plan scenarios respectively. The methods and the baseline information provided, especially from the Adjusted Urban Land scenario showed the possibility of balancing the need for urban expansion and the protection of environmentally sensitive areas. This would be useful to improve the environmental sustainability of the Sub-Saharan African city-regions and across the Global South, where insufficient data availability challenges land use planning.","container-title":"GeoJournal","DOI":"10.1007/s10708-020-10317-x","ISSN":"1572-9893","issue":"3","journalAbbreviation":"GeoJournal","language":"en","page":"1479-1497","source":"Springer Link","title":"Simulating Urban Land Expansion in the Context of Land Use Planning in the Abuja City-Region, Nigeria","URL":"https://doi.org/10.1007/s10708-020-10317-x","volume":"87","author":[{"family":"Enoguanbhor","given":"Evidence Chinedu"},{"family":"Gollnow","given":"Florian"},{"family":"Walker","given":"Blake Byron"},{"family":"Nielsen","given":"Jonas Ostergaard"},{"family":"Lakes","given":"Tobia"}],"accessed":{"date-parts":[["2023",11,27]]},"issued":{"date-parts":[["2022",6,1]]}}},{"id":34,"uris":["http://zotero.org/users/8906743/items/LE9MR6FW"],"itemData":{"id":34,"type":"article-journal","archive_location":"WOS:000423643400052","container-title":"Land Use Policy","DOI":"10.1016/j.landusepol.2017.11.007","ISSN":"0264-8377","page":"554-565","title":"Urban expansion in Zanzibar City, Tanzania: Analyzing quantity, spatial patterns and effects of alternative planning approaches","volume":"71","author":[{"family":"Kukkonen","given":"Markus O."},{"family":"Muhammad","given":"Muhammad J."},{"family":"Kayhko","given":"Niina"},{"family":"Luoto","given":"Miska"}],"issued":{"date-parts":[["2018",2]]}}}],"schema":"https://github.com/citation-style-language/schema/raw/master/csl-citation.json"} </w:instrText>
      </w:r>
      <w:r>
        <w:rPr>
          <w:rFonts w:ascii="Times New Roman" w:hAnsi="Times New Roman"/>
        </w:rPr>
        <w:fldChar w:fldCharType="separate"/>
      </w:r>
      <w:r w:rsidRPr="00F22D52">
        <w:rPr>
          <w:rFonts w:ascii="Times New Roman" w:hAnsi="Times New Roman"/>
        </w:rPr>
        <w:t>(Aburas et al., 2016; Enoguanbhor et al., 2022; Kukkonen et al., 2018)</w:t>
      </w:r>
      <w:r>
        <w:rPr>
          <w:rFonts w:ascii="Times New Roman" w:hAnsi="Times New Roman"/>
        </w:rPr>
        <w:fldChar w:fldCharType="end"/>
      </w:r>
      <w:r w:rsidRPr="4E6AD041">
        <w:rPr>
          <w:rFonts w:ascii="Times New Roman" w:hAnsi="Times New Roman"/>
        </w:rPr>
        <w:t xml:space="preserve">. In contrast, we found elevation and hillshade were generally insignificant across the various city types. These findings suggest the unique and complex pattern of urban expansion in West Africa, often shaped by a regional cultural background. Although urban expansion (planning) occurs at the local or individual city level, the impacts extend beyond city individual boundaries, necessitating a large-scale understanding of urban expansion across multiple cities </w:t>
      </w:r>
      <w:r>
        <w:rPr>
          <w:rFonts w:ascii="Times New Roman" w:hAnsi="Times New Roman"/>
        </w:rPr>
        <w:fldChar w:fldCharType="begin"/>
      </w:r>
      <w:r>
        <w:rPr>
          <w:rFonts w:ascii="Times New Roman" w:hAnsi="Times New Roman"/>
        </w:rPr>
        <w:instrText xml:space="preserve"> ADDIN ZOTERO_ITEM CSL_CITATION {"citationID":"JYfWbOeD","properties":{"formattedCitation":"(Korah et al., 2024; Tulbure et al., 2022)","plainCitation":"(Korah et al., 2024; Tulbure et al., 2022)","noteIndex":0},"citationItems":[{"id":1873,"uris":["http://zotero.org/users/8906743/items/IQT4K3QT"],"itemData":{"id":1873,"type":"article-journal","abstract":"Africa has been a hotspot of rapid urban growth since 2000, yet no review exists that describes the current state of urban growth modeling. This review aims to fill this gap by synthesizing urban growth modeling approaches, input variables and challenges across Africa. Using Web of Science, Google Scholar, Geobase, and Compendex databases, we selected 49 studies that projected urban land use and cover change or modeled probabilities of future urban change associated with a variety of input variables. We found increasing trends in the numbers of studies employing cellular automata, statistical regression, agent-based, video prediction, and integrated approaches. The modeling approaches used and their corresponding increases differed across Africa. The input variables used to project urban growth also varied across subregions. Studies were biased towards populous countries rather than the most urbanized. 78 % of the studies focused on primary cities, while secondary cities were less frequently studied. Comparison of urban growth modeling across multiple regions and for different types of cities is currently difficult due to inconsistent definitions and limited availability of data and computational resources. We recommend that the scientific community develop consistent definitions of African city types and urban land use and land cover classifications, create regional urban land cover products for Africa, and build repositories of models and their input data.","container-title":"Cities","DOI":"10.1016/j.cities.2023.104734","ISSN":"0264-2751","journalAbbreviation":"Cities","page":"104734","source":"ScienceDirect","title":"Understanding urban growth modeling in Africa: Dynamics, drivers, and challenges","title-short":"Understanding urban growth modeling in Africa","URL":"https://www.sciencedirect.com/science/article/pii/S0264275123005462","volume":"146","author":[{"family":"Korah","given":"Andrews"},{"family":"Koch","given":"Jennifer A. M."},{"family":"Wimberly","given":"Michael C."}],"accessed":{"date-parts":[["2024",1,29]]},"issued":{"date-parts":[["2024",3,1]]}}},{"id":793,"uris":["http://zotero.org/users/8906743/items/D5Z8FT4P"],"itemData":{"id":793,"type":"article-journal","abstract":"Unprecedented amounts of analysis-ready Earth Observation (EO) data, combined with increasing computational power and new algorithms, offer novel opportunities for analysing ecosystem dynamics across large geographic extents, and to support conservation planning and action. Much research effort has gone into developing global EO-based land-cover and land-use datasets, including tree cover, crop types, and surface water dynamics. Yet there are inherent trade-offs between regional and global EO products pertaining to class legends, availability of training/validation data, and accuracy. Acknowledging and understanding these trade-offs is paramount for both developing EO products and for answering science questions relevant for ecology or conservation studies based on these data. Here we provide context on the development of global EO-based land-cover and land-use datasets, and outline advantages and disadvantages of both regional and global datasets. We argue that both types of EO-derived land-cover datasets can be preferable, with regional data providing the context-specificity that is often required for policy making and implementation (e.g., land-use and management, conservation planning, payment schemes for ecosystem services), making use of regional knowledge, particularly important when moving from land cover to actors. Ensuring that global and regional land-cover and land-use products derived based on EO data are compatible and nested, both in terms of class legends and accuracy assessment, should be a key consideration when developing such data. Open access high-quality training and validation data derived as part of such efforts are of utmost importance. Likewise, global efforts to generate sets of essential variables for climate change, biodiversity, or eventually land use, which often require land-cover maps as inputs, should consider regionalized, hierarchical approaches to not sacrifice regional context. Global change impacts manifest in regions, and so must the policy and planning responses to these challenges. EO data should embrace that regions matter, perhaps more than ever, in an age of global data availability and processing.","container-title":"Remote Sensing in Ecology and Conservation","DOI":"10.1002/rse2.248","ISSN":"2056-3485","issue":"3","language":"en","note":"_eprint: https://onlinelibrary.wiley.com/doi/pdf/10.1002/rse2.248","page":"272-283","source":"Wiley Online Library","title":"Regional matters: On the usefulness of regional land-cover datasets in times of global change","title-short":"Regional matters","URL":"https://onlinelibrary.wiley.com/doi/abs/10.1002/rse2.248","volume":"8","author":[{"family":"Tulbure","given":"Mirela G."},{"family":"Hostert","given":"Patrick"},{"family":"Kuemmerle","given":"Tobias"},{"family":"Broich","given":"Mark"}],"accessed":{"date-parts":[["2023",7,27]]},"issued":{"date-parts":[["2022"]]}}}],"schema":"https://github.com/citation-style-language/schema/raw/master/csl-citation.json"} </w:instrText>
      </w:r>
      <w:r>
        <w:rPr>
          <w:rFonts w:ascii="Times New Roman" w:hAnsi="Times New Roman"/>
        </w:rPr>
        <w:fldChar w:fldCharType="separate"/>
      </w:r>
      <w:r w:rsidRPr="00280D0A">
        <w:rPr>
          <w:rFonts w:ascii="Times New Roman" w:hAnsi="Times New Roman"/>
        </w:rPr>
        <w:t>(Korah et al., 2024; Tulbure et al., 2022)</w:t>
      </w:r>
      <w:r>
        <w:rPr>
          <w:rFonts w:ascii="Times New Roman" w:hAnsi="Times New Roman"/>
        </w:rPr>
        <w:fldChar w:fldCharType="end"/>
      </w:r>
      <w:r w:rsidRPr="4E6AD041">
        <w:rPr>
          <w:rFonts w:ascii="Times New Roman" w:hAnsi="Times New Roman"/>
        </w:rPr>
        <w:t xml:space="preserve">. Our study encompasses all 1603 cities in the study area, consisting of 1305 large, 282 medium, and 16 large cities across the study area. This type of analysis of the variable's importance across an entire system of cities is needed to inform modelers, planners, and the scientific community of unique and diverse predictors of urban expansion across increasingly urbanized and interconnected cities in West Africa.  </w:t>
      </w:r>
    </w:p>
    <w:p w14:paraId="321312C1" w14:textId="77777777" w:rsidR="000D34FF" w:rsidRDefault="000D34FF" w:rsidP="000D34FF">
      <w:pPr>
        <w:spacing w:line="240" w:lineRule="auto"/>
        <w:ind w:firstLine="360"/>
        <w:jc w:val="both"/>
        <w:rPr>
          <w:rFonts w:ascii="Times New Roman" w:hAnsi="Times New Roman"/>
        </w:rPr>
      </w:pPr>
    </w:p>
    <w:p w14:paraId="3E8A88C1" w14:textId="77777777" w:rsidR="00103457" w:rsidRPr="00103457" w:rsidRDefault="00103457" w:rsidP="00277F12">
      <w:pPr>
        <w:pStyle w:val="Heading3"/>
      </w:pPr>
      <w:bookmarkStart w:id="171" w:name="_Toc172288760"/>
      <w:r w:rsidRPr="00103457">
        <w:lastRenderedPageBreak/>
        <w:t>Accuracy of simulation</w:t>
      </w:r>
      <w:bookmarkEnd w:id="171"/>
    </w:p>
    <w:p w14:paraId="05133D0D" w14:textId="3DCDECDC" w:rsidR="00326604" w:rsidRDefault="00326604" w:rsidP="0006468B">
      <w:pPr>
        <w:ind w:firstLine="360"/>
        <w:rPr>
          <w:rFonts w:ascii="Times New Roman" w:hAnsi="Times New Roman"/>
        </w:rPr>
      </w:pPr>
      <w:r w:rsidRPr="4E6AD041">
        <w:rPr>
          <w:rFonts w:ascii="Times New Roman" w:hAnsi="Times New Roman"/>
        </w:rPr>
        <w:t>Cities and countries are increasingly interconnected, and managing their future expansion requires using urban simulation models. The scenario simulations resulting from applying these simulation models offer planners, decision-makers and other interested parties visualizations of new developments under certain scenario assumptions. These visualizations and the corresponding spatiotemporal information help</w:t>
      </w:r>
      <w:r w:rsidR="00234216">
        <w:rPr>
          <w:rFonts w:ascii="Times New Roman" w:hAnsi="Times New Roman"/>
        </w:rPr>
        <w:t>s</w:t>
      </w:r>
      <w:r w:rsidRPr="4E6AD041">
        <w:rPr>
          <w:rFonts w:ascii="Times New Roman" w:hAnsi="Times New Roman"/>
        </w:rPr>
        <w:t xml:space="preserve"> to identify unintended consequences (e.g., for biodiversity </w:t>
      </w:r>
      <w:r w:rsidRPr="4E6AD041">
        <w:rPr>
          <w:rFonts w:ascii="Times New Roman" w:hAnsi="Times New Roman"/>
        </w:rPr>
        <w:fldChar w:fldCharType="begin"/>
      </w:r>
      <w:r>
        <w:rPr>
          <w:rFonts w:ascii="Times New Roman" w:hAnsi="Times New Roman"/>
        </w:rPr>
        <w:instrText xml:space="preserve"> ADDIN ZOTERO_ITEM CSL_CITATION {"citationID":"R76c1Dpi","properties":{"formattedCitation":"(Koch et al., 2019)","plainCitation":"(Koch et al., 2019)","noteIndex":0},"citationItems":[{"id":"kARDlVU3/00x3voZw","uris":["http://zotero.org/users/5595994/items/AJRF4ARV"],"itemData":{"id":7908,"type":"article-journal","abstract":"Globally, the production of food, feed, bioenergy, and biomaterials has increased considerably during the past decades. This was achieved by the expansion of agricultural land and the intensification of agricultural management. Due to the conversion of natural ecosystems and the increasing use of pesticides and fertilizers, these processes are recognized as important causes of biodiversity loss. This study focuses on the African continent and analyses the potentials to achieve a stable food provision for a growing population, and at the same time, reduce further losses of biodiversity. These targets are important elements of the UN Agenda 2030. Using the spatially explicit land-use model LandSHIFT, we assessed the effectiveness of different land-sparing and land-sharing strategies to achieve these targets until the year 2030. The simulation results indicate that under the assumptions tested, the land sparing approach yields the most desirable results both, on the continental and the regional level. However, the land sharing/sparing framework in general, and the research presented here only analyse the effect of two factors of many (food production and biodiversity conservation). Hence, this study should not be understood to provide specific management recommendations. Further studies, from the regional to the local level, are required that apply a systems approach to understand and explain the multiple dimensions of sustainable food production on the African continent.","container-title":"Journal of Environmental Management","DOI":"10.1016/j.jenvman.2019.06.015","ISSN":"0301-4797","journalAbbreviation":"Journal of Environmental Management","page":"29-37","source":"ScienceDirect","title":"Can agricultural intensification help to conserve biodiversity? A scenario study for the African continent","title-short":"Can agricultural intensification help to conserve biodiversity?","volume":"247","author":[{"family":"Koch","given":"Jennifer"},{"family":"Schaldach","given":"Rüdiger"},{"family":"Göpel","given":"Jan"}],"issued":{"date-parts":[["2019",10,1]]}}}],"schema":"https://github.com/citation-style-language/schema/raw/master/csl-citation.json"} </w:instrText>
      </w:r>
      <w:r w:rsidRPr="4E6AD041">
        <w:rPr>
          <w:rFonts w:ascii="Times New Roman" w:hAnsi="Times New Roman"/>
        </w:rPr>
        <w:fldChar w:fldCharType="separate"/>
      </w:r>
      <w:r w:rsidRPr="4E6AD041">
        <w:rPr>
          <w:rFonts w:ascii="Times New Roman" w:hAnsi="Times New Roman"/>
          <w:noProof/>
        </w:rPr>
        <w:t>(Koch et al., 2019)</w:t>
      </w:r>
      <w:r w:rsidRPr="4E6AD041">
        <w:rPr>
          <w:rFonts w:ascii="Times New Roman" w:hAnsi="Times New Roman"/>
        </w:rPr>
        <w:fldChar w:fldCharType="end"/>
      </w:r>
      <w:r w:rsidRPr="4E6AD041">
        <w:rPr>
          <w:rFonts w:ascii="Times New Roman" w:hAnsi="Times New Roman"/>
        </w:rPr>
        <w:t xml:space="preserve"> and planning of infrastructure needs. </w:t>
      </w:r>
    </w:p>
    <w:p w14:paraId="4E19DAA9" w14:textId="7CB10E56" w:rsidR="00326604" w:rsidRDefault="00326604" w:rsidP="0006468B">
      <w:pPr>
        <w:ind w:firstLine="360"/>
        <w:rPr>
          <w:rFonts w:ascii="Times New Roman" w:hAnsi="Times New Roman"/>
        </w:rPr>
      </w:pPr>
      <w:r w:rsidRPr="41F9602A">
        <w:rPr>
          <w:rFonts w:ascii="Times New Roman" w:hAnsi="Times New Roman"/>
        </w:rPr>
        <w:t xml:space="preserve">Using FUTURES, we ran 20 simulations for a </w:t>
      </w:r>
      <w:r w:rsidRPr="008644BA">
        <w:rPr>
          <w:rFonts w:ascii="Times New Roman" w:hAnsi="Times New Roman"/>
          <w:i/>
          <w:iCs/>
        </w:rPr>
        <w:t>Status Quo</w:t>
      </w:r>
      <w:r w:rsidRPr="41F9602A">
        <w:rPr>
          <w:rFonts w:ascii="Times New Roman" w:hAnsi="Times New Roman"/>
        </w:rPr>
        <w:t xml:space="preserve"> scenario and averaged runs in each country. Running a single simulation covering the entire study area took about 65 hours on </w:t>
      </w:r>
      <w:r w:rsidR="00AC5D21">
        <w:rPr>
          <w:rFonts w:ascii="Times New Roman" w:hAnsi="Times New Roman"/>
        </w:rPr>
        <w:t xml:space="preserve">an </w:t>
      </w:r>
      <w:r w:rsidR="00C8243A">
        <w:rPr>
          <w:rFonts w:ascii="Times New Roman" w:hAnsi="Times New Roman"/>
        </w:rPr>
        <w:t>Intel</w:t>
      </w:r>
      <w:r w:rsidR="008C4B5B">
        <w:rPr>
          <w:rFonts w:ascii="Times New Roman" w:hAnsi="Times New Roman"/>
        </w:rPr>
        <w:t>®</w:t>
      </w:r>
      <w:r w:rsidR="00083466">
        <w:rPr>
          <w:rFonts w:ascii="Times New Roman" w:hAnsi="Times New Roman"/>
        </w:rPr>
        <w:t xml:space="preserve"> </w:t>
      </w:r>
      <w:r w:rsidR="0080065A">
        <w:rPr>
          <w:rFonts w:ascii="Times New Roman" w:hAnsi="Times New Roman"/>
        </w:rPr>
        <w:t>Xeon</w:t>
      </w:r>
      <w:r w:rsidR="008C4B5B">
        <w:rPr>
          <w:rFonts w:ascii="Times New Roman" w:hAnsi="Times New Roman"/>
        </w:rPr>
        <w:t>®</w:t>
      </w:r>
      <w:r w:rsidR="009241CA">
        <w:rPr>
          <w:rFonts w:ascii="Times New Roman" w:hAnsi="Times New Roman"/>
        </w:rPr>
        <w:t xml:space="preserve"> Gold</w:t>
      </w:r>
      <w:r w:rsidR="002926FF">
        <w:rPr>
          <w:rFonts w:ascii="Times New Roman" w:hAnsi="Times New Roman"/>
        </w:rPr>
        <w:t xml:space="preserve"> 61</w:t>
      </w:r>
      <w:r w:rsidR="00927A3D">
        <w:rPr>
          <w:rFonts w:ascii="Times New Roman" w:hAnsi="Times New Roman"/>
        </w:rPr>
        <w:t>2</w:t>
      </w:r>
      <w:r w:rsidR="00FD5678">
        <w:rPr>
          <w:rFonts w:ascii="Times New Roman" w:hAnsi="Times New Roman"/>
        </w:rPr>
        <w:t xml:space="preserve">6 </w:t>
      </w:r>
      <w:r w:rsidR="00AE50E1">
        <w:rPr>
          <w:rFonts w:ascii="Times New Roman" w:hAnsi="Times New Roman"/>
        </w:rPr>
        <w:t>processor</w:t>
      </w:r>
      <w:r w:rsidRPr="41F9602A">
        <w:rPr>
          <w:rFonts w:ascii="Times New Roman" w:hAnsi="Times New Roman"/>
        </w:rPr>
        <w:t xml:space="preserve">, with 64-bit operating system and </w:t>
      </w:r>
      <w:r w:rsidR="008F2BE3">
        <w:rPr>
          <w:rFonts w:ascii="Times New Roman" w:hAnsi="Times New Roman"/>
        </w:rPr>
        <w:t>25</w:t>
      </w:r>
      <w:r w:rsidR="009F0280">
        <w:rPr>
          <w:rFonts w:ascii="Times New Roman" w:hAnsi="Times New Roman"/>
        </w:rPr>
        <w:t>6</w:t>
      </w:r>
      <w:r w:rsidRPr="41F9602A">
        <w:rPr>
          <w:rFonts w:ascii="Times New Roman" w:hAnsi="Times New Roman"/>
        </w:rPr>
        <w:t xml:space="preserve"> </w:t>
      </w:r>
      <w:r w:rsidR="008A7B78">
        <w:rPr>
          <w:rFonts w:ascii="Times New Roman" w:hAnsi="Times New Roman"/>
        </w:rPr>
        <w:t>g</w:t>
      </w:r>
      <w:r w:rsidR="00CA02ED">
        <w:rPr>
          <w:rFonts w:ascii="Times New Roman" w:hAnsi="Times New Roman"/>
        </w:rPr>
        <w:t>igabytes (G</w:t>
      </w:r>
      <w:r w:rsidRPr="41F9602A">
        <w:rPr>
          <w:rFonts w:ascii="Times New Roman" w:hAnsi="Times New Roman"/>
        </w:rPr>
        <w:t>B</w:t>
      </w:r>
      <w:r w:rsidR="00CA02ED">
        <w:rPr>
          <w:rFonts w:ascii="Times New Roman" w:hAnsi="Times New Roman"/>
        </w:rPr>
        <w:t>)</w:t>
      </w:r>
      <w:r w:rsidRPr="41F9602A">
        <w:rPr>
          <w:rFonts w:ascii="Times New Roman" w:hAnsi="Times New Roman"/>
        </w:rPr>
        <w:t xml:space="preserve"> </w:t>
      </w:r>
      <w:r w:rsidR="00F43380">
        <w:rPr>
          <w:rFonts w:ascii="Times New Roman" w:hAnsi="Times New Roman"/>
        </w:rPr>
        <w:t xml:space="preserve">installed </w:t>
      </w:r>
      <w:r w:rsidR="00CA02ED">
        <w:rPr>
          <w:rFonts w:ascii="Times New Roman" w:hAnsi="Times New Roman"/>
        </w:rPr>
        <w:t>read</w:t>
      </w:r>
      <w:r w:rsidR="00AC5D21">
        <w:rPr>
          <w:rFonts w:ascii="Times New Roman" w:hAnsi="Times New Roman"/>
        </w:rPr>
        <w:t>-</w:t>
      </w:r>
      <w:r w:rsidR="00CA02ED">
        <w:rPr>
          <w:rFonts w:ascii="Times New Roman" w:hAnsi="Times New Roman"/>
        </w:rPr>
        <w:t>only memory (R</w:t>
      </w:r>
      <w:r w:rsidRPr="41F9602A">
        <w:rPr>
          <w:rFonts w:ascii="Times New Roman" w:hAnsi="Times New Roman"/>
        </w:rPr>
        <w:t>AM</w:t>
      </w:r>
      <w:r w:rsidR="00CA02ED">
        <w:rPr>
          <w:rFonts w:ascii="Times New Roman" w:hAnsi="Times New Roman"/>
        </w:rPr>
        <w:t>)</w:t>
      </w:r>
      <w:r w:rsidRPr="41F9602A">
        <w:rPr>
          <w:rFonts w:ascii="Times New Roman" w:hAnsi="Times New Roman"/>
        </w:rPr>
        <w:t xml:space="preserve">. Due to time limitations, we decided on 20 simulation runs for the </w:t>
      </w:r>
      <w:r w:rsidRPr="41F9602A">
        <w:rPr>
          <w:rFonts w:ascii="Times New Roman" w:hAnsi="Times New Roman"/>
          <w:i/>
          <w:iCs/>
        </w:rPr>
        <w:t>Status Quo</w:t>
      </w:r>
      <w:r w:rsidRPr="41F9602A">
        <w:rPr>
          <w:rFonts w:ascii="Times New Roman" w:hAnsi="Times New Roman"/>
        </w:rPr>
        <w:t xml:space="preserve"> scenario and the corresponding calibration and validation. We found that pixels with over 20% probability of development closely captured the developed area in each country in 2020. There were higher amounts of misses and false alarms than hits, resulting in 4% - 16% accurate simulations across small, medium, and large cities in the study area. Thus, the FoM values ranged from 10% -16% for large cities in Togo and all city types in Nigeria, which was consistent with 10% – 30% accurate simulation percentage reported from most studies around the globe </w:t>
      </w:r>
      <w:r>
        <w:rPr>
          <w:rFonts w:ascii="Times New Roman" w:hAnsi="Times New Roman"/>
        </w:rPr>
        <w:fldChar w:fldCharType="begin"/>
      </w:r>
      <w:r>
        <w:rPr>
          <w:rFonts w:ascii="Times New Roman" w:hAnsi="Times New Roman"/>
        </w:rPr>
        <w:instrText xml:space="preserve"> ADDIN ZOTERO_ITEM CSL_CITATION {"citationID":"0qdpVTjJ","properties":{"formattedCitation":"(Chen et al., 2020; Pickard &amp; Meentemeyer, 2019; Pontius et al., 2008; van Vliet et al., 2016)","plainCitation":"(Chen et al., 2020; Pickard &amp; Meentemeyer, 2019; Pontius et al., 2008; van Vliet et al., 2016)","noteIndex":0},"citationItems":[{"id":604,"uris":["http://zotero.org/users/8906743/items/FPT9DWWY"],"itemData":{"id":604,"type":"article-journal","abstract":"Abstract\n            Despite its small land coverage, urban land and its expansion have exhibited profound impacts on global environments. Here, we present the scenario projections of global urban land expansion under the framework of the shared socioeconomic pathways (SSPs). Our projections feature a fine spatial resolution of 1 km to preserve spatial details. The projections reveal that although global urban land continues to expand rapidly before the 2040s, China and many other Asian countries are expected to encounter substantial pressure from urban population decline after the 2050s. Approximately 50–63% of the newly expanded urban land is expected to occur on current croplands. Global crop production will decline by approximately 1–4%, corresponding to the annual food needs for a certain crop of 122–1389 million people. These findings stress the importance of governing urban land development as a key measure to mitigate its negative impacts on food production.","container-title":"Nature Communications","DOI":"10.1038/s41467-020-14386-x","ISSN":"2041-1723","issue":"1","journalAbbreviation":"Nat Commun","language":"en","page":"537","source":"DOI.org (Crossref)","title":"Global projections of future urban land expansion under shared socioeconomic pathways","URL":"http://www.nature.com/articles/s41467-020-14386-x","volume":"11","author":[{"family":"Chen","given":"Guangzhao"},{"family":"Li","given":"Xia"},{"family":"Liu","given":"Xiaoping"},{"family":"Chen","given":"Yimin"},{"family":"Liang","given":"Xun"},{"family":"Leng","given":"Jiye"},{"family":"Xu","given":"Xiaocong"},{"family":"Liao","given":"Weilin"},{"family":"Qiu","given":"Yue’an"},{"family":"Wu","given":"Qianlian"},{"family":"Huang","given":"Kangning"}],"accessed":{"date-parts":[["2021",1,31]]},"issued":{"date-parts":[["2020",12]]}}},{"id":531,"uris":["http://zotero.org/users/8906743/items/V4PWED5Z"],"itemData":{"id":531,"type":"article-journal","abstract":"Land change models are increasingly being employed to predict future landscapes and inﬂuence policy and decision-making. To ensure the highest model accuracy, validation methods have become commonplace following a land change simulation. The most common validation method employed uses quantity and allocation disagreement. However, these current measures may not account for diﬀerences in the conﬁgurations of land change, placing them in potential conﬂict with the principals of heterogeneity and spatial patterning of landscape ecology. We develop a new metric, termed conﬁguration disagreement, designed to focus on the size, shape, and complexity of land change simulations. Using this metric, we demonstrate the value of including errors of conﬁguration disagreement – in addition to quantity and allocation error – in the assessment of land change models. Four computational experiments of land change that vary only in spatial pattern are developed using the FUTURES land change model. For each experiment, conﬁguration disagreement and the traditional validation metrics are computed simultaneously. Results indicate that models validated only with consideration of quantity and allocation error may misrepresent, or not fully account for, spatial patterns of landscape change. The research objective will ultimately guide which component, or components, of model disagreement are most critical for consideration. Yet, our work reveals why it may be more helpful to validate simulations in terms of conﬁguration accuracy. Speciﬁcally, if a study requires accurately modeling the spatial patterns and arrangements of land cover. Conﬁguration disagreement could add critical information with respect to a model's simulated changes in size, shape, and spatial arrangements, and possibly enhance ecologically meaningful land change science.","container-title":"Computers, Environment and Urban Systems","DOI":"10.1016/j.compenvurbsys.2019.101366","ISSN":"01989715","journalAbbreviation":"Computers, Environment and Urban Systems","language":"en","page":"101366","source":"DOI.org (Crossref)","title":"Validating land change models based on configuration disagreement","URL":"https://linkinghub.elsevier.com/retrieve/pii/S0198971518305921","volume":"77","author":[{"family":"Pickard","given":"Brian R."},{"family":"Meentemeyer","given":"Ross K."}],"accessed":{"date-parts":[["2022",4,10]]},"issued":{"date-parts":[["2019",9]]}}},{"id":2060,"uris":["http://zotero.org/users/8906743/items/84TEEEBC"],"itemData":{"id":2060,"type":"article-journal","abstract":"This paper applies methods of multiple resolution map comparison to quantify characteristics for 13 applications of 9 different popular peer-reviewed land change models. Each modeling application simulates change of land categories in raster maps from an initial time to a subsequent time. For each modeling application, the statistical methods compare: (1) a reference map of the initial time, (2) a reference map of the subsequent time, and (3) a prediction map of the subsequent time. The three possible two-map comparisons for each application characterize: (1) the dynamics of the landscape, (2) the behavior of the model, and (3) the accuracy of the prediction. The three-map comparison for each application specifies the amount of the prediction’s accuracy that is attributable to land persistence versus land change. Results show that the amount of error is larger than the amount of correctly predicted change for 12 of the 13 applications at the resolution of the raw data. The applications are summarized and compared using two statistics: the null resolution and the figure of merit. According to the figure of merit, the more accurate applications are the ones where the amount of observed net change in the reference maps is larger. This paper facilitates communication among land change modelers, because it illustrates the range of results for a variety of models using scientifically rigorous, generally applicable, and intellectually accessible statistical techniques.","container-title":"The Annals of Regional Science","DOI":"10.1007/s00168-007-0138-2","ISSN":"1432-0592","issue":"1","journalAbbreviation":"Ann Reg Sci","language":"en","page":"11-37","source":"Springer Link","title":"Comparing the input, output, and validation maps for several models of land change","URL":"https://doi.org/10.1007/s00168-007-0138-2","volume":"42","author":[{"family":"Pontius","given":"Robert Gilmore"},{"family":"Boersma","given":"Wideke"},{"family":"Castella","given":"Jean-Christophe"},{"family":"Clarke","given":"Keith"},{"family":"Nijs","given":"Ton","non-dropping-particle":"de"},{"family":"Dietzel","given":"Charles"},{"family":"Duan","given":"Zengqiang"},{"family":"Fotsing","given":"Eric"},{"family":"Goldstein","given":"Noah"},{"family":"Kok","given":"Kasper"},{"family":"Koomen","given":"Eric"},{"family":"Lippitt","given":"Christopher D."},{"family":"McConnell","given":"William"},{"family":"Mohd Sood","given":"Alias"},{"family":"Pijanowski","given":"Bryan"},{"family":"Pithadia","given":"Snehal"},{"family":"Sweeney","given":"Sean"},{"family":"Trung","given":"Tran Ngoc"},{"family":"Veldkamp","given":"A. Tom"},{"family":"Verburg","given":"Peter H."}],"accessed":{"date-parts":[["2024",6,21]]},"issued":{"date-parts":[["2008",3,1]]}}},{"id":524,"uris":["http://zotero.org/users/8906743/items/EX2ICC6V"],"itemData":{"id":524,"type":"article-journal","abstract":"Land-change models are increasingly used to explore land-change dynamics, as well as for policy analyses and scenario studies. In this paper we review calibration and validation approaches adopted for recently published applications of land-change models. We found that statistical analyses and automated procedures are the two most common calibration approaches, while expert knowledge, manual calibration, and transfer of parameters from other applications are less frequently u</w:instrText>
      </w:r>
      <w:r w:rsidRPr="00280D0A">
        <w:rPr>
          <w:rFonts w:ascii="Times New Roman" w:hAnsi="Times New Roman"/>
          <w:lang w:val="fr-FR"/>
        </w:rPr>
        <w:instrText>sed. Validation of model results is predominantly based on locational accuracy assessment, while a small fraction of the applications assessed the accuracy of the generated land-use or land-cover patterns. Of the reviewed model applications, thirty-one percent did not report any validation. We argue that to mature as a scienti</w:instrText>
      </w:r>
      <w:r>
        <w:rPr>
          <w:rFonts w:ascii="Times New Roman" w:hAnsi="Times New Roman"/>
        </w:rPr>
        <w:instrText>ﬁ</w:instrText>
      </w:r>
      <w:r w:rsidRPr="00280D0A">
        <w:rPr>
          <w:rFonts w:ascii="Times New Roman" w:hAnsi="Times New Roman"/>
          <w:lang w:val="fr-FR"/>
        </w:rPr>
        <w:instrText>c tool, and to gain credibility for scenario studies and policy assessments, the validation of land-change models requires consideration of challenges posed by uncertainty, complexity, and non-stationarity of landchange processes, and equi</w:instrText>
      </w:r>
      <w:r>
        <w:rPr>
          <w:rFonts w:ascii="Times New Roman" w:hAnsi="Times New Roman"/>
        </w:rPr>
        <w:instrText>ﬁ</w:instrText>
      </w:r>
      <w:r w:rsidRPr="00280D0A">
        <w:rPr>
          <w:rFonts w:ascii="Times New Roman" w:hAnsi="Times New Roman"/>
          <w:lang w:val="fr-FR"/>
        </w:rPr>
        <w:instrText>nality and multi</w:instrText>
      </w:r>
      <w:r>
        <w:rPr>
          <w:rFonts w:ascii="Times New Roman" w:hAnsi="Times New Roman"/>
        </w:rPr>
        <w:instrText>ﬁ</w:instrText>
      </w:r>
      <w:r w:rsidRPr="00280D0A">
        <w:rPr>
          <w:rFonts w:ascii="Times New Roman" w:hAnsi="Times New Roman"/>
          <w:lang w:val="fr-FR"/>
        </w:rPr>
        <w:instrText xml:space="preserve">nality of land-change models.","container-title":"Environmental Modelling &amp; Software","DOI":"10.1016/j.envsoft.2016.04.017","ISSN":"13648152","journalAbbreviation":"Environmental Modelling &amp; Software","language":"en","page":"174-182","source":"DOI.org (Crossref)","title":"A review of current calibration and validation practices in land-change modeling","URL":"https://linkinghub.elsevier.com/retrieve/pii/S1364815216301128","volume":"82","author":[{"family":"Vliet","given":"Jasper","non-dropping-particle":"van"},{"family":"Bregt","given":"Arnold K."},{"family":"Brown","given":"Daniel G."},{"family":"Delden","given":"Hedwig","non-dropping-particle":"van"},{"family":"Heckbert","given":"Scott"},{"family":"Verburg","given":"Peter H."}],"accessed":{"date-parts":[["2022",4,10]]},"issued":{"date-parts":[["2016",8]]}}}],"schema":"https://github.com/citation-style-language/schema/raw/master/csl-citation.json"} </w:instrText>
      </w:r>
      <w:r>
        <w:rPr>
          <w:rFonts w:ascii="Times New Roman" w:hAnsi="Times New Roman"/>
        </w:rPr>
        <w:fldChar w:fldCharType="separate"/>
      </w:r>
      <w:r w:rsidRPr="00280D0A">
        <w:rPr>
          <w:rFonts w:ascii="Times New Roman" w:hAnsi="Times New Roman"/>
          <w:lang w:val="fr-FR"/>
        </w:rPr>
        <w:t>(Chen et al., 2020; Pickard &amp; Meentemeyer, 2019; Pontius et al., 2008; van Vliet et al., 2016)</w:t>
      </w:r>
      <w:r>
        <w:rPr>
          <w:rFonts w:ascii="Times New Roman" w:hAnsi="Times New Roman"/>
        </w:rPr>
        <w:fldChar w:fldCharType="end"/>
      </w:r>
      <w:r w:rsidRPr="00280D0A">
        <w:rPr>
          <w:rFonts w:ascii="Times New Roman" w:hAnsi="Times New Roman"/>
          <w:lang w:val="fr-FR"/>
        </w:rPr>
        <w:t xml:space="preserve">. </w:t>
      </w:r>
      <w:r w:rsidRPr="41F9602A">
        <w:rPr>
          <w:rFonts w:ascii="Times New Roman" w:hAnsi="Times New Roman"/>
        </w:rPr>
        <w:t xml:space="preserve">The lower total developed area and percentage of the city boundary occupied by the developed area class indicate under simulation of future development in the study area. The underpredictions of the developed area were generally lower in small and medium-sized cities than in large cities in each country, except in Togo. This was due to the higher probability of the suitability surface in Togo's large cities. These low FoM values may indicate a dynamic in </w:t>
      </w:r>
      <w:r w:rsidRPr="41F9602A">
        <w:rPr>
          <w:rFonts w:ascii="Times New Roman" w:hAnsi="Times New Roman"/>
        </w:rPr>
        <w:lastRenderedPageBreak/>
        <w:t>the underlying approach to development in West African cities, where multiple rationalities and land tenure arrangements shape developments.</w:t>
      </w:r>
    </w:p>
    <w:p w14:paraId="50E67569" w14:textId="68488B18" w:rsidR="00326604" w:rsidRDefault="00326604" w:rsidP="0006468B">
      <w:pPr>
        <w:ind w:firstLine="360"/>
        <w:rPr>
          <w:rFonts w:ascii="Times New Roman" w:hAnsi="Times New Roman"/>
        </w:rPr>
      </w:pPr>
      <w:r w:rsidRPr="47608F22">
        <w:rPr>
          <w:rFonts w:ascii="Times New Roman" w:hAnsi="Times New Roman"/>
        </w:rPr>
        <w:t xml:space="preserve">Additionally, the higher number of patches in the simulated maps and consistently higher pattern metrics, including the normalized landscape shape index and the contiguous index in the reference maps, show that our simulations resulted in more dispersed urban expansion. This pattern of expansion, however, is consistent with previous urban expansion studies that generally find more sprawl expansion in West Africa, especially in the smaller cities </w:t>
      </w:r>
      <w:r>
        <w:rPr>
          <w:rFonts w:ascii="Times New Roman" w:hAnsi="Times New Roman"/>
        </w:rPr>
        <w:fldChar w:fldCharType="begin"/>
      </w:r>
      <w:r>
        <w:rPr>
          <w:rFonts w:ascii="Times New Roman" w:hAnsi="Times New Roman"/>
        </w:rPr>
        <w:instrText xml:space="preserve"> ADDIN ZOTERO_ITEM CSL_CITATION {"citationID":"eCznnfOY","properties":{"formattedCitation":"(Enoguanbhor et al., 2022; Korah &amp; Wimberly, 2024b; Linard et al., 2013)","plainCitation":"(Enoguanbhor et al., 2022; Korah &amp; Wimberly, 2024b; Linard et al., 2013)","noteIndex":0},"citationItems":[{"id":583,"uris":["http://zotero.org/users/8906743/items/LIDBKJY2"],"itemData":{"id":583,"type":"article-journal","abstract":"In the Global South, including the Sub-Saharan African city-regions, the possible future urban expansion patterns may pose a challenge towards improving environmental sustainability. Land use planning strategies and instruments for regulating urban expansion are faced with challenges, including insufficient data availability to offer insights into the possible future urban expansion. This study integrated empirical data derived from Geographic Information Systems, Remote Sensing, and surveys of experts to offer insights into the possible future urban expansion under spatial planning scenarios to support land use planning and environmental sustainability of city-regions. We analyzed the spatial determinants of urban expansion, calibrated the land cover model using the Multi-Layer Perceptron Neural Network and Markov, and developed three scenarios to simulate land cover from 2017 to 2030 and to 2050. The scenarios include Business As Usual that extrapolates past trends; Regional Land Use Plan that restricts urban expansion to the land designated for urban development, and; Adjusted Urban Land that incorporates the leapfrogged settlements into the land designated for urban development. Additionally, we quantified the potential degradation of environmentally sensitive areas by future urban expansion under the three scenarios. Results indicated a high, little, and no potential degradation of environmentally sensitive areas by the future urban expansion under the Business As Usual, Adjusted Urban Land, and Regional Land Use Plan scenarios respectively. The methods and the baseline information provided, especially from the Adjusted Urban Land scenario showed the possibility of balancing the need for urban expansion and the protection of environmentally sensitive areas. This would be useful to improve the environmental sustainability of the Sub-Saharan African city-regions and across the Global South, where insufficient data availability challenges land use planning.","container-title":"GeoJournal","DOI":"10.1007/s10708-020-10317-x","ISSN":"1572-9893","issue":"3","journalAbbreviation":"GeoJournal","language":"en","page":"1479-1497","source":"Springer Link","title":"Simulating Urban Land Expansion in the Context of Land Use Planning in the Abuja City-Region, Nigeria","URL":"https://doi.org/10.1007/s10708-020-10317-x","volume":"87","author":[{"family":"Enoguanbhor","given":"Evidence Chinedu"},{"family":"Gollnow","given":"Florian"},{"family":"Walker","given":"Blake Byron"},{"family":"Nielsen","given":"Jonas Ostergaard"},{"family":"Lakes","given":"Tobia"}],"accessed":{"date-parts":[["2023",11,27]]},"issued":{"date-parts":[["2022",6,1]]}}},{"id":1977,"uris":["http://zotero.org/users/8906743/items/889NZRIP"],"itemData":{"id":1977,"type":"article-journal","abstract":"Urban expansion studies are often biased toward large cities with populations greater than 1 million, while small and medium cities with smaller populations are overlooked. We mapped and assessed the expansion of 1603 cities across Ghana, Togo, Benin, and Nigeria using impervious surface data generated from Landsat from 2001 to 2020. We classified pixels with &gt;20 % impervious as developed with 93 % overall accuracy. Total developed area increased 2.3-fold from 4001 km² in 2001 to 9402 km² in 2020. Of the expanded area, more than half (54 %) occurred in small and medium cities, and 73 % was sprawl. The mean annual expansion rate was 4.6 %.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Benin and Togo. Although much attention is focused on large megacities, these results show that smaller and more numerous cities contribute substantially to urban expansion and need to be incorporated into regional assessments of urban growth and its impacts.","container-title":"Sustainable Cities and Society","DOI":"10.1016/j.scs.2024.105381","ISSN":"2210-6707","journalAbbreviation":"Sustainable Cities and Society","page":"105381","source":"ScienceDirect","title":"Smaller cities have large impacts on West Africa's expanding urban system","URL":"https://www.sciencedirect.com/science/article/pii/S2210670724002099","volume":"106","author":[{"family":"Korah","given":"Andrews"},{"family":"Wimberly","given":"Michael C."}],"accessed":{"date-parts":[["2024",4,8]]},"issued":{"date-parts":[["2024",7,1]]}}},{"id":21,"uris":["http://zotero.org/users/8906743/items/LQVZXG5S"],"itemData":{"id":21,"type":"article-journal","abstract":"The population of Africa is predicted to double over the next 40 years, driving exceptionally high urban expansion rates that will induce signiﬁcant socio-economic, environmental and health changes. In order to prepare for these changes, it is important to better understand urban growth dynamics in Africa and better predict the spatial pattern of rural-urban conversions. Previous work on urban expansion has been carried out at the city level or at the global level with a relatively coarse 5e10 km resolution. The main objective of the present paper was to develop a modelling approach at an intermediate scale in order to identify factors that inﬂuence spatial patterns of urban expansion in Africa. Boosted Regression Tree models</w:instrText>
      </w:r>
      <w:r w:rsidRPr="00326604">
        <w:rPr>
          <w:rFonts w:ascii="Times New Roman" w:hAnsi="Times New Roman"/>
        </w:rPr>
        <w:instrText xml:space="preserve"> were developed to predict the spatial pattern of rural-urban conversions in every large African city. Urban change data between circa 1990 and circa 2000 available for 20 large cities across Africa were used as training data. Results showed that the urban land in a 1 km neighbourhood and the accessibility to the city centre were the most in</w:instrText>
      </w:r>
      <w:r>
        <w:rPr>
          <w:rFonts w:ascii="Times New Roman" w:hAnsi="Times New Roman"/>
        </w:rPr>
        <w:instrText>ﬂ</w:instrText>
      </w:r>
      <w:r w:rsidRPr="00326604">
        <w:rPr>
          <w:rFonts w:ascii="Times New Roman" w:hAnsi="Times New Roman"/>
        </w:rPr>
        <w:instrText xml:space="preserve">uential variables. Results obtained were generally more accurate than results obtained using a distance-based urban expansion model and showed that the spatial pattern of small, compact and fast growing cities were easier to simulate than cities with lower population densities and a lower growth rate. The simulation method developed here will allow the production of spatially detailed urban expansion forecasts for 2020 and 2025 for Africa, data that are increasingly required by global change modellers.","container-title":"Applied Geography","DOI":"10.1016/j.apgeog.2013.07.009","ISSN":"01436228","journalAbbreviation":"Applied Geography","language":"en","page":"23-32","source":"DOI.org (Crossref)","title":"Modelling spatial patterns of urban growth in Africa","URL":"https://linkinghub.elsevier.com/retrieve/pii/S0143622813001707","volume":"44","author":[{"family":"Linard","given":"Catherine"},{"family":"Tatem","given":"Andrew J."},{"family":"Gilbert","given":"Marius"}],"accessed":{"date-parts":[["2021",1,31]]},"issued":{"date-parts":[["2013",10]]}}}],"schema":"https://github.com/citation-style-language/schema/raw/master/csl-citation.json"} </w:instrText>
      </w:r>
      <w:r>
        <w:rPr>
          <w:rFonts w:ascii="Times New Roman" w:hAnsi="Times New Roman"/>
        </w:rPr>
        <w:fldChar w:fldCharType="separate"/>
      </w:r>
      <w:r w:rsidRPr="00326604">
        <w:rPr>
          <w:rFonts w:ascii="Times New Roman" w:hAnsi="Times New Roman"/>
        </w:rPr>
        <w:t>(Enoguanbhor et al., 2022; Korah &amp; Wimberly, 2024</w:t>
      </w:r>
      <w:r w:rsidR="001835A3">
        <w:rPr>
          <w:rFonts w:ascii="Times New Roman" w:hAnsi="Times New Roman"/>
        </w:rPr>
        <w:t>c</w:t>
      </w:r>
      <w:r w:rsidRPr="00326604">
        <w:rPr>
          <w:rFonts w:ascii="Times New Roman" w:hAnsi="Times New Roman"/>
        </w:rPr>
        <w:t>; Linard et al., 2013)</w:t>
      </w:r>
      <w:r>
        <w:rPr>
          <w:rFonts w:ascii="Times New Roman" w:hAnsi="Times New Roman"/>
        </w:rPr>
        <w:fldChar w:fldCharType="end"/>
      </w:r>
      <w:r w:rsidRPr="00326604">
        <w:rPr>
          <w:rFonts w:ascii="Times New Roman" w:hAnsi="Times New Roman"/>
        </w:rPr>
        <w:t xml:space="preserve">. </w:t>
      </w:r>
      <w:r w:rsidRPr="47608F22">
        <w:rPr>
          <w:rFonts w:ascii="Times New Roman" w:hAnsi="Times New Roman"/>
        </w:rPr>
        <w:t>Overall, the difference in the number of misses, false alarms, hits, and overall quantity and pattern metrics disagreements between the reference and simulated maps for 2020 in all cities is likely influenced by differences in predictors across individual cities, and our calibration did not account for city level variation in calibration and parameterization.</w:t>
      </w:r>
    </w:p>
    <w:p w14:paraId="3D282094" w14:textId="77777777" w:rsidR="00326604" w:rsidRDefault="00326604" w:rsidP="00326604">
      <w:pPr>
        <w:spacing w:line="240" w:lineRule="auto"/>
        <w:ind w:firstLine="360"/>
        <w:jc w:val="both"/>
        <w:rPr>
          <w:rFonts w:ascii="Times New Roman" w:hAnsi="Times New Roman"/>
        </w:rPr>
      </w:pPr>
    </w:p>
    <w:p w14:paraId="3D293799" w14:textId="77777777" w:rsidR="00103457" w:rsidRPr="00103457" w:rsidRDefault="00103457" w:rsidP="00277F12">
      <w:pPr>
        <w:pStyle w:val="Heading3"/>
      </w:pPr>
      <w:bookmarkStart w:id="172" w:name="_Toc172288761"/>
      <w:r w:rsidRPr="00103457">
        <w:t>Future expansion rates</w:t>
      </w:r>
      <w:bookmarkEnd w:id="172"/>
      <w:r w:rsidRPr="00103457">
        <w:t xml:space="preserve"> </w:t>
      </w:r>
    </w:p>
    <w:p w14:paraId="5341842D" w14:textId="30AFA19B" w:rsidR="006B2D75" w:rsidRDefault="006B2D75" w:rsidP="0006468B">
      <w:pPr>
        <w:ind w:firstLine="360"/>
        <w:rPr>
          <w:rFonts w:ascii="Times New Roman" w:hAnsi="Times New Roman"/>
        </w:rPr>
      </w:pPr>
      <w:r w:rsidRPr="4E6AD041">
        <w:rPr>
          <w:rFonts w:ascii="Times New Roman" w:hAnsi="Times New Roman"/>
        </w:rPr>
        <w:t xml:space="preserve">We quantified the total simulated developed area and annual expansion rates across countries from 2020 to 2050. Across the study area, we found that the simulated developed area increased an average of 8.7 times over 30-year intervals, with the highest increase of 9.6 times in Ghana and the lowest being 3.9 times in Benin. The annual expansion rates across countries were highest in Ghana from 2020 – 2030, and this rate was consistently highest in Togo from 2030 – 2040 and 2040 – 2050. Also, the expansion rates across administrative units generally ranged from 3.8% to 14.3%, consistent with rates from previous regional studies </w:t>
      </w:r>
      <w:r>
        <w:rPr>
          <w:rFonts w:ascii="Times New Roman" w:hAnsi="Times New Roman"/>
        </w:rPr>
        <w:fldChar w:fldCharType="begin"/>
      </w:r>
      <w:r>
        <w:rPr>
          <w:rFonts w:ascii="Times New Roman" w:hAnsi="Times New Roman"/>
        </w:rPr>
        <w:instrText xml:space="preserve"> ADDIN ZOTERO_ITEM CSL_CITATION {"citationID":"1bBdV2rB","properties":{"formattedCitation":"(Chen et al., 2020; Korah &amp; Wimberly, 2024b; Seto et al., 2012)","plainCitation":"(Chen et al., 2020; Korah &amp; Wimberly, 2024b; Seto et al., 2012)","noteIndex":0},"citationItems":[{"id":604,"uris":["http://zotero.org/users/8906743/items/FPT9DWWY"],"itemData":{"id":604,"type":"article-journal","abstract":"Abstract\n            Despite its small land coverage, urban land and its expansion have exhibited profound impacts on global environments. Here, we present the scenario projections of global urban land expansion under the framework of the shared socioeconomic pathways (SSPs). Our projections feature a fine spatial resolution of 1 km to preserve spatial details. The projections reveal that although global urban land continues to expand rapidly before the 2040s, China and many other Asian countries are expected to encounter substantial pressure from urban population decline after the 2050s. Approximately 50–63% of the newly expanded urban land is expected to occur on current croplands. Global crop production will decline by approximately 1–4%, corresponding to the annual food needs for a certain crop of 122–1389 million people. These findings stress the importance of governing urban land development as a key measure to mitigate its negative impacts on food production.","container-title":"Nature Communications","DOI":"10.1038/s41467-020-14386-x","ISSN":"2041-1723","issue":"1","journalAbbreviation":"Nat Commun","language":"en","page":"537","source":"DOI.org (Crossref)","title":"Global projections of future urban land expansion under shared socioeconomic pathways","URL":"http://www.nature.com/articles/s41467-020-14386-x","volume":"11","author":[{"family":"Chen","given":"Guangzhao"},{"family":"Li","given":"Xia"},{"family":"Liu","given":"Xiaoping"},{"family":"Chen","given":"Yimin"},{"family":"Liang","given":"Xun"},{"family":"Leng","given":"Jiye"},{"family":"Xu","given":"Xiaocong"},{"family":"Liao","given":"Weilin"},{"family":"Qiu","given":"Yue’an"},{"family":"Wu","given":"Qianlian"},{"family":"Huang","given":"Kangning"}],"accessed":{"date-parts":[["2021",1,31]]},"issued":{"date-parts":[["2020",12]]}}},{"id":1977,"uris":["http://zotero.org/users/8906743/items/889NZRIP"],"itemData":{"id":1977,"type":"article-journal","abstract":"Urban expansion studies are often biased toward large cities with populations greater than 1 million, while small and medium cities with smaller populations are overlooked. We mapped and assessed the expansion of 1603 cities across Ghana, Togo, Benin, and Nigeria using impervious surface data generated from Landsat from 2001 to 2020. We classified pixels with &gt;20 % impervious as developed with 93 % overall accuracy. Total developed area increased 2.3-fold from 4001 km² in 2001 to 9402 km² in 2020. Of the expanded area, more than half (54 %) occurred in small and medium cities, and 73 % was sprawl. The mean annual expansion rate was 4.6 %.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Benin and Togo. Although much attention is focused on large megacities, these results show that smaller and more numerous cities contribute substantially to urban expansion and need to be incorporated into regional assessments of urban growth and its impacts.","container-title":"Sustainable Cities and Society","DOI":"10.1016/j.scs.2024.105381","ISSN":"2210-6707","journalAbbreviation":"Sustainable Cities and Society","page":"105381","source":"ScienceDirect","title":"Smaller cities have large impacts on West Africa's expanding urban system","URL":"https://www.sciencedirect.com/science/article/pii/S2210670724002099","volume":"106","author":[{"family":"Korah","given":"Andrews"},{"family":"Wimberly","given":"Michael C."}],"accessed":{"date-parts":[["2024",4,8]]},"issued":{"date-parts":[["2024",7,1]]}}},{"id":374,"uris":["http://zotero.org/users/8906743/items/WUYN92SH"],"itemData":{"id":374,"type":"article-journal","container-title":"Proceedings of the National Academy of Sciences","DOI":"10.1073/pnas.1211658109","ISSN":"0027-8424, 1091-6490","issue":"40","journalAbbreviation":"Proceedings of the National Academy of Sciences","language":"en","page":"16083-16088","source":"DOI.org (Crossref)","title":"Global forecasts of urban expansion to 2030 and direct impacts on biodiversity and carbon pools","URL":"http://www.pnas.org/cgi/doi/10.1073/pnas.1211658109","volume":"109","author":[{"family":"Seto","given":"K. C."},{"family":"Guneralp","given":"B."},{"family":"Hutyra","given":"L. R."}],"accessed":{"date-parts":[["2022",1,30]]},"issued":{"date-parts":[["2012",10,2]]}}}],"schema":"https://github.com/citation-style-language/schema/raw/master/csl-citation.json"} </w:instrText>
      </w:r>
      <w:r>
        <w:rPr>
          <w:rFonts w:ascii="Times New Roman" w:hAnsi="Times New Roman"/>
        </w:rPr>
        <w:fldChar w:fldCharType="separate"/>
      </w:r>
      <w:r w:rsidRPr="00A8562C">
        <w:rPr>
          <w:rFonts w:ascii="Times New Roman" w:hAnsi="Times New Roman"/>
        </w:rPr>
        <w:t>(Chen et al., 2020; Korah &amp; Wimberly, 2024</w:t>
      </w:r>
      <w:r w:rsidR="00AF1BE0">
        <w:rPr>
          <w:rFonts w:ascii="Times New Roman" w:hAnsi="Times New Roman"/>
        </w:rPr>
        <w:t>c</w:t>
      </w:r>
      <w:r w:rsidRPr="00A8562C">
        <w:rPr>
          <w:rFonts w:ascii="Times New Roman" w:hAnsi="Times New Roman"/>
        </w:rPr>
        <w:t>; Seto et al., 2012)</w:t>
      </w:r>
      <w:r>
        <w:rPr>
          <w:rFonts w:ascii="Times New Roman" w:hAnsi="Times New Roman"/>
        </w:rPr>
        <w:fldChar w:fldCharType="end"/>
      </w:r>
      <w:r w:rsidRPr="4E6AD041">
        <w:rPr>
          <w:rFonts w:ascii="Times New Roman" w:hAnsi="Times New Roman"/>
        </w:rPr>
        <w:t xml:space="preserve">. The simulation results reveal that annual urban expansion rates increased rapidly, with significantly higher rates from 2030 to 2040 than other intervals. Also, our findings show that the rate of urban expansion varied across and within </w:t>
      </w:r>
      <w:r w:rsidRPr="4E6AD041">
        <w:rPr>
          <w:rFonts w:ascii="Times New Roman" w:hAnsi="Times New Roman"/>
        </w:rPr>
        <w:lastRenderedPageBreak/>
        <w:t>countries. Most of the highest expansion rates from 2020 – 2030 mostly occurred in the southern and coastal parts of the countries, reflecting the historical concentration of infrastructure in and around large cities. The 2030 – 2040 and 2040 – 2050 intervals show lower expansion rates in the coastal parts, probably because the most suitable areas were developed in preceding intervals, likely resulting in lower allocations of developments.</w:t>
      </w:r>
    </w:p>
    <w:p w14:paraId="7146B0E3" w14:textId="13DF92F2" w:rsidR="00103457" w:rsidRPr="00103457" w:rsidRDefault="00103457" w:rsidP="007402DC">
      <w:pPr>
        <w:spacing w:line="240" w:lineRule="auto"/>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 </w:t>
      </w:r>
    </w:p>
    <w:p w14:paraId="62242541" w14:textId="3231879C" w:rsidR="00103457" w:rsidRPr="00103457" w:rsidRDefault="00103457" w:rsidP="00277F12">
      <w:pPr>
        <w:pStyle w:val="Heading3"/>
      </w:pPr>
      <w:r w:rsidRPr="00103457">
        <w:t xml:space="preserve"> </w:t>
      </w:r>
      <w:bookmarkStart w:id="173" w:name="_Toc172288762"/>
      <w:r w:rsidRPr="00103457">
        <w:t>Policy implications of expansion rates</w:t>
      </w:r>
      <w:bookmarkEnd w:id="173"/>
    </w:p>
    <w:p w14:paraId="29723277" w14:textId="4FA63EC2" w:rsidR="00255155" w:rsidRDefault="00255155" w:rsidP="0006468B">
      <w:pPr>
        <w:ind w:firstLine="360"/>
        <w:rPr>
          <w:rFonts w:ascii="Times New Roman" w:hAnsi="Times New Roman"/>
        </w:rPr>
      </w:pPr>
      <w:r w:rsidRPr="09B8FE07">
        <w:rPr>
          <w:rFonts w:ascii="Times New Roman" w:hAnsi="Times New Roman"/>
        </w:rPr>
        <w:t xml:space="preserve">The simulation results here provide broad national and regional trends in urban expansion, rather than localized application, and the potential of projecting future expansion using FUTURES. To our knowledge, this is the first application of the FUTURES modeling framework in Africa, and the results are not necessarily suitable for individual city or neighborhood-level planning in the study area. However, the results still have broader national and regional implications for people and the environment in West Africa, a global hotspot of current and future urban expansion </w:t>
      </w:r>
      <w:r>
        <w:rPr>
          <w:rFonts w:ascii="Times New Roman" w:hAnsi="Times New Roman"/>
        </w:rPr>
        <w:fldChar w:fldCharType="begin"/>
      </w:r>
      <w:r>
        <w:rPr>
          <w:rFonts w:ascii="Times New Roman" w:hAnsi="Times New Roman"/>
        </w:rPr>
        <w:instrText xml:space="preserve"> ADDIN ZOTERO_ITEM CSL_CITATION {"citationID":"zsy4Dg9X","properties":{"formattedCitation":"(Korah &amp; Wimberly, 2024b; Seto et al., 2012)","plainCitation":"(Korah &amp; Wimberly, 2024b; Seto et al., 2012)","noteIndex":0},"citationItems":[{"id":1977,"uris":["http://zotero.org/users/8906743/items/889NZRIP"],"itemData":{"id":1977,"type":"article-journal","abstract":"Urban expansion studies are often biased toward large cities with populations greater than 1 million, while small and medium cities with smaller populations are overlooked. We mapped and assessed the expansion of 1603 cities across Ghana, Togo, Benin, and Nigeria using impervious surface data generated from Landsat from 2001 to 2020. We classified pixels with &gt;20 % impervious as developed with 93 % overall accuracy. Total developed area increased 2.3-fold from 4001 km² in 2001 to 9402 km² in 2020. Of the expanded area, more than half (54 %) occurred in small and medium cities, and 73 % was sprawl. The mean annual expansion rate was 4.6 %.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Benin and Togo. Although much attention is focused on large megacities, these results show that smaller and more numerous cities contribute substantially to urban expansion and need to be incorporated into regional assessments of urban growth and its impacts.","container-title":"Sustainable Cities and Society","DOI":"10.1016/j.scs.2024.105381","ISSN":"2210-6707","journalAbbreviation":"Sustainable Cities and Society","page":"105381","source":"ScienceDirect","title":"Smaller cities have large impacts on West Africa's expanding urban system","URL":"https://www.sciencedirect.com/science/article/pii/S2210670724002099","volume":"106","author":[{"family":"Korah","given":"Andrews"},{"family":"Wimberly","given":"Michael C."}],"accessed":{"date-parts":[["2024",4,8]]},"issued":{"date-parts":[["2024",7,1]]}}},{"id":374,"uris":["http://zotero.org/users/8906743/items/WUYN92SH"],"itemData":{"id":374,"type":"article-journal","container-title":"Proceedings of the National Academy of Sciences","DOI":"10.1073/pnas.1211658109","ISSN":"0027-8424, 1091-6490","issue":"40","journalAbbreviation":"Proceedings of the National Academy of Sciences","language":"en","page":"16083-16088","source":"DOI.org (Crossref)","title":"Global forecasts of urban expansion to 2030 and direct impacts on biodiversity and carbon pools","URL":"http://www.pnas.org/cgi/doi/10.1073/pnas.1211658109","volume":"109","author":[{"family":"Seto","given":"K. C."},{"family":"Guneralp","given":"B."},{"family":"Hutyra","given":"L. R."}],"accessed":{"date-parts":[["2022",1,30]]},"issued":{"date-parts":[["2012",10,2]]}}}],"schema":"https://github.com/citation-style-language/schema/raw/master/csl-citation.json"} </w:instrText>
      </w:r>
      <w:r>
        <w:rPr>
          <w:rFonts w:ascii="Times New Roman" w:hAnsi="Times New Roman"/>
        </w:rPr>
        <w:fldChar w:fldCharType="separate"/>
      </w:r>
      <w:r w:rsidRPr="00066555">
        <w:rPr>
          <w:rFonts w:ascii="Times New Roman" w:hAnsi="Times New Roman"/>
        </w:rPr>
        <w:t>(Korah &amp; Wimberly, 2024</w:t>
      </w:r>
      <w:r w:rsidR="004E3C70">
        <w:rPr>
          <w:rFonts w:ascii="Times New Roman" w:hAnsi="Times New Roman"/>
        </w:rPr>
        <w:t>c</w:t>
      </w:r>
      <w:r w:rsidRPr="00066555">
        <w:rPr>
          <w:rFonts w:ascii="Times New Roman" w:hAnsi="Times New Roman"/>
        </w:rPr>
        <w:t>; Seto et al., 2012)</w:t>
      </w:r>
      <w:r>
        <w:rPr>
          <w:rFonts w:ascii="Times New Roman" w:hAnsi="Times New Roman"/>
        </w:rPr>
        <w:fldChar w:fldCharType="end"/>
      </w:r>
      <w:r w:rsidRPr="09B8FE07">
        <w:rPr>
          <w:rFonts w:ascii="Times New Roman" w:hAnsi="Times New Roman"/>
        </w:rPr>
        <w:t>.</w:t>
      </w:r>
    </w:p>
    <w:p w14:paraId="1D06BD0C" w14:textId="77777777" w:rsidR="00255155" w:rsidRPr="00255155" w:rsidRDefault="00255155" w:rsidP="0006468B">
      <w:pPr>
        <w:ind w:firstLine="360"/>
        <w:rPr>
          <w:rFonts w:ascii="Times New Roman" w:hAnsi="Times New Roman"/>
        </w:rPr>
      </w:pPr>
      <w:r w:rsidRPr="09B8FE07">
        <w:rPr>
          <w:rFonts w:ascii="Times New Roman" w:hAnsi="Times New Roman"/>
        </w:rPr>
        <w:t xml:space="preserve">Globally, previous studies of urban expansion often found that future expansion threatens biodiversity and protected areas and encroaches on croplands </w:t>
      </w:r>
      <w:r>
        <w:rPr>
          <w:rFonts w:ascii="Times New Roman" w:hAnsi="Times New Roman"/>
        </w:rPr>
        <w:fldChar w:fldCharType="begin"/>
      </w:r>
      <w:r>
        <w:rPr>
          <w:rFonts w:ascii="Times New Roman" w:hAnsi="Times New Roman"/>
        </w:rPr>
        <w:instrText xml:space="preserve"> ADDIN ZOTERO_ITEM CSL_CITATION {"citationID":"YN8CY1u1","properties":{"formattedCitation":"(Bren d\\uc0\\u8217{}Amour et al., 2017; Tu et al., 2021)","plainCitation":"(Bren d’Amour et al., 2017; Tu et al., 2021)","noteIndex":0},"citationItems":[{"id":610,"uris":["http://zotero.org/users/8906743/items/YP64IZYY"],"itemData":{"id":610,"type":"article-journal","abstract":"Urban expansion often occurs on croplands. However, there is little scientific understanding of how global patterns of future urban expansion will affect the world’s cultivated areas. Here, we combine spatially explicit projections of urban expansion with datasets on global croplands and crop yields. Our results show that urban expansion will result in a 1.8–2.4% loss of global croplands by 2030, with substantial regional disparities. About 80% of global cropland loss from urban expansion will take place in Asia and Africa. In both Asia and Africa, much of the cropland that will be lost is more than twice as productive as national averages. Asia will experience the highest absolute loss in cropland, whereas African countries will experience the highest percentage loss of cropland. Globally, the croplands that are likely to be lost were responsible for 3–4% of worldwide crop production in 2000. Urban expansion is expected to take place on cropland that is 1.77 times more productive than the global average. The loss of cropland is likely to be accompanied by other sustainability risks and threatens livelihoods, with diverging characteristics for different megaurban regions. Governance of urban area expansion thus emerges as a key area for securing livelihoods in the agrarian economies of the Global South.","container-title":"Proceedings of the National Academy of Sciences of the United States of America","DOI":"10.1073/pnas.1606036114","ISSN":"0027-8424, 1091-6490","issue":"34","journalAbbreviation":"Proc Natl Acad Sci USA","language":"en","page":"8939-8944","source":"DOI.org (Crossref)","title":"Future urban land expansion and implications for global croplands","URL":"http://www.pnas.org/lookup/doi/10.1073/pnas.1606036114","volume":"114","author":[{"family":"Bren d’Amour","given":"Christopher"},{"family":"Reitsma","given":"Femke"},{"family":"Baiocchi","given":"Giovanni"},{"family":"Barthel","given":"Stephan"},{"family":"Güneralp","given":"Burak"},{"fami</w:instrText>
      </w:r>
      <w:r w:rsidRPr="00066555">
        <w:rPr>
          <w:rFonts w:ascii="Times New Roman" w:hAnsi="Times New Roman"/>
        </w:rPr>
        <w:instrText>ly":"Erb","given":"Karl-Heinz"},{"family":"Haberl","given":"Helmut"},{"family":"Creutzig","given":"Felix"},{"family":"Seto","given":"Karen C."}],"accessed":{"date-parts":[["2022",2,4]]},"issued":{"date-parts":[["2017",8,22]]}}},{"id":815,"uris":["http://zotero.org/users/8906743/items/F2WMUCZB"],"itemData":{"id":815,"type":"article-journal","abstract":"Characterized by intensive urban sprawl and continuous cropland shrinkage, the unprecedented urbanization process has profoundly reshape</w:instrText>
      </w:r>
      <w:r w:rsidRPr="00255155">
        <w:rPr>
          <w:rFonts w:ascii="Times New Roman" w:hAnsi="Times New Roman"/>
        </w:rPr>
        <w:instrText xml:space="preserve">d China’s landscape over the past four decades. However, the interaction between urban expansion and cropland loss in China at a finer spatiotemporal resolution remains unclear.","container-title":"Landscape Ecology","DOI":"10.1007/s10980-020-01137-y","ISSN":"1572-9761","issue":"1","journalAbbreviation":"Landscape Ecol","language":"en","page":"243-263","source":"Springer Link","title":"How does urban expansion interact with cropland loss? A comparison of 14 Chinese cities from 1980 to 2015","title-short":"How does urban expansion interact with cropland loss?","URL":"https://doi.org/10.1007/s10980-020-01137-y","volume":"36","author":[{"family":"Tu","given":"Ying"},{"family":"Chen","given":"Bin"},{"family":"Yu","given":"Le"},{"family":"Xin","given":"Qinchuan"},{"family":"Gong","given":"Peng"},{"family":"Xu","given":"Bing"}],"accessed":{"date-parts":[["2023",4,30]]},"issued":{"date-parts":[["2021",1,1]]}}}],"schema":"https://github.com/citation-style-language/schema/raw/master/csl-citation.json"} </w:instrText>
      </w:r>
      <w:r>
        <w:rPr>
          <w:rFonts w:ascii="Times New Roman" w:hAnsi="Times New Roman"/>
        </w:rPr>
        <w:fldChar w:fldCharType="separate"/>
      </w:r>
      <w:r w:rsidRPr="00255155">
        <w:rPr>
          <w:rFonts w:ascii="Times New Roman" w:hAnsi="Times New Roman"/>
        </w:rPr>
        <w:t>(Bren d’Amour et al., 2017; Tu et al., 2021)</w:t>
      </w:r>
      <w:r>
        <w:rPr>
          <w:rFonts w:ascii="Times New Roman" w:hAnsi="Times New Roman"/>
        </w:rPr>
        <w:fldChar w:fldCharType="end"/>
      </w:r>
      <w:r w:rsidRPr="00255155">
        <w:rPr>
          <w:rFonts w:ascii="Times New Roman" w:hAnsi="Times New Roman"/>
        </w:rPr>
        <w:t xml:space="preserve">. </w:t>
      </w:r>
      <w:r w:rsidRPr="09B8FE07">
        <w:rPr>
          <w:rFonts w:ascii="Times New Roman" w:hAnsi="Times New Roman"/>
        </w:rPr>
        <w:t xml:space="preserve">Some studies found that over 1.4 million square kilometers of urban land are projected to merge within 50 km of protected areas </w:t>
      </w:r>
      <w:r>
        <w:rPr>
          <w:rFonts w:ascii="Times New Roman" w:hAnsi="Times New Roman"/>
        </w:rPr>
        <w:fldChar w:fldCharType="begin"/>
      </w:r>
      <w:r>
        <w:rPr>
          <w:rFonts w:ascii="Times New Roman" w:hAnsi="Times New Roman"/>
        </w:rPr>
        <w:instrText xml:space="preserve"> ADDIN ZOTERO_ITEM CSL_CITATION {"citationID":"VqsWPgT2","properties":{"formattedCitation":"(G\\uc0\\u252{}neralp &amp; Seto, 2013; Seto et al., 2012)","plainCitation":"(Güneralp &amp; Seto, 2013; Seto et al., 2012)","noteIndex":0},"citationItems":[{"id":676,"uris":["http://zotero.org/users/8906743/items/VXTF5SRC"],"itemData":{"id":676,"type":"article-journal","abstract":"Urbanization will place signiﬁcant pressures on biodiversity across the world. However, there are large uncertainties in the amount and location of future urbanization, particularly urban land expansion. Here, we present a global analysis of urban extent circa 2000 and probabilistic forecasts of urban expansion for 2030 near protected areas and in biodiversity hotspots. We estimate that the amount of urban land within 50 km of all protected area boundaries will increase from 450 000 km2 circa 2000 to 1440 000 ± 65 000 km2 in 2030. Our analysis shows that protected areas around the world will experience signiﬁcant increases in urban land within 50 km of their boundaries. China will experience the largest increase in urban land near protected areas with 304 000 ± 33 000 km2 of new urban land to be developed within 50 km of protected area boundaries. The largest urban expansion in biodiversity hotspots, over 100 000 ± 25 000 km2, is forecasted to occur in South America. Uncertainties in the forecasts of the amount and location of urban land expansion reﬂect uncertainties in their underlying drivers including urban population and economic growth. The forecasts point to the need to reconcile urban development and biodiversity conservation strategies.","container-title":"Environmental Research Letters","DOI":"10.1088/1748-9326/8/1/014025","ISSN":"1748-9326","issue":"1","journalAbbreviation":"Environ. Res. Lett.","language":"en","page":"014025","source":"DOI.org (Crossref)","title":"Futures of global urban expansion: uncertainties and implications for biodiversity conservation","title-short":"Futures of global urban expansion","URL":"https://iopscience.iop.org/article/10.1088/1748-9326/8/1/014025","volume":"8","author":[{"family":"Güneralp","given":"B"},{"family":"Seto","given":"K C"}],"accessed":{"date-parts":[["2023",10,10]]},"issued":{"date-parts":[["2013",3,1]]}}},{"id":374,"uris":["http://zotero.org/users/8906743/items/WUYN92SH"],"itemData":{"id":374,"type":"article-journal","container-title":"Proceedings of the National Academy of Sciences","DOI":"10.1073/pnas.1211658109","ISSN":"0027-8424, 1091-6490","issue":"40","journalAbbreviation":"Proceedings of the National Academy of Sciences","language":"en","page":"16083-16088","source":"DOI.org (Crossref)","title":"Global forecasts of urban expansion to 2030 and direct impacts on biodiversity and carbon pools","URL":"http://www.pnas.org/cgi/doi/10.1073/pnas.1211658109","volume":"109","author":[{"family":"Seto","given":"K. C."},{"family":"Guneralp","given":"B."},{"family":"Hutyra","given":"L. R."}],"accessed":{"date-parts":[["2022",1,30]]},"issued":{"date-parts":[["2012",10,2]]}}}],"schema":"https://github.com/citation-style-language/schema/raw/master/csl-citation.json"} </w:instrText>
      </w:r>
      <w:r>
        <w:rPr>
          <w:rFonts w:ascii="Times New Roman" w:hAnsi="Times New Roman"/>
        </w:rPr>
        <w:fldChar w:fldCharType="separate"/>
      </w:r>
      <w:r w:rsidRPr="007D535A">
        <w:rPr>
          <w:rFonts w:ascii="Times New Roman" w:hAnsi="Times New Roman"/>
        </w:rPr>
        <w:t>(Güneralp &amp; Seto, 2013; Seto et al., 2012)</w:t>
      </w:r>
      <w:r>
        <w:rPr>
          <w:rFonts w:ascii="Times New Roman" w:hAnsi="Times New Roman"/>
        </w:rPr>
        <w:fldChar w:fldCharType="end"/>
      </w:r>
      <w:r w:rsidRPr="09B8FE07">
        <w:rPr>
          <w:rFonts w:ascii="Times New Roman" w:hAnsi="Times New Roman"/>
        </w:rPr>
        <w:t xml:space="preserve">. Also, 50 – 63% of urban land will likely occur on current croplands, resulting in a 3% decline in crop production and impacting the food needs of about 755 million people annually </w:t>
      </w:r>
      <w:r>
        <w:rPr>
          <w:rFonts w:ascii="Times New Roman" w:hAnsi="Times New Roman"/>
        </w:rPr>
        <w:fldChar w:fldCharType="begin"/>
      </w:r>
      <w:r>
        <w:rPr>
          <w:rFonts w:ascii="Times New Roman" w:hAnsi="Times New Roman"/>
        </w:rPr>
        <w:instrText xml:space="preserve"> ADDIN ZOTERO_ITEM CSL_CITATION {"citationID":"RG5vFqVp","properties":{"formattedCitation":"(Chen et al., 2020)","plainCitation":"(Chen et al., 2020)","noteIndex":0},"citationItems":[{"id":604,"uris":["http://zotero.org/users/8906743/items/FPT9DWWY"],"itemData":{"id":604,"type":"article-journal","abstract":"Abstract\n            Despite its small land coverage, urban land and its expansion have exhibited profound impacts on global environments. Here, we present the scenario projections of global urban land expansion under the framework of the shared socioeconomic pathways (SSPs). Our projections feature a fine spatial resolution of 1 km to preserve spatial details. The projections reveal that although global urban land continues to expand rapidly before the 2040s, China and many other Asian countries are expected to encounter substantial pressure from urban population decline after the 2050s. Approximately 50–63% of the newly expanded urban land is expected to occur on current croplands. Global crop production will decline by approximately 1–4%, corresponding to the annual food needs for a certain crop of 122–1389 million people. These findings stress the importance of governing urban land development as a key measure to mitigate its negative impacts on food production.","container-title":"Nature Communications","DOI":"10.1038/s41467-020-14386-x","ISSN":"2041-1723","issue":"1","journalAbbreviation":"Nat Commun","language":"en","page":"537","source":"DOI.org (Crossref)","title":"Global projections of future urban land expansion under shared socioeconomic pathways","URL":"http://www.nature.com/articles/s41467-020-14386-x","volume":"11","author":[{"family":"Chen","given":"Guangzhao"},{"family":"Li","given":"Xia"},{"family":"Liu","given":"Xiaoping"},{"family":"Chen","given":"Yimin"},{"family":"Liang","given":"Xun"},{"family":"Leng","given":"Jiye"},{"family":"Xu","given":"Xiaocong"},{"family":"Liao","given":"Weilin"},{"family":"Qiu","given":"Yue’an"},{"family":"Wu","given":"Qianlian"},{"family":"Huang","given":"Kangning"}],"accessed":{"date-parts":[["2021",1,31]]},"issued":{"date-parts":[["2020",12]]}}}],"schema":"https://github.com/citation-style-language/schema/raw/master/csl-citation.json"} </w:instrText>
      </w:r>
      <w:r>
        <w:rPr>
          <w:rFonts w:ascii="Times New Roman" w:hAnsi="Times New Roman"/>
        </w:rPr>
        <w:fldChar w:fldCharType="separate"/>
      </w:r>
      <w:r w:rsidRPr="00845E62">
        <w:rPr>
          <w:rFonts w:ascii="Times New Roman" w:hAnsi="Times New Roman"/>
        </w:rPr>
        <w:t>(Chen et al., 2020)</w:t>
      </w:r>
      <w:r>
        <w:rPr>
          <w:rFonts w:ascii="Times New Roman" w:hAnsi="Times New Roman"/>
        </w:rPr>
        <w:fldChar w:fldCharType="end"/>
      </w:r>
      <w:r w:rsidRPr="09B8FE07">
        <w:rPr>
          <w:rFonts w:ascii="Times New Roman" w:hAnsi="Times New Roman"/>
        </w:rPr>
        <w:t xml:space="preserve">. Across the four West African countries, most of the simulated future expansions are likely to deplete ecosystem services, especially in areas with substantially high expansion rates </w:t>
      </w:r>
      <w:r>
        <w:rPr>
          <w:rFonts w:ascii="Times New Roman" w:hAnsi="Times New Roman"/>
        </w:rPr>
        <w:fldChar w:fldCharType="begin"/>
      </w:r>
      <w:r>
        <w:rPr>
          <w:rFonts w:ascii="Times New Roman" w:hAnsi="Times New Roman"/>
        </w:rPr>
        <w:instrText xml:space="preserve"> ADDIN ZOTERO_ITEM CSL_CITATION {"citationID":"1RHxxBLQ","properties":{"formattedCitation":"(G\\uc0\\u252{}neralp et al., 2017; Y. Liu et al., 2019)","plainCitation":"(Güneralp et al., 2017; Y. Liu et al., 2019)","dontUpdate":true,"noteIndex":0},"citationItems":[{"id":556,"uris":["http://zotero.org/users/8906743/items/LHAIUB33"],"itemData":{"id":556,"type":"article-journal","abstract":"Africa, a continent exceptionally rich in biodiversity, is rapidly urbanizing. Africa’s urbanization is manifest in the growth of its megacities as well as that of its smaller towns and cities. The conservation planning and practice will increasingly need to account for direct and indirect impacts of the continent’s urbanization. The objective of our study is to pinpoint the outstanding challenges and opportunities afforded by the growing cities on the continent to the conservation goals and practices. While there have been many studies on the impacts of urbanization and development on conservation in Africa these studies tended to focus on speciﬁc issues. Here, we provide a synthesis of this body of work supported by new analysis. Urban areas, growing both in population and in land cover, pose threats to the integrity of the continent’s ecosystems and biodiversity but their growth also create opportunities for conservation. The burgeoning urban populations, especially in Sub-Saharan Africa, increase the strain on already insufﬁcient infrastructure and bring new governance challenges. Yet, Africa’s ecosystems can serve as foundations for green infrastructure to serve the needs of its urban populations while safeguarding fragile biodiversity. Overall, while worsening social problems overshadow the concerns for biodiversity there are also promising initiatives to bring these concerns into the fold to address social, institutional, and ecological challenges that emerge with the continued urbanization of the continent.","container-title":"Environmental Research Letters","DOI":"10.1088/1748-9326/aa94fe","ISSN":"1748-9326","issue":"1","journalAbbreviation":"Environ. Res. Lett.","language":"en","page":"015002","source":"DOI.org (Crossref)","title":"Urbanization in Africa: challenges and opportunities for conservation","title-short":"Urbanization in Africa","URL":"https://iopscience.iop.org/article/10.1088/1748-9326/aa94fe","volume":"13","author":[{"family":"Güneralp","given":"Burak"},{"family":"Lwasa","given":"Shuaib"},{"family":"Masundire","given":"Hillary"},{"family":"Parnell","given":"Susan"},{"family":"Seto","given":"Karen C"}],"accessed":{"date-parts":[["2021",1,31]]},"issued":{"date-parts":[["2017",12,1]]}}},{"id":364,"uris":["http://zotero.org/users/8906743/items/SXX5593I"],"itemData":{"id":364,"type":"article-journal","container-title":"PLOS ONE","DOI":"10.1371/journal.pone.0224998","ISSN":"1932-6203","issue":"11","journalAbbreviation":"PLoS ONE","language":"en","page":"e0224998","source":"DOI.org (Crossref)","title":"Urban growth simulation in different scenarios using the SLEUTH model: A case study of Hefei, East China","title-short":"Urban growth simulation in different scenarios using the SLEUTH model","URL":"https://dx.plos.org/10.1371/journal.pone.0224998","volume":"14","author":[{"family":"Liu","given":"Yunqiang"},{"family":"Li","given":"Long"},{"family":"Chen","given":"Longqian"},{"family":"Cheng","given":"Liang"},{"family":"Zhou","given":"Xisheng"},{"family":"Cui","given":"Yifan"},{"family":"Li","given":"Han"},{"family":"Liu","given":"Weiqiang"}],"editor":[{"family":"Chen","given":"Mingxing"}],"accessed":{"date-parts":[["2021",1,31]]},"issued":{"date-parts":[["2019",11,7]]}}}],"schema":"https://github.com/citation-style-language/schema/raw/master/csl-citation.json"} </w:instrText>
      </w:r>
      <w:r>
        <w:rPr>
          <w:rFonts w:ascii="Times New Roman" w:hAnsi="Times New Roman"/>
        </w:rPr>
        <w:fldChar w:fldCharType="separate"/>
      </w:r>
      <w:r w:rsidRPr="008F11EE">
        <w:rPr>
          <w:rFonts w:ascii="Times New Roman" w:hAnsi="Times New Roman"/>
        </w:rPr>
        <w:t>(Güneralp et al., 2017; Liu et al., 2019)</w:t>
      </w:r>
      <w:r>
        <w:rPr>
          <w:rFonts w:ascii="Times New Roman" w:hAnsi="Times New Roman"/>
        </w:rPr>
        <w:fldChar w:fldCharType="end"/>
      </w:r>
      <w:r w:rsidRPr="008F11EE">
        <w:rPr>
          <w:rFonts w:ascii="Times New Roman" w:hAnsi="Times New Roman"/>
        </w:rPr>
        <w:t xml:space="preserve">. </w:t>
      </w:r>
      <w:r w:rsidRPr="09B8FE07">
        <w:rPr>
          <w:rFonts w:ascii="Times New Roman" w:hAnsi="Times New Roman"/>
        </w:rPr>
        <w:t xml:space="preserve">Also, urban expansion impacts urban populations, including urban heat islands and flood risk, especially the dispersed or sprawl expansion pattern </w:t>
      </w:r>
      <w:r w:rsidRPr="09B8FE07">
        <w:rPr>
          <w:rFonts w:ascii="Times New Roman" w:hAnsi="Times New Roman"/>
        </w:rPr>
        <w:lastRenderedPageBreak/>
        <w:t xml:space="preserve">increases the cost of extending water, sewage, electricity, and transportation </w:t>
      </w:r>
      <w:r>
        <w:rPr>
          <w:rFonts w:ascii="Times New Roman" w:hAnsi="Times New Roman"/>
        </w:rPr>
        <w:fldChar w:fldCharType="begin"/>
      </w:r>
      <w:r>
        <w:rPr>
          <w:rFonts w:ascii="Times New Roman" w:hAnsi="Times New Roman"/>
        </w:rPr>
        <w:instrText xml:space="preserve"> ADDIN ZOTERO_ITEM CSL_CITATION {"citationID":"lmPFAnSq","properties":{"formattedCitation":"(Muis et al., 2015; Tu et al., 2021; Yiran et al., 2020)","plainCitation":"(Muis et al., 2015; Tu et al., 2021; Yiran et al., 2020)","noteIndex":0},"citationItems":[{"id":2071,"uris":["http://zotero.org/users/8906743/items/ESADQ9NI"],"itemData":{"id":2071,"type":"article-journal","abstract":"An accurate understanding of flood risk and its drivers is crucial for effective risk management. Detailed risk projections, including uncertainties, are however rarely available, particularly in developing countries. This paper presents a method that integrates recent advances in global-scale modeling of flood hazard and land change, which enables the probabilistic analysis of future trends in national-scale flood risk. We demonstrate its application to Indonesia. We develop 1000 spatially-explicit projections of urban expansion from 2000 to 2030 that account for uncertainty associated with population and economic growth projections, as well as uncertainty in where urban land change may occur. The projections show that the urban extent increases by 215%–357% (5th and 95th percentiles). Urban expansion is particularly rapid on Java, which accounts for 79% of the national increase. From 2000 to 2030, increases in exposure will elevate flood risk by, on average, 76% and 120% for river and coastal floods. While sea level rise will further increase the exposure-induced trend by 19%–37%, the response of river floods to climate change is highly uncertain. However, as urban expansion is the main driver of future risk, the implementation of adaptation measures is increasingly urgent, regardless of the wide uncertainty in climate projections. Using probabilistic urban projections, we show that spatial planning can be a very effective adaptation strategy. Our study emphasizes that global data can be used successfully for probabilistic risk assessment in data-scarce countries.","container-title":"Science of The Total Environment","DOI":"10.1016/j.scitotenv.2015.08.068","ISSN":"0048-9697","journalAbbreviation":"Science of The Total Environment","page":"445-457","source":"ScienceDirect","title":"Flood risk and adaptation strategies under climate change and urban expansion: A probabilistic analysis using global data","title-short":"Flood risk and adaptation strategies under climate change and urban expansion","URL":"https://www.sciencedirect.com/science/article/pii/S0048969715305714","volume":"538","author":[{"family":"Muis","given":"Sanne"},{"family":"Güneralp","given":"Burak"},{"family":"Jongman","given":"Brenden"},{"family":"Aerts","given":"Jeroen C. J. H."},{"family":"Ward","given":"Philip J."}],"accessed":{"date-parts":[["2024",6,21]]},"issued":{"date-parts":[["2015",12,15]]}}},{"id":815,"uris":["http://zotero.org/users/8906743/items/F2WMUCZB"],"itemData":{"id":815,"type":"article-journal","abstract":"Characterized by intensive urban sprawl and continuous cropland shrinkage, the unprecedented urbanization process has profoundly reshaped China’s landscape over the past four decades. However, the interaction between urban expansion and cropland loss in China at a finer spatiotemporal resolution remains unclear.","container-title":"Landscape Ecology","DOI":"10.1007/s10980-020-01137-y","ISSN":"1572-9761","issue":"1","journalAbbreviation":"Landscape Ecol","language":"en","page":"243-263","source":"Springer Link","title":"How does urban expansion interact with cropland loss? A comparison of 14 Chinese cities from 1980 to 2015","title-short":"How does urban expansion interact with cropland loss?","URL":"https://doi.org/10.1007/s10980-020-01137-y","volume":"36","author":[{"family":"Tu","given":"Ying"},{"family":"Chen","given":"Bin"},{"family":"Yu","given":"Le"},{"family":"Xin","given":"Qinchuan"},{"family":"Gong","given":"Peng"},{"family":"Xu","given":"Bing"}],"accessed":{"date-parts":[["2023",4,30]]},"issued":{"date-parts":[["2021",1,1]]}}},{"id":59,"uris":["http://zotero.org/users/8906743/items/862CHWJC"],"itemData":{"id":59,"type":"article-journal","abstract":"Urban sprawl has gained popularity in academic discourse in recent times, but the majority of the research was conducted in developed countries. There is a marginal body of works on the character and nature of urban sprawl in Sub-Saharan Africa (SSA), although the region is experiencing one of the fastest rates of sprawl. Urbanisation in SSA is very rapid, and in addition to the emerging challenges of globalisation, climate change and poverty, SSA cities have an enormous task to manage urban sprawl. This paper reviews the literature on urban sprawl in SSA to identify research gaps and propose a research agenda. Published articles from five Anglophone countries in three of the four regional blocks in SSA were selected. The literature was organised into the causes and effects of urban sprawl and showed that the previous research on th</w:instrText>
      </w:r>
      <w:r w:rsidRPr="00255155">
        <w:rPr>
          <w:rFonts w:ascii="Times New Roman" w:hAnsi="Times New Roman"/>
        </w:rPr>
        <w:instrText xml:space="preserve">e subject focused mainly on its environmental impacts. Few studies have looked at the effects of sprawl on rural livelihoods, agriculture and food security considering the challenges of global climate change and poverty. Other studies have used Remote Sensing and Geographic Information Systems, but these were conducted largely for change detection. The paper recommends the deployment of a more comprehensive methodology incorporating remote sensing/GIS with ethnographic methods to capture better the complexity and impacts of urban sprawl in SSA. Additionally, further research attention must be paid to the effects of urban sprawl on rural livelihoods and overall sprawl-induced agrarian change.","container-title":"Ghana Journal of Geography","DOI":"10.4314/gjg.v12i1.1","ISSN":"0855-9414","issue":"1","journalAbbreviation":"Ghana J. Geography","language":"en","page":"1-28","source":"DOI.org (Crossref)","title":"Urban Sprawl in sub-Saharan Africa: A review of the literature in selected countries","title-short":"Urban Sprawl in sub-Saharan Africa","URL":"https://www.ajol.info/index.php/gjg/article/view/198012","volume":"12","author":[{"family":"Yiran","given":"Gerald Albert Baeribameng"},{"family":"Ablo","given":"Austin Dziwornu"},{"family":"Asem","given":"Freda Elikplim"},{"family":"Owusu","given":"George"}],"accessed":{"date-parts":[["2022",2,4]]},"issued":{"date-parts":[["2020",7,25]]}}}],"schema":"https://github.com/citation-style-language/schema/raw/master/csl-citation.json"} </w:instrText>
      </w:r>
      <w:r>
        <w:rPr>
          <w:rFonts w:ascii="Times New Roman" w:hAnsi="Times New Roman"/>
        </w:rPr>
        <w:fldChar w:fldCharType="separate"/>
      </w:r>
      <w:r w:rsidRPr="00255155">
        <w:rPr>
          <w:rFonts w:ascii="Times New Roman" w:hAnsi="Times New Roman"/>
        </w:rPr>
        <w:t>(Muis et al., 2015; Tu et al., 2021; Yiran et al., 2020)</w:t>
      </w:r>
      <w:r>
        <w:rPr>
          <w:rFonts w:ascii="Times New Roman" w:hAnsi="Times New Roman"/>
        </w:rPr>
        <w:fldChar w:fldCharType="end"/>
      </w:r>
      <w:r w:rsidRPr="00255155">
        <w:rPr>
          <w:rFonts w:ascii="Times New Roman" w:hAnsi="Times New Roman"/>
        </w:rPr>
        <w:t>.</w:t>
      </w:r>
    </w:p>
    <w:p w14:paraId="268F4995" w14:textId="77777777" w:rsidR="00255155" w:rsidRDefault="00255155" w:rsidP="0006468B">
      <w:pPr>
        <w:ind w:firstLine="360"/>
        <w:rPr>
          <w:rFonts w:ascii="Times New Roman" w:hAnsi="Times New Roman"/>
        </w:rPr>
      </w:pPr>
      <w:r w:rsidRPr="4E6AD041">
        <w:rPr>
          <w:rFonts w:ascii="Times New Roman" w:hAnsi="Times New Roman"/>
        </w:rPr>
        <w:t xml:space="preserve">Additionally, national planning policies in the four West African countries are mostly ineffective, and central and city authorities have limited infrastructure and resources to sustainably manage urban expansion </w:t>
      </w:r>
      <w:r>
        <w:rPr>
          <w:rFonts w:ascii="Times New Roman" w:hAnsi="Times New Roman"/>
        </w:rPr>
        <w:fldChar w:fldCharType="begin"/>
      </w:r>
      <w:r>
        <w:rPr>
          <w:rFonts w:ascii="Times New Roman" w:hAnsi="Times New Roman"/>
        </w:rPr>
        <w:instrText xml:space="preserve"> ADDIN ZOTERO_ITEM CSL_CITATION {"citationID":"aF12W3Mp","properties":{"formattedCitation":"(Abass et al., 2020; Cobbinah et al., 2020; Cobbinah &amp; Aboagye, 2017)","plainCitation":"(Abass et al., 2020; Cobbinah et al., 2020; Cobbinah &amp; Aboagye, 2017)","noteIndex":0},"citationItems":[{"id":549,"uris":["http://zotero.org/users/8906743/items/FRAZTCP3"],"itemData":{"id":549,"type":"article-journal","abstract":"Urban area expansion has often been cited as a flood inducing factor globally. However, there is a dearth of research on how the phenomenon influences the occurrence of floods in Ghana. This paper examines urban sprawl-induced green space depletion and its attendant implications for urban flood incidence in a developing world context. Focusing on Kumasi, the study employed a combined use of geospatial techniques, key informant interviews and direct observations to explain the relationships between urban sprawl and flood occurrence. The study found that impermeable areas have expanded by 54% from 1986 to 2016 while permeable space corre­ spondingly declined by the same rate within the period due to unplanned and unregulated urban expansion. The high proportion of impermeable surface, caused by urban expansion, underlies the worsening flooding situation in Kumasi. But the myriad of other factors such as poor spatial planning, inadequate storm drain infrastructure, poor waste management practices, and law enforcement lax combine to increase the intensity and severity of the floods. Adopting and enforcing smart growth policies are key in addressing the uncontrolled urban expansion and its associated flood challenges. Besides, land use control through legislative enforcement and prioritizing greening by the city authorities and other key stakeholders are essential for effective flood control and mitigation in Kumasi.","container-title":"International Journal of Disaster Risk Reduction","DOI":"10.1016/j.ijdrr.2020.101915","ISSN":"22124209","journalAbbreviation":"International Journal of Disaster Risk Reduction","language":"en","page":"101915","source":"DOI.org (Crossref)","title":"Urban sprawl and green space depletion: Implications for flood incidence in Kumasi, Ghana","title-short":"Urban sprawl and green space depletion","URL":"https://linkinghub.elsevier.com/retrieve/pii/S2212420920314175","volume":"51","author":[{"family":"Abass","given":"Kabila"},{"family":"Buor","given":"Daniel"},{"family":"Afriyie","given":"Kwadwo"},{"family":"Dumedah","given":"Gift"},{"family":"Segbefi","given":"Alex Yao"},{"family":"Guodaar","given":"Lawrence"},{"family":"Garsonu","given":"Emmanuel Kofi"},{"family":"Adu-Gyamfi","given":"Samuel"},{"family":"Forkuor","given":"David"},{"family":"Ofosu","given":"Andrews"},{"family":"Mohammed","given":"Abass"},{"family":"Gyasi","given":"Razak M."}],"accessed":{"date-parts":[["2022",2,15]]},"issued":{"date-parts":[["2020",12]]}}},{"id":388,"uris":["http://zotero.org/users/8906743/items/UKAG4UMG"],"itemData":{"id":388,"type":"article-journal","abstract":"Global literature reporting on land governance indicates considerable differences between land ownership and land administration. Yet, in many Sub-Saharan African countries, particularly Ghana, this relationship is blurred in complex land governance regimes. An understanding of this relationship in Ghana’s customary land sector –the dominant land ownership type – is critical in advancing urban land use planning and promoting effective urban management in this era of rapid urbanisation across Africa. Unfortunately, little is known about this relationship in the context of land use planning. Using Kumasi, a rapidly growing city in Ghana as a case study, the purpose of this paper is threefold: (i) to discuss the relationship between customary land ownership and administration in the context of land use planning, (ii) to explore institutional perspectives on sustainable land use planning; and (iii) to examine the implications of customary land ownership and administration on sus­ tainable land use planning. Using a review of relevant land use planning documents on Ghana, and interviews with four urban planning agencies and four customary land owners (chiefs/traditional leaders) in Kumasi, findings indicate a demonstration of an unclear nature of legislative planning framework and a lack of focus on customary land ownership and administration system in urban land use planning. Despite planning laws (e.g., zoning guidelines) emphasising separation of ownership from administration, findings indicate no distinction between customary land ownership and land administration as the traditional leaders (the owners) administer the land via determination of land uses, arbitration of land disputes, and location determination of important community infrastructure and services. Evidence of repetitive and cumbersome nature of land administration by traditional owners and government planning agencies, weak agency framework and c</w:instrText>
      </w:r>
      <w:r w:rsidRPr="00255155">
        <w:rPr>
          <w:rFonts w:ascii="Times New Roman" w:hAnsi="Times New Roman"/>
        </w:rPr>
        <w:instrText xml:space="preserve">oordination challenges has contributed to limited progress of sustainable land use planning in the city.","container-title":"Land Use Policy","DOI":"10.1016/j.landusepol.2020.105054","ISSN":"02648377","journalAbbreviation":"Land Use Policy","language":"en","page":"105054","source":"DOI.org (Crossref)","title":"Urban land use planning in Ghana: Navigating complex coalescence of land ownership and administration","title-short":"Urban land use planning in Ghana","URL":"https://linkinghub.elsevier.com/retrieve/pii/S0264837719320034","volume":"99","author":[{"family":"Cobbinah","given":"Patrick Brandful"},{"family":"Asibey","given":"Michael Osei"},{"family":"Gyedu-Pensang","given":"Yaa Asuamah"}],"accessed":{"date-parts":[["2022",2,9]]},"issued":{"date-parts":[["2020",12]]}}},{"id":72,"uris":["http://zotero.org/users/8906743/items/FL33N53L"],"itemData":{"id":72,"type":"article-journal","container-title":"Land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Nsomah"}],"accessed":{"date-parts":[["2022",2,9]]},"issued":{"date-parts":[["2017",2]]}}}],"schema":"https://github.com/citation-style-language/schema/raw/master/csl-citation.json"} </w:instrText>
      </w:r>
      <w:r>
        <w:rPr>
          <w:rFonts w:ascii="Times New Roman" w:hAnsi="Times New Roman"/>
        </w:rPr>
        <w:fldChar w:fldCharType="separate"/>
      </w:r>
      <w:r w:rsidRPr="00255155">
        <w:rPr>
          <w:rFonts w:ascii="Times New Roman" w:hAnsi="Times New Roman"/>
        </w:rPr>
        <w:t>(Abass et al., 2020; Cobbinah et al., 2020; Cobbinah &amp; Aboagye, 2017)</w:t>
      </w:r>
      <w:r>
        <w:rPr>
          <w:rFonts w:ascii="Times New Roman" w:hAnsi="Times New Roman"/>
        </w:rPr>
        <w:fldChar w:fldCharType="end"/>
      </w:r>
      <w:r w:rsidRPr="00255155">
        <w:rPr>
          <w:rFonts w:ascii="Times New Roman" w:hAnsi="Times New Roman"/>
        </w:rPr>
        <w:t xml:space="preserve">. </w:t>
      </w:r>
      <w:r w:rsidRPr="4E6AD041">
        <w:rPr>
          <w:rFonts w:ascii="Times New Roman" w:hAnsi="Times New Roman"/>
        </w:rPr>
        <w:t>The simulation results show the pattern of expansion is mostly dispersed, and this type of expansion largely impacts people and the environment more than compact urban expansion. There is a need to provide housing to accommodate the increasing urban population across the region; however, horizontal development patterns will likely cost more to manage than vertical developments with multiple land uses.</w:t>
      </w:r>
    </w:p>
    <w:p w14:paraId="684255D1" w14:textId="46A10878" w:rsidR="00341A59" w:rsidRDefault="00341A59" w:rsidP="0006468B">
      <w:pPr>
        <w:spacing w:line="240" w:lineRule="auto"/>
        <w:ind w:firstLine="360"/>
        <w:rPr>
          <w:rFonts w:ascii="Times New Roman" w:hAnsi="Times New Roman"/>
        </w:rPr>
      </w:pPr>
    </w:p>
    <w:p w14:paraId="60696442" w14:textId="77777777" w:rsidR="00103457" w:rsidRPr="00103457" w:rsidRDefault="00103457" w:rsidP="0006468B">
      <w:pPr>
        <w:pStyle w:val="Heading3"/>
      </w:pPr>
      <w:bookmarkStart w:id="174" w:name="_Toc172288763"/>
      <w:r w:rsidRPr="00103457">
        <w:t>Limitations of study and recommendations</w:t>
      </w:r>
      <w:bookmarkEnd w:id="174"/>
    </w:p>
    <w:p w14:paraId="5914F740" w14:textId="77777777" w:rsidR="00EE5ABE" w:rsidRDefault="00EE5ABE" w:rsidP="0006468B">
      <w:pPr>
        <w:ind w:firstLine="360"/>
        <w:rPr>
          <w:rFonts w:ascii="Times New Roman" w:hAnsi="Times New Roman"/>
        </w:rPr>
      </w:pPr>
      <w:r w:rsidRPr="4E6AD041">
        <w:rPr>
          <w:rFonts w:ascii="Times New Roman" w:hAnsi="Times New Roman"/>
        </w:rPr>
        <w:t>The calibration and parameterizing of FUTURES were done at the broader national level rather than at a finer scale because of a lack of consistent population data and future population estimates at subnational scales, which is required by FUTURES D</w:t>
      </w:r>
      <w:r>
        <w:rPr>
          <w:rFonts w:ascii="Times New Roman" w:hAnsi="Times New Roman"/>
        </w:rPr>
        <w:t>EMAND</w:t>
      </w:r>
      <w:r w:rsidRPr="4E6AD041">
        <w:rPr>
          <w:rFonts w:ascii="Times New Roman" w:hAnsi="Times New Roman"/>
        </w:rPr>
        <w:t xml:space="preserve"> submodel to extrapolate future development </w:t>
      </w:r>
      <w:r>
        <w:rPr>
          <w:rFonts w:ascii="Times New Roman" w:hAnsi="Times New Roman"/>
        </w:rPr>
        <w:fldChar w:fldCharType="begin"/>
      </w:r>
      <w:r>
        <w:rPr>
          <w:rFonts w:ascii="Times New Roman" w:hAnsi="Times New Roman"/>
        </w:rPr>
        <w:instrText xml:space="preserve"> ADDIN ZOTERO_ITEM CSL_CITATION {"citationID":"q7orb8P7","properties":{"formattedCitation":"(Meentemeyer et al., 2013)","plainCitation":"(Meentemeyer et al., 2013)","noteIndex":0},"citationItems":[{"id":15,"uris":["http://zotero.org/users/8906743/items/NJBSXY9D"],"itemData":{"id":15,"type":"article-journal","container-title":"Annals of the Association of American Geographers","DOI":"10.1080/00045608.2012.707591","ISSN":"0004-5608, 1467-8306","issue":"4","journalAbbreviation":"Annals of the Association of American Geographers","language":"en","page":"785-807","source":"DOI.org (Crossref)","title":"FUTURES: Multilevel Simulations of Emerging Urban–Rural Landscape Structure Using a Stochastic Patch-Growing Algorithm","title-short":"FUTURES","URL":"http://www.tandfonline.com/doi/abs/10.1080/00045608.2012.707591","volume":"103","author":[{"family":"Meentemeyer","given":"Ross K."},{"family":"Tang","given":"Wenwu"},{"family":"Dorning","given":"Monica A."},{"family":"Vogler","given":"John B."},{"family":"Cunniffe","given":"Nik J."},{"family":"Shoemaker","given":"Douglas A."}],"accessed":{"date-parts":[["2021",3,27]]},"issued":{"date-parts":[["2013",7]]}}}],"schema":"https://github.com/citation-style-language/schema/raw/master/csl-citation.json"} </w:instrText>
      </w:r>
      <w:r>
        <w:rPr>
          <w:rFonts w:ascii="Times New Roman" w:hAnsi="Times New Roman"/>
        </w:rPr>
        <w:fldChar w:fldCharType="separate"/>
      </w:r>
      <w:r w:rsidRPr="00502FA0">
        <w:rPr>
          <w:rFonts w:ascii="Times New Roman" w:hAnsi="Times New Roman"/>
        </w:rPr>
        <w:t>(Meentemeyer et al., 2013)</w:t>
      </w:r>
      <w:r>
        <w:rPr>
          <w:rFonts w:ascii="Times New Roman" w:hAnsi="Times New Roman"/>
        </w:rPr>
        <w:fldChar w:fldCharType="end"/>
      </w:r>
      <w:r w:rsidRPr="4E6AD041">
        <w:rPr>
          <w:rFonts w:ascii="Times New Roman" w:hAnsi="Times New Roman"/>
        </w:rPr>
        <w:t xml:space="preserve">. The historical population data and future population projections are not available at finer spatial scales, likely introducing errors and influencing future land demand patterns and suitability surfaces used in the simulations. </w:t>
      </w:r>
    </w:p>
    <w:p w14:paraId="145E3FF3" w14:textId="77777777" w:rsidR="00EE5ABE" w:rsidRDefault="00EE5ABE" w:rsidP="0006468B">
      <w:pPr>
        <w:ind w:firstLine="360"/>
        <w:rPr>
          <w:rFonts w:ascii="Times New Roman" w:hAnsi="Times New Roman"/>
        </w:rPr>
      </w:pPr>
      <w:r w:rsidRPr="09B8FE07">
        <w:rPr>
          <w:rFonts w:ascii="Times New Roman" w:hAnsi="Times New Roman"/>
        </w:rPr>
        <w:t xml:space="preserve">We classified simulation over the 20 runs as developed if the probability of a cell converting into developed was greater than 20%. This classification threshold may not consistently capture the developed areas and will likely change as we project into the future. However, the 20% threshold best captures the developed patterns in 2020, the latest year we have regionally consistent data to validate the simulations. </w:t>
      </w:r>
    </w:p>
    <w:p w14:paraId="7EC7FDC1" w14:textId="77777777" w:rsidR="00EE5ABE" w:rsidRDefault="00EE5ABE" w:rsidP="0006468B">
      <w:pPr>
        <w:ind w:firstLine="360"/>
        <w:rPr>
          <w:rFonts w:ascii="Times New Roman" w:hAnsi="Times New Roman"/>
        </w:rPr>
      </w:pPr>
      <w:r w:rsidRPr="4E6AD041">
        <w:rPr>
          <w:rFonts w:ascii="Times New Roman" w:hAnsi="Times New Roman"/>
        </w:rPr>
        <w:lastRenderedPageBreak/>
        <w:t xml:space="preserve">Urban expansion modelers in the region and the scientific community can make concerted efforts to provide good-quality road network data and consistent population data at multiple levels </w:t>
      </w:r>
      <w:r>
        <w:rPr>
          <w:rFonts w:ascii="Times New Roman" w:hAnsi="Times New Roman"/>
        </w:rPr>
        <w:fldChar w:fldCharType="begin"/>
      </w:r>
      <w:r>
        <w:rPr>
          <w:rFonts w:ascii="Times New Roman" w:hAnsi="Times New Roman"/>
        </w:rPr>
        <w:instrText xml:space="preserve"> ADDIN ZOTERO_ITEM CSL_CITATION {"citationID":"ltaaqPfa","properties":{"formattedCitation":"(Korah et al., 2024)","plainCitation":"(Korah et al., 2024)","noteIndex":0},"citationItems":[{"id":1873,"uris":["http://zotero.org/users/8906743/items/IQT4K3QT"],"itemData":{"id":1873,"type":"article-journal","abstract":"Africa has been a hotspot of rapid urban growth since 2000, yet no review exists that describes the current state of urban growth modeling. This review aims to fill this gap by synthesizing urban growth modeling approaches, input variables and challenges across Africa. Using Web of Science, Google Scholar, Geobase, and Compendex databases, we selected 49 studies that projected urban land use and cover change or modeled probabilities of future urban change associated with a variety of input variables. We found increasing trends in the numbers of studies employing cellular automata, statistical regression, agent-based, video prediction, and integrated approaches. The modeling approaches used and their corresponding increases differed across Africa. The input variables used to project urban growth also varied across subregions. Studies were biased towards populous countries rather than the most urbanized. 78 % of the studies focused on primary cities, while secondary cities were less frequently studied. Comparison of urban growth modeling across multiple regions and for different types of cities is currently difficult due to inconsistent definitions and limited availability of data and computational resources. We recommend that the scientific community develop consistent definitions of African city types and urban land use and land cover classifications, create regional urban land cover products for Africa, and build repositories of models and their input data.","container-title":"Cities","DOI":"10.1016/j.cities.2023.104734","ISSN":"0264-2751","journalAbbreviation":"Cities","page":"104734","source":"ScienceDirect","title":"Understanding urban growth modeling in Africa: Dynamics, drivers, and challenges","title-short":"Understanding urban growth modeling in Africa","URL":"https://www.sciencedirect.com/science/article/pii/S0264275123005462","volume":"146","author":[{"family":"Korah","given":"Andrews"},{"family":"Koch","given":"Jennifer A. M."},{"family":"Wimberly","given":"Michael C."}],"accessed":{"date-parts":[["2024",1,29]]},"issued":{"date-parts":[["2024",3,1]]}}}],"schema":"https://github.com/citation-style-language/schema/raw/master/csl-citation.json"} </w:instrText>
      </w:r>
      <w:r>
        <w:rPr>
          <w:rFonts w:ascii="Times New Roman" w:hAnsi="Times New Roman"/>
        </w:rPr>
        <w:fldChar w:fldCharType="separate"/>
      </w:r>
      <w:r w:rsidRPr="00D046D5">
        <w:rPr>
          <w:rFonts w:ascii="Times New Roman" w:hAnsi="Times New Roman"/>
        </w:rPr>
        <w:t>(Korah et al., 2024)</w:t>
      </w:r>
      <w:r>
        <w:rPr>
          <w:rFonts w:ascii="Times New Roman" w:hAnsi="Times New Roman"/>
        </w:rPr>
        <w:fldChar w:fldCharType="end"/>
      </w:r>
      <w:r w:rsidRPr="4E6AD041">
        <w:rPr>
          <w:rFonts w:ascii="Times New Roman" w:hAnsi="Times New Roman"/>
        </w:rPr>
        <w:t>. Additionally, more qualitative information such as locational choices, source of income, income level, cultural affiliations, and education level for urban land agents can support consistent and more reliable projections of urban expansion across large, medium, and small cities in the study area. This research was the first application of FUTURES in West Africa, and future studies need to repeat similar simulations over the study area or other rapidly urbanizing regions in Africa. Future urban expansions are expected to impact people and influence global environmental change. There is a need to incorporate policy-relevant and environmental management scenarios to support decision-making better and help countries assess their progress toward realizing United Nations Sustainable Development goals.</w:t>
      </w:r>
    </w:p>
    <w:p w14:paraId="3EC9EB42" w14:textId="77777777" w:rsidR="00EE5ABE" w:rsidRDefault="00EE5ABE" w:rsidP="0006468B">
      <w:pPr>
        <w:ind w:firstLine="360"/>
        <w:rPr>
          <w:rFonts w:ascii="Times New Roman" w:hAnsi="Times New Roman"/>
        </w:rPr>
      </w:pPr>
    </w:p>
    <w:p w14:paraId="552DBD7F" w14:textId="77777777" w:rsidR="00103457" w:rsidRPr="00103457" w:rsidRDefault="00103457" w:rsidP="0006468B">
      <w:pPr>
        <w:pStyle w:val="Heading2"/>
      </w:pPr>
      <w:bookmarkStart w:id="175" w:name="_Toc172288764"/>
      <w:r w:rsidRPr="00103457">
        <w:t>Conclusion</w:t>
      </w:r>
      <w:bookmarkEnd w:id="175"/>
    </w:p>
    <w:p w14:paraId="76227AD0" w14:textId="77777777" w:rsidR="00340C3F" w:rsidRDefault="00340C3F" w:rsidP="0006468B">
      <w:pPr>
        <w:ind w:firstLine="360"/>
      </w:pPr>
      <w:r w:rsidRPr="09B8FE07">
        <w:rPr>
          <w:rFonts w:ascii="Times New Roman" w:hAnsi="Times New Roman"/>
        </w:rPr>
        <w:t xml:space="preserve">We used FUTURES to simulate urban expansion across Ghana, Togo, Benin, and Nigeria. We found that the relative importance of input variables varies in small, medium, and large cities. However, there is no consistent city population, and most of the local roads in the global road inventory project are biased toward larger cities, offering limited opportunities for finer-scale calibration to account for the difference in variable importance across the study area. This likely resulted in higher misses and false alarms than hits, potentially contributing to the quantity and pattern metrics differences in the reference and simulated maps. However, the FoM for all cities in Nigeria and large cities in Togo was consistent with 10% - 30% reported in previous urban simulations globally. The higher annual expansion rates (3.8% - 14.3%) across the study area highlight the need for repeated regional urban simulation studies in West Africa to better </w:t>
      </w:r>
      <w:r w:rsidRPr="09B8FE07">
        <w:rPr>
          <w:rFonts w:ascii="Times New Roman" w:hAnsi="Times New Roman"/>
        </w:rPr>
        <w:lastRenderedPageBreak/>
        <w:t>support sustainable urban land expansion. Future urban expansion mostly depends on land demand from populations and the successful implementation of appropriate planning and scenarios, and such information needs to be integrated into urban expansion models to improve their practical applications in West Africa. The availability of consistent road network data across cities and good-quality populations at finer scales will allow modelers to account for differences in variables' importance and assess possible future developments under different planning and urban management scenarios.</w:t>
      </w:r>
    </w:p>
    <w:p w14:paraId="4A84CAF1" w14:textId="636A6CCB" w:rsidR="00BE163D" w:rsidRDefault="00BE163D">
      <w:pPr>
        <w:spacing w:line="240" w:lineRule="auto"/>
        <w:rPr>
          <w:rFonts w:ascii="Times New Roman" w:eastAsia="Aptos" w:hAnsi="Times New Roman"/>
          <w:lang w:bidi="ar-SA"/>
          <w14:ligatures w14:val="standardContextual"/>
        </w:rPr>
      </w:pPr>
      <w:r>
        <w:rPr>
          <w:rFonts w:ascii="Times New Roman" w:eastAsia="Aptos" w:hAnsi="Times New Roman"/>
          <w:lang w:bidi="ar-SA"/>
          <w14:ligatures w14:val="standardContextual"/>
        </w:rPr>
        <w:br w:type="page"/>
      </w:r>
    </w:p>
    <w:p w14:paraId="25D6B3C6" w14:textId="77777777" w:rsidR="00103457" w:rsidRDefault="00103457" w:rsidP="00330B2C">
      <w:pPr>
        <w:pStyle w:val="Heading1"/>
        <w:spacing w:line="240" w:lineRule="auto"/>
      </w:pPr>
      <w:bookmarkStart w:id="176" w:name="_Toc172288765"/>
      <w:r w:rsidRPr="00103457">
        <w:lastRenderedPageBreak/>
        <w:t>References</w:t>
      </w:r>
      <w:bookmarkEnd w:id="176"/>
    </w:p>
    <w:p w14:paraId="4DC14CCB" w14:textId="77777777" w:rsidR="00030F4C" w:rsidRPr="00030F4C" w:rsidRDefault="00030F4C" w:rsidP="00030F4C">
      <w:pPr>
        <w:spacing w:line="240" w:lineRule="auto"/>
        <w:rPr>
          <w:lang w:bidi="ar-SA"/>
        </w:rPr>
      </w:pPr>
    </w:p>
    <w:p w14:paraId="0D924CB6"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b/>
          <w:bCs/>
          <w:lang w:bidi="ar-SA"/>
        </w:rPr>
        <w:fldChar w:fldCharType="begin"/>
      </w:r>
      <w:r w:rsidRPr="0069519A">
        <w:rPr>
          <w:rFonts w:ascii="Times New Roman" w:eastAsia="Calibri" w:hAnsi="Times New Roman"/>
          <w:b/>
          <w:bCs/>
          <w:lang w:bidi="ar-SA"/>
        </w:rPr>
        <w:instrText xml:space="preserve"> ADDIN ZOTERO_BIBL {"uncited":[],"omitted":[],"custom":[]} CSL_BIBLIOGRAPHY </w:instrText>
      </w:r>
      <w:r w:rsidRPr="0069519A">
        <w:rPr>
          <w:rFonts w:ascii="Times New Roman" w:eastAsia="Calibri" w:hAnsi="Times New Roman"/>
          <w:b/>
          <w:bCs/>
          <w:lang w:bidi="ar-SA"/>
        </w:rPr>
        <w:fldChar w:fldCharType="separate"/>
      </w:r>
      <w:r w:rsidRPr="0069519A">
        <w:rPr>
          <w:rFonts w:ascii="Times New Roman" w:eastAsia="Calibri" w:hAnsi="Times New Roman"/>
          <w:lang w:bidi="ar-SA"/>
        </w:rPr>
        <w:t xml:space="preserve">Abass, K., Buor, D., Afriyie, K., Dumedah, G., Segbefi, A. Y., Guodaar, L., Garsonu, E. K., Adu-Gyamfi, S., Forkuor, D., Ofosu, A., Mohammed, A., &amp; Gyasi, R. M. (2020). Urban sprawl and green space depletion: Implications for flood incidence in Kumasi, Ghana. </w:t>
      </w:r>
      <w:r w:rsidRPr="0069519A">
        <w:rPr>
          <w:rFonts w:ascii="Times New Roman" w:eastAsia="Calibri" w:hAnsi="Times New Roman"/>
          <w:i/>
          <w:iCs/>
          <w:lang w:bidi="ar-SA"/>
        </w:rPr>
        <w:t>International Journal of Disaster Risk Reduction</w:t>
      </w:r>
      <w:r w:rsidRPr="0069519A">
        <w:rPr>
          <w:rFonts w:ascii="Times New Roman" w:eastAsia="Calibri" w:hAnsi="Times New Roman"/>
          <w:lang w:bidi="ar-SA"/>
        </w:rPr>
        <w:t xml:space="preserve">, </w:t>
      </w:r>
      <w:r w:rsidRPr="0069519A">
        <w:rPr>
          <w:rFonts w:ascii="Times New Roman" w:eastAsia="Calibri" w:hAnsi="Times New Roman"/>
          <w:i/>
          <w:iCs/>
          <w:lang w:bidi="ar-SA"/>
        </w:rPr>
        <w:t>51</w:t>
      </w:r>
      <w:r w:rsidRPr="0069519A">
        <w:rPr>
          <w:rFonts w:ascii="Times New Roman" w:eastAsia="Calibri" w:hAnsi="Times New Roman"/>
          <w:lang w:bidi="ar-SA"/>
        </w:rPr>
        <w:t>, 101915. https://doi.org/10.1016/j.ijdrr.2020.101915</w:t>
      </w:r>
    </w:p>
    <w:p w14:paraId="4095AA0C"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Aburas, M. M., Ho, Y. M., Ramli, M. F., &amp; Ash’aari, Z. H. (2016). The simulation and prediction of spatio-temporal urban growth trends using cellular automata models: A review. </w:t>
      </w:r>
      <w:r w:rsidRPr="0069519A">
        <w:rPr>
          <w:rFonts w:ascii="Times New Roman" w:eastAsia="Calibri" w:hAnsi="Times New Roman"/>
          <w:i/>
          <w:iCs/>
          <w:lang w:bidi="ar-SA"/>
        </w:rPr>
        <w:t>International Journal of Applied Earth Observation and Geoinformation</w:t>
      </w:r>
      <w:r w:rsidRPr="0069519A">
        <w:rPr>
          <w:rFonts w:ascii="Times New Roman" w:eastAsia="Calibri" w:hAnsi="Times New Roman"/>
          <w:lang w:bidi="ar-SA"/>
        </w:rPr>
        <w:t xml:space="preserve">, </w:t>
      </w:r>
      <w:r w:rsidRPr="0069519A">
        <w:rPr>
          <w:rFonts w:ascii="Times New Roman" w:eastAsia="Calibri" w:hAnsi="Times New Roman"/>
          <w:i/>
          <w:iCs/>
          <w:lang w:bidi="ar-SA"/>
        </w:rPr>
        <w:t>52</w:t>
      </w:r>
      <w:r w:rsidRPr="0069519A">
        <w:rPr>
          <w:rFonts w:ascii="Times New Roman" w:eastAsia="Calibri" w:hAnsi="Times New Roman"/>
          <w:lang w:bidi="ar-SA"/>
        </w:rPr>
        <w:t>, 380–389. https://doi.org/10.1016/j.jag.2016.07.007</w:t>
      </w:r>
    </w:p>
    <w:p w14:paraId="48A97696"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Addae, B., &amp; Oppelt, N. (2019). Land-Use/Land-Cover Change Analysis and Urban Growth Modelling in the Greater Accra Metropolitan Area (GAMA), Ghana. </w:t>
      </w:r>
      <w:r w:rsidRPr="0069519A">
        <w:rPr>
          <w:rFonts w:ascii="Times New Roman" w:eastAsia="Calibri" w:hAnsi="Times New Roman"/>
          <w:i/>
          <w:iCs/>
          <w:lang w:bidi="ar-SA"/>
        </w:rPr>
        <w:t>Urban Science</w:t>
      </w:r>
      <w:r w:rsidRPr="0069519A">
        <w:rPr>
          <w:rFonts w:ascii="Times New Roman" w:eastAsia="Calibri" w:hAnsi="Times New Roman"/>
          <w:lang w:bidi="ar-SA"/>
        </w:rPr>
        <w:t xml:space="preserve">, </w:t>
      </w:r>
      <w:r w:rsidRPr="0069519A">
        <w:rPr>
          <w:rFonts w:ascii="Times New Roman" w:eastAsia="Calibri" w:hAnsi="Times New Roman"/>
          <w:i/>
          <w:iCs/>
          <w:lang w:bidi="ar-SA"/>
        </w:rPr>
        <w:t>3</w:t>
      </w:r>
      <w:r w:rsidRPr="0069519A">
        <w:rPr>
          <w:rFonts w:ascii="Times New Roman" w:eastAsia="Calibri" w:hAnsi="Times New Roman"/>
          <w:lang w:bidi="ar-SA"/>
        </w:rPr>
        <w:t>(1), 26. https://doi.org/10.3390/urbansci3010026</w:t>
      </w:r>
    </w:p>
    <w:p w14:paraId="2837255F"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Aguejdad, R. (2021). The Influence of the Calibration Interval on Simulating Non-Stationary Urban Growth Dynamic Using CA-Markov Model. </w:t>
      </w:r>
      <w:r w:rsidRPr="0069519A">
        <w:rPr>
          <w:rFonts w:ascii="Times New Roman" w:eastAsia="Calibri" w:hAnsi="Times New Roman"/>
          <w:i/>
          <w:iCs/>
          <w:lang w:bidi="ar-SA"/>
        </w:rPr>
        <w:t>Remote Sensing</w:t>
      </w:r>
      <w:r w:rsidRPr="0069519A">
        <w:rPr>
          <w:rFonts w:ascii="Times New Roman" w:eastAsia="Calibri" w:hAnsi="Times New Roman"/>
          <w:lang w:bidi="ar-SA"/>
        </w:rPr>
        <w:t xml:space="preserve">, </w:t>
      </w:r>
      <w:r w:rsidRPr="0069519A">
        <w:rPr>
          <w:rFonts w:ascii="Times New Roman" w:eastAsia="Calibri" w:hAnsi="Times New Roman"/>
          <w:i/>
          <w:iCs/>
          <w:lang w:bidi="ar-SA"/>
        </w:rPr>
        <w:t>13</w:t>
      </w:r>
      <w:r w:rsidRPr="0069519A">
        <w:rPr>
          <w:rFonts w:ascii="Times New Roman" w:eastAsia="Calibri" w:hAnsi="Times New Roman"/>
          <w:lang w:bidi="ar-SA"/>
        </w:rPr>
        <w:t>(3), 468. https://doi.org/10.3390/rs13030468</w:t>
      </w:r>
    </w:p>
    <w:p w14:paraId="66A16EEC"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Agyemang, F. S. K., &amp; Silva, E. (2019). Simulating the urban growth of a predominantly informal Ghanaian city-region with a cellular automata model: Implications for urban planning and policy. </w:t>
      </w:r>
      <w:r w:rsidRPr="0069519A">
        <w:rPr>
          <w:rFonts w:ascii="Times New Roman" w:eastAsia="Calibri" w:hAnsi="Times New Roman"/>
          <w:i/>
          <w:iCs/>
          <w:lang w:bidi="ar-SA"/>
        </w:rPr>
        <w:t>Applied Geography</w:t>
      </w:r>
      <w:r w:rsidRPr="0069519A">
        <w:rPr>
          <w:rFonts w:ascii="Times New Roman" w:eastAsia="Calibri" w:hAnsi="Times New Roman"/>
          <w:lang w:bidi="ar-SA"/>
        </w:rPr>
        <w:t xml:space="preserve">, </w:t>
      </w:r>
      <w:r w:rsidRPr="0069519A">
        <w:rPr>
          <w:rFonts w:ascii="Times New Roman" w:eastAsia="Calibri" w:hAnsi="Times New Roman"/>
          <w:i/>
          <w:iCs/>
          <w:lang w:bidi="ar-SA"/>
        </w:rPr>
        <w:t>105</w:t>
      </w:r>
      <w:r w:rsidRPr="0069519A">
        <w:rPr>
          <w:rFonts w:ascii="Times New Roman" w:eastAsia="Calibri" w:hAnsi="Times New Roman"/>
          <w:lang w:bidi="ar-SA"/>
        </w:rPr>
        <w:t>, 15–24. https://doi.org/10.1016/j.apgeog.2019.02.011</w:t>
      </w:r>
    </w:p>
    <w:p w14:paraId="5A294387" w14:textId="48EAF514"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Berberoğlu, S., Akın, A., &amp; Clarke, K. C. (2016). Cellular automata modeling approaches to forecast urban growth for </w:t>
      </w:r>
      <w:r w:rsidR="00F74D51">
        <w:rPr>
          <w:rFonts w:ascii="Times New Roman" w:eastAsia="Calibri" w:hAnsi="Times New Roman"/>
          <w:lang w:bidi="ar-SA"/>
        </w:rPr>
        <w:t>Adana</w:t>
      </w:r>
      <w:r w:rsidRPr="0069519A">
        <w:rPr>
          <w:rFonts w:ascii="Times New Roman" w:eastAsia="Calibri" w:hAnsi="Times New Roman"/>
          <w:lang w:bidi="ar-SA"/>
        </w:rPr>
        <w:t xml:space="preserve">, Turkey: A comparative approach. </w:t>
      </w:r>
      <w:r w:rsidRPr="0069519A">
        <w:rPr>
          <w:rFonts w:ascii="Times New Roman" w:eastAsia="Calibri" w:hAnsi="Times New Roman"/>
          <w:i/>
          <w:iCs/>
          <w:lang w:bidi="ar-SA"/>
        </w:rPr>
        <w:t>Landscape and Urban Planning</w:t>
      </w:r>
      <w:r w:rsidRPr="0069519A">
        <w:rPr>
          <w:rFonts w:ascii="Times New Roman" w:eastAsia="Calibri" w:hAnsi="Times New Roman"/>
          <w:lang w:bidi="ar-SA"/>
        </w:rPr>
        <w:t xml:space="preserve">, </w:t>
      </w:r>
      <w:r w:rsidRPr="0069519A">
        <w:rPr>
          <w:rFonts w:ascii="Times New Roman" w:eastAsia="Calibri" w:hAnsi="Times New Roman"/>
          <w:i/>
          <w:iCs/>
          <w:lang w:bidi="ar-SA"/>
        </w:rPr>
        <w:t>153</w:t>
      </w:r>
      <w:r w:rsidRPr="0069519A">
        <w:rPr>
          <w:rFonts w:ascii="Times New Roman" w:eastAsia="Calibri" w:hAnsi="Times New Roman"/>
          <w:lang w:bidi="ar-SA"/>
        </w:rPr>
        <w:t>, 11–27. https://doi.org/10.1016/j.landurbplan.2016.04.017</w:t>
      </w:r>
    </w:p>
    <w:p w14:paraId="7C106C2E"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Bondarenko, M., Kerr, D., Sorichetta, A., Tatem, A., &amp; WorldPop,. (2020). </w:t>
      </w:r>
      <w:r w:rsidRPr="0069519A">
        <w:rPr>
          <w:rFonts w:ascii="Times New Roman" w:eastAsia="Calibri" w:hAnsi="Times New Roman"/>
          <w:i/>
          <w:iCs/>
          <w:lang w:bidi="ar-SA"/>
        </w:rPr>
        <w:t>Census/projection-disaggregated gridded population datasets, adjusted to match the corresponding UNPD 2020 estimates, for 51 countries across sub-Saharan Africa using building footprints</w:t>
      </w:r>
      <w:r w:rsidRPr="0069519A">
        <w:rPr>
          <w:rFonts w:ascii="Times New Roman" w:eastAsia="Calibri" w:hAnsi="Times New Roman"/>
          <w:lang w:bidi="ar-SA"/>
        </w:rPr>
        <w:t xml:space="preserve"> [Dataset]. University of Southampton. https://doi.org/10.5258/SOTON/WP00683</w:t>
      </w:r>
    </w:p>
    <w:p w14:paraId="1D130E42"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Bren d’Amour, C., Reitsma, F., Baiocchi, G., Barthel, S., Güneralp, B., Erb, K.-H., Haberl, H., Creutzig, F., &amp; Seto, K. C. (2017). Future urban land expansion and implications for global croplands. </w:t>
      </w:r>
      <w:r w:rsidRPr="0069519A">
        <w:rPr>
          <w:rFonts w:ascii="Times New Roman" w:eastAsia="Calibri" w:hAnsi="Times New Roman"/>
          <w:i/>
          <w:iCs/>
          <w:lang w:bidi="ar-SA"/>
        </w:rPr>
        <w:t>Proceedings of the National Academy of Sciences of the United States of America</w:t>
      </w:r>
      <w:r w:rsidRPr="0069519A">
        <w:rPr>
          <w:rFonts w:ascii="Times New Roman" w:eastAsia="Calibri" w:hAnsi="Times New Roman"/>
          <w:lang w:bidi="ar-SA"/>
        </w:rPr>
        <w:t xml:space="preserve">, </w:t>
      </w:r>
      <w:r w:rsidRPr="0069519A">
        <w:rPr>
          <w:rFonts w:ascii="Times New Roman" w:eastAsia="Calibri" w:hAnsi="Times New Roman"/>
          <w:i/>
          <w:iCs/>
          <w:lang w:bidi="ar-SA"/>
        </w:rPr>
        <w:t>114</w:t>
      </w:r>
      <w:r w:rsidRPr="0069519A">
        <w:rPr>
          <w:rFonts w:ascii="Times New Roman" w:eastAsia="Calibri" w:hAnsi="Times New Roman"/>
          <w:lang w:bidi="ar-SA"/>
        </w:rPr>
        <w:t>(34), 8939–8944. https://doi.org/10.1073/pnas.1606036114</w:t>
      </w:r>
    </w:p>
    <w:p w14:paraId="7F16C307"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val="fr-FR" w:bidi="ar-SA"/>
        </w:rPr>
        <w:t xml:space="preserve">Chaudhuri, G., &amp; Clarke, K. C. (2014). </w:t>
      </w:r>
      <w:r w:rsidRPr="0069519A">
        <w:rPr>
          <w:rFonts w:ascii="Times New Roman" w:eastAsia="Calibri" w:hAnsi="Times New Roman"/>
          <w:lang w:bidi="ar-SA"/>
        </w:rPr>
        <w:t xml:space="preserve">Temporal Accuracy in Urban Growth Forecasting: A Study Using the SLEUTH Model. </w:t>
      </w:r>
      <w:r w:rsidRPr="0069519A">
        <w:rPr>
          <w:rFonts w:ascii="Times New Roman" w:eastAsia="Calibri" w:hAnsi="Times New Roman"/>
          <w:i/>
          <w:iCs/>
          <w:lang w:bidi="ar-SA"/>
        </w:rPr>
        <w:t>Transactions in GIS</w:t>
      </w:r>
      <w:r w:rsidRPr="0069519A">
        <w:rPr>
          <w:rFonts w:ascii="Times New Roman" w:eastAsia="Calibri" w:hAnsi="Times New Roman"/>
          <w:lang w:bidi="ar-SA"/>
        </w:rPr>
        <w:t xml:space="preserve">, </w:t>
      </w:r>
      <w:r w:rsidRPr="0069519A">
        <w:rPr>
          <w:rFonts w:ascii="Times New Roman" w:eastAsia="Calibri" w:hAnsi="Times New Roman"/>
          <w:i/>
          <w:iCs/>
          <w:lang w:bidi="ar-SA"/>
        </w:rPr>
        <w:t>18</w:t>
      </w:r>
      <w:r w:rsidRPr="0069519A">
        <w:rPr>
          <w:rFonts w:ascii="Times New Roman" w:eastAsia="Calibri" w:hAnsi="Times New Roman"/>
          <w:lang w:bidi="ar-SA"/>
        </w:rPr>
        <w:t>(2), 302–320. https://doi.org/10.1111/tgis.12047</w:t>
      </w:r>
    </w:p>
    <w:p w14:paraId="2744E792"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Chaudhuri, G., &amp; Clarke, K. C. (2019). Modeling an Indian megalopolis– A case study on adapting SLEUTH urban growth model. </w:t>
      </w:r>
      <w:r w:rsidRPr="0069519A">
        <w:rPr>
          <w:rFonts w:ascii="Times New Roman" w:eastAsia="Calibri" w:hAnsi="Times New Roman"/>
          <w:i/>
          <w:iCs/>
          <w:lang w:bidi="ar-SA"/>
        </w:rPr>
        <w:t>Computers, Environment and Urban Systems</w:t>
      </w:r>
      <w:r w:rsidRPr="0069519A">
        <w:rPr>
          <w:rFonts w:ascii="Times New Roman" w:eastAsia="Calibri" w:hAnsi="Times New Roman"/>
          <w:lang w:bidi="ar-SA"/>
        </w:rPr>
        <w:t xml:space="preserve">, </w:t>
      </w:r>
      <w:r w:rsidRPr="0069519A">
        <w:rPr>
          <w:rFonts w:ascii="Times New Roman" w:eastAsia="Calibri" w:hAnsi="Times New Roman"/>
          <w:i/>
          <w:iCs/>
          <w:lang w:bidi="ar-SA"/>
        </w:rPr>
        <w:t>77</w:t>
      </w:r>
      <w:r w:rsidRPr="0069519A">
        <w:rPr>
          <w:rFonts w:ascii="Times New Roman" w:eastAsia="Calibri" w:hAnsi="Times New Roman"/>
          <w:lang w:bidi="ar-SA"/>
        </w:rPr>
        <w:t>, 101358. https://doi.org/10.1016/j.compenvurbsys.2019.101358</w:t>
      </w:r>
    </w:p>
    <w:p w14:paraId="1974819E" w14:textId="77777777" w:rsidR="0069519A" w:rsidRPr="0069519A" w:rsidRDefault="0069519A" w:rsidP="0069519A">
      <w:pPr>
        <w:spacing w:after="240" w:line="240" w:lineRule="auto"/>
        <w:ind w:left="720" w:hanging="720"/>
        <w:rPr>
          <w:rFonts w:ascii="Times New Roman" w:eastAsia="Calibri" w:hAnsi="Times New Roman"/>
          <w:lang w:val="fr-FR" w:bidi="ar-SA"/>
        </w:rPr>
      </w:pPr>
      <w:r w:rsidRPr="0069519A">
        <w:rPr>
          <w:rFonts w:ascii="Times New Roman" w:eastAsia="Calibri" w:hAnsi="Times New Roman"/>
          <w:lang w:val="fr-FR" w:bidi="ar-SA"/>
        </w:rPr>
        <w:lastRenderedPageBreak/>
        <w:t xml:space="preserve">Chen, G., Li, X., Liu, X., Chen, Y., Liang, X., Leng, J., Xu, X., Liao, W., Qiu, Y., Wu, Q., &amp; Huang, K. (2020). </w:t>
      </w:r>
      <w:r w:rsidRPr="0069519A">
        <w:rPr>
          <w:rFonts w:ascii="Times New Roman" w:eastAsia="Calibri" w:hAnsi="Times New Roman"/>
          <w:lang w:bidi="ar-SA"/>
        </w:rPr>
        <w:t xml:space="preserve">Global projections of future urban land expansion under shared socioeconomic pathways. </w:t>
      </w:r>
      <w:r w:rsidRPr="0069519A">
        <w:rPr>
          <w:rFonts w:ascii="Times New Roman" w:eastAsia="Calibri" w:hAnsi="Times New Roman"/>
          <w:i/>
          <w:iCs/>
          <w:lang w:val="fr-FR" w:bidi="ar-SA"/>
        </w:rPr>
        <w:t>Nature Communications</w:t>
      </w:r>
      <w:r w:rsidRPr="0069519A">
        <w:rPr>
          <w:rFonts w:ascii="Times New Roman" w:eastAsia="Calibri" w:hAnsi="Times New Roman"/>
          <w:lang w:val="fr-FR" w:bidi="ar-SA"/>
        </w:rPr>
        <w:t xml:space="preserve">, </w:t>
      </w:r>
      <w:r w:rsidRPr="0069519A">
        <w:rPr>
          <w:rFonts w:ascii="Times New Roman" w:eastAsia="Calibri" w:hAnsi="Times New Roman"/>
          <w:i/>
          <w:iCs/>
          <w:lang w:val="fr-FR" w:bidi="ar-SA"/>
        </w:rPr>
        <w:t>11</w:t>
      </w:r>
      <w:r w:rsidRPr="0069519A">
        <w:rPr>
          <w:rFonts w:ascii="Times New Roman" w:eastAsia="Calibri" w:hAnsi="Times New Roman"/>
          <w:lang w:val="fr-FR" w:bidi="ar-SA"/>
        </w:rPr>
        <w:t>(1), 537. https://doi.org/10.1038/s41467-020-14386-x</w:t>
      </w:r>
    </w:p>
    <w:p w14:paraId="259D3901"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val="fr-FR" w:bidi="ar-SA"/>
        </w:rPr>
        <w:t xml:space="preserve">Clarke, K. C. (2018). </w:t>
      </w:r>
      <w:r w:rsidRPr="0069519A">
        <w:rPr>
          <w:rFonts w:ascii="Times New Roman" w:eastAsia="Calibri" w:hAnsi="Times New Roman"/>
          <w:lang w:bidi="ar-SA"/>
        </w:rPr>
        <w:t xml:space="preserve">Land Use Change Modeling with SLEUTH: Improving Calibration with a Genetic Algorithm. In M. T. Camacho Olmedo, M. Paegelow, J.-F. Mas, &amp; F. Escobar (Eds.), </w:t>
      </w:r>
      <w:r w:rsidRPr="0069519A">
        <w:rPr>
          <w:rFonts w:ascii="Times New Roman" w:eastAsia="Calibri" w:hAnsi="Times New Roman"/>
          <w:i/>
          <w:iCs/>
          <w:lang w:bidi="ar-SA"/>
        </w:rPr>
        <w:t>Geomatic Approaches for Modeling Land Change Scenarios</w:t>
      </w:r>
      <w:r w:rsidRPr="0069519A">
        <w:rPr>
          <w:rFonts w:ascii="Times New Roman" w:eastAsia="Calibri" w:hAnsi="Times New Roman"/>
          <w:lang w:bidi="ar-SA"/>
        </w:rPr>
        <w:t xml:space="preserve"> (pp. 139–161). Springer International Publishing. https://doi.org/10.1007/978-3-319-60801-3_8</w:t>
      </w:r>
    </w:p>
    <w:p w14:paraId="1BA0B475"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Cobbinah, P. B., &amp; Aboagye, H. N. (2017). A Ghanaian twist to urban sprawl. </w:t>
      </w:r>
      <w:r w:rsidRPr="0069519A">
        <w:rPr>
          <w:rFonts w:ascii="Times New Roman" w:eastAsia="Calibri" w:hAnsi="Times New Roman"/>
          <w:i/>
          <w:iCs/>
          <w:lang w:bidi="ar-SA"/>
        </w:rPr>
        <w:t>Land Use Policy</w:t>
      </w:r>
      <w:r w:rsidRPr="0069519A">
        <w:rPr>
          <w:rFonts w:ascii="Times New Roman" w:eastAsia="Calibri" w:hAnsi="Times New Roman"/>
          <w:lang w:bidi="ar-SA"/>
        </w:rPr>
        <w:t xml:space="preserve">, </w:t>
      </w:r>
      <w:r w:rsidRPr="0069519A">
        <w:rPr>
          <w:rFonts w:ascii="Times New Roman" w:eastAsia="Calibri" w:hAnsi="Times New Roman"/>
          <w:i/>
          <w:iCs/>
          <w:lang w:bidi="ar-SA"/>
        </w:rPr>
        <w:t>61</w:t>
      </w:r>
      <w:r w:rsidRPr="0069519A">
        <w:rPr>
          <w:rFonts w:ascii="Times New Roman" w:eastAsia="Calibri" w:hAnsi="Times New Roman"/>
          <w:lang w:bidi="ar-SA"/>
        </w:rPr>
        <w:t>, 231–241. https://doi.org/10.1016/j.landusepol.2016.10.047</w:t>
      </w:r>
    </w:p>
    <w:p w14:paraId="7F379EDA"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Cobbinah, P. B., Asibey, M. O., &amp; Gyedu-Pensang, Y. A. (2020). Urban land use planning in Ghana: Navigating complex coalescence of land ownership and administration. </w:t>
      </w:r>
      <w:r w:rsidRPr="0069519A">
        <w:rPr>
          <w:rFonts w:ascii="Times New Roman" w:eastAsia="Calibri" w:hAnsi="Times New Roman"/>
          <w:i/>
          <w:iCs/>
          <w:lang w:bidi="ar-SA"/>
        </w:rPr>
        <w:t>Land Use Policy</w:t>
      </w:r>
      <w:r w:rsidRPr="0069519A">
        <w:rPr>
          <w:rFonts w:ascii="Times New Roman" w:eastAsia="Calibri" w:hAnsi="Times New Roman"/>
          <w:lang w:bidi="ar-SA"/>
        </w:rPr>
        <w:t xml:space="preserve">, </w:t>
      </w:r>
      <w:r w:rsidRPr="0069519A">
        <w:rPr>
          <w:rFonts w:ascii="Times New Roman" w:eastAsia="Calibri" w:hAnsi="Times New Roman"/>
          <w:i/>
          <w:iCs/>
          <w:lang w:bidi="ar-SA"/>
        </w:rPr>
        <w:t>99</w:t>
      </w:r>
      <w:r w:rsidRPr="0069519A">
        <w:rPr>
          <w:rFonts w:ascii="Times New Roman" w:eastAsia="Calibri" w:hAnsi="Times New Roman"/>
          <w:lang w:bidi="ar-SA"/>
        </w:rPr>
        <w:t>, 105054. https://doi.org/10.1016/j.landusepol.2020.105054</w:t>
      </w:r>
    </w:p>
    <w:p w14:paraId="13D613CC"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Dorning, M. A., Koch, J., Shoemaker, D. A., &amp; Meentemeyer, R. K. (2015). Simulating urbanization scenarios reveals tradeoffs between conservation planning strategies. </w:t>
      </w:r>
      <w:r w:rsidRPr="0069519A">
        <w:rPr>
          <w:rFonts w:ascii="Times New Roman" w:eastAsia="Calibri" w:hAnsi="Times New Roman"/>
          <w:i/>
          <w:iCs/>
          <w:lang w:bidi="ar-SA"/>
        </w:rPr>
        <w:t>Landscape and Urban Planning</w:t>
      </w:r>
      <w:r w:rsidRPr="0069519A">
        <w:rPr>
          <w:rFonts w:ascii="Times New Roman" w:eastAsia="Calibri" w:hAnsi="Times New Roman"/>
          <w:lang w:bidi="ar-SA"/>
        </w:rPr>
        <w:t xml:space="preserve">, </w:t>
      </w:r>
      <w:r w:rsidRPr="0069519A">
        <w:rPr>
          <w:rFonts w:ascii="Times New Roman" w:eastAsia="Calibri" w:hAnsi="Times New Roman"/>
          <w:i/>
          <w:iCs/>
          <w:lang w:bidi="ar-SA"/>
        </w:rPr>
        <w:t>136</w:t>
      </w:r>
      <w:r w:rsidRPr="0069519A">
        <w:rPr>
          <w:rFonts w:ascii="Times New Roman" w:eastAsia="Calibri" w:hAnsi="Times New Roman"/>
          <w:lang w:bidi="ar-SA"/>
        </w:rPr>
        <w:t>, 28–39. https://doi.org/10.1016/j.landurbplan.2014.11.011</w:t>
      </w:r>
    </w:p>
    <w:p w14:paraId="16C243AA"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Enoguanbhor, E. C., Gollnow, F., Walker, B. B., Nielsen, J. O., &amp; Lakes, T. (2022). Simulating Urban Land Expansion in the Context of Land Use Planning in the Abuja City-Region, Nigeria. </w:t>
      </w:r>
      <w:r w:rsidRPr="0069519A">
        <w:rPr>
          <w:rFonts w:ascii="Times New Roman" w:eastAsia="Calibri" w:hAnsi="Times New Roman"/>
          <w:i/>
          <w:iCs/>
          <w:lang w:bidi="ar-SA"/>
        </w:rPr>
        <w:t>GeoJournal</w:t>
      </w:r>
      <w:r w:rsidRPr="0069519A">
        <w:rPr>
          <w:rFonts w:ascii="Times New Roman" w:eastAsia="Calibri" w:hAnsi="Times New Roman"/>
          <w:lang w:bidi="ar-SA"/>
        </w:rPr>
        <w:t xml:space="preserve">, </w:t>
      </w:r>
      <w:r w:rsidRPr="0069519A">
        <w:rPr>
          <w:rFonts w:ascii="Times New Roman" w:eastAsia="Calibri" w:hAnsi="Times New Roman"/>
          <w:i/>
          <w:iCs/>
          <w:lang w:bidi="ar-SA"/>
        </w:rPr>
        <w:t>87</w:t>
      </w:r>
      <w:r w:rsidRPr="0069519A">
        <w:rPr>
          <w:rFonts w:ascii="Times New Roman" w:eastAsia="Calibri" w:hAnsi="Times New Roman"/>
          <w:lang w:bidi="ar-SA"/>
        </w:rPr>
        <w:t>(3), 1479–1497. https://doi.org/10.1007/s10708-020-10317-x</w:t>
      </w:r>
    </w:p>
    <w:p w14:paraId="35AAA055"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FAO UN. (2014). </w:t>
      </w:r>
      <w:r w:rsidRPr="0069519A">
        <w:rPr>
          <w:rFonts w:ascii="Times New Roman" w:eastAsia="Calibri" w:hAnsi="Times New Roman"/>
          <w:i/>
          <w:iCs/>
          <w:lang w:bidi="ar-SA"/>
        </w:rPr>
        <w:t>GAUL: Global Administrative Unit Layers 2015, Second-Level Administrative Units</w:t>
      </w:r>
      <w:r w:rsidRPr="0069519A">
        <w:rPr>
          <w:rFonts w:ascii="Times New Roman" w:eastAsia="Calibri" w:hAnsi="Times New Roman"/>
          <w:lang w:bidi="ar-SA"/>
        </w:rPr>
        <w:t xml:space="preserve"> [Dataset].</w:t>
      </w:r>
    </w:p>
    <w:p w14:paraId="6DD5B2F8"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Farr, T. G., Rosen, P. A., Caro, E., Crippen, R., Duren, R., Hensley, S., Kobrick, M., Paller, M., Rodriguez, E., Roth, L., Seal, D., Shaffer, S., Shimada, J., Umland, J., Werner, M., Oskin, M., Burbank, D., &amp; Alsdorf, D. (2007). The Shuttle Radar Topography Mission. </w:t>
      </w:r>
      <w:r w:rsidRPr="0069519A">
        <w:rPr>
          <w:rFonts w:ascii="Times New Roman" w:eastAsia="Calibri" w:hAnsi="Times New Roman"/>
          <w:i/>
          <w:iCs/>
          <w:lang w:bidi="ar-SA"/>
        </w:rPr>
        <w:t>Reviews of Geophysics</w:t>
      </w:r>
      <w:r w:rsidRPr="0069519A">
        <w:rPr>
          <w:rFonts w:ascii="Times New Roman" w:eastAsia="Calibri" w:hAnsi="Times New Roman"/>
          <w:lang w:bidi="ar-SA"/>
        </w:rPr>
        <w:t xml:space="preserve">, </w:t>
      </w:r>
      <w:r w:rsidRPr="0069519A">
        <w:rPr>
          <w:rFonts w:ascii="Times New Roman" w:eastAsia="Calibri" w:hAnsi="Times New Roman"/>
          <w:i/>
          <w:iCs/>
          <w:lang w:bidi="ar-SA"/>
        </w:rPr>
        <w:t>45</w:t>
      </w:r>
      <w:r w:rsidRPr="0069519A">
        <w:rPr>
          <w:rFonts w:ascii="Times New Roman" w:eastAsia="Calibri" w:hAnsi="Times New Roman"/>
          <w:lang w:bidi="ar-SA"/>
        </w:rPr>
        <w:t>(2). https://doi.org/10.1029/2005RG000183</w:t>
      </w:r>
    </w:p>
    <w:p w14:paraId="3A3FC8FC"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Gollin, D., Jedwab, R., &amp; Vollrath, D. (2016). Urbanization with and without industrialization. </w:t>
      </w:r>
      <w:r w:rsidRPr="0069519A">
        <w:rPr>
          <w:rFonts w:ascii="Times New Roman" w:eastAsia="Calibri" w:hAnsi="Times New Roman"/>
          <w:i/>
          <w:iCs/>
          <w:lang w:bidi="ar-SA"/>
        </w:rPr>
        <w:t>Journal of Economic Growth</w:t>
      </w:r>
      <w:r w:rsidRPr="0069519A">
        <w:rPr>
          <w:rFonts w:ascii="Times New Roman" w:eastAsia="Calibri" w:hAnsi="Times New Roman"/>
          <w:lang w:bidi="ar-SA"/>
        </w:rPr>
        <w:t xml:space="preserve">, </w:t>
      </w:r>
      <w:r w:rsidRPr="0069519A">
        <w:rPr>
          <w:rFonts w:ascii="Times New Roman" w:eastAsia="Calibri" w:hAnsi="Times New Roman"/>
          <w:i/>
          <w:iCs/>
          <w:lang w:bidi="ar-SA"/>
        </w:rPr>
        <w:t>21</w:t>
      </w:r>
      <w:r w:rsidRPr="0069519A">
        <w:rPr>
          <w:rFonts w:ascii="Times New Roman" w:eastAsia="Calibri" w:hAnsi="Times New Roman"/>
          <w:lang w:bidi="ar-SA"/>
        </w:rPr>
        <w:t>(1), 35–70. https://doi.org/10.1007/s10887-015-9121-4</w:t>
      </w:r>
    </w:p>
    <w:p w14:paraId="3C0E2CCF"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Goncalves, T. M., Zhong, X., Ziggah, Y. Y., &amp; Dwamena, B. Y. (2019). Simulating Urban Growth Using Cellular Automata Approach (SLEUTH)-A Case Study of Praia City, Cabo Verde. </w:t>
      </w:r>
      <w:r w:rsidRPr="0069519A">
        <w:rPr>
          <w:rFonts w:ascii="Times New Roman" w:eastAsia="Calibri" w:hAnsi="Times New Roman"/>
          <w:i/>
          <w:iCs/>
          <w:lang w:bidi="ar-SA"/>
        </w:rPr>
        <w:t>IEEE Access</w:t>
      </w:r>
      <w:r w:rsidRPr="0069519A">
        <w:rPr>
          <w:rFonts w:ascii="Times New Roman" w:eastAsia="Calibri" w:hAnsi="Times New Roman"/>
          <w:lang w:bidi="ar-SA"/>
        </w:rPr>
        <w:t xml:space="preserve">, </w:t>
      </w:r>
      <w:r w:rsidRPr="0069519A">
        <w:rPr>
          <w:rFonts w:ascii="Times New Roman" w:eastAsia="Calibri" w:hAnsi="Times New Roman"/>
          <w:i/>
          <w:iCs/>
          <w:lang w:bidi="ar-SA"/>
        </w:rPr>
        <w:t>7</w:t>
      </w:r>
      <w:r w:rsidRPr="0069519A">
        <w:rPr>
          <w:rFonts w:ascii="Times New Roman" w:eastAsia="Calibri" w:hAnsi="Times New Roman"/>
          <w:lang w:bidi="ar-SA"/>
        </w:rPr>
        <w:t>, 156430–156442. https://doi.org/10.1109/ACCESS.2019.2949689</w:t>
      </w:r>
    </w:p>
    <w:p w14:paraId="06D9E30F"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Güneralp, B., Lwasa, S., Masundire, H., Parnell, S., &amp; Seto, K. C. (2017). Urbanization in Africa: Challenges and opportunities for conservation. </w:t>
      </w:r>
      <w:r w:rsidRPr="0069519A">
        <w:rPr>
          <w:rFonts w:ascii="Times New Roman" w:eastAsia="Calibri" w:hAnsi="Times New Roman"/>
          <w:i/>
          <w:iCs/>
          <w:lang w:bidi="ar-SA"/>
        </w:rPr>
        <w:t>Environmental Research Letters</w:t>
      </w:r>
      <w:r w:rsidRPr="0069519A">
        <w:rPr>
          <w:rFonts w:ascii="Times New Roman" w:eastAsia="Calibri" w:hAnsi="Times New Roman"/>
          <w:lang w:bidi="ar-SA"/>
        </w:rPr>
        <w:t xml:space="preserve">, </w:t>
      </w:r>
      <w:r w:rsidRPr="0069519A">
        <w:rPr>
          <w:rFonts w:ascii="Times New Roman" w:eastAsia="Calibri" w:hAnsi="Times New Roman"/>
          <w:i/>
          <w:iCs/>
          <w:lang w:bidi="ar-SA"/>
        </w:rPr>
        <w:t>13</w:t>
      </w:r>
      <w:r w:rsidRPr="0069519A">
        <w:rPr>
          <w:rFonts w:ascii="Times New Roman" w:eastAsia="Calibri" w:hAnsi="Times New Roman"/>
          <w:lang w:bidi="ar-SA"/>
        </w:rPr>
        <w:t>(1), 015002. https://doi.org/10.1088/1748-9326/aa94fe</w:t>
      </w:r>
    </w:p>
    <w:p w14:paraId="6FE87277"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Güneralp, B., Reba, M., Hales, B. U., Wentz, E. A., &amp; Seto, K. C. (2020). Trends in urban land expansion, density, and land transitions from 1970 to 2010: A global synthesis. </w:t>
      </w:r>
      <w:r w:rsidRPr="0069519A">
        <w:rPr>
          <w:rFonts w:ascii="Times New Roman" w:eastAsia="Calibri" w:hAnsi="Times New Roman"/>
          <w:i/>
          <w:iCs/>
          <w:lang w:bidi="ar-SA"/>
        </w:rPr>
        <w:lastRenderedPageBreak/>
        <w:t>Environmental Research Letters</w:t>
      </w:r>
      <w:r w:rsidRPr="0069519A">
        <w:rPr>
          <w:rFonts w:ascii="Times New Roman" w:eastAsia="Calibri" w:hAnsi="Times New Roman"/>
          <w:lang w:bidi="ar-SA"/>
        </w:rPr>
        <w:t xml:space="preserve">, </w:t>
      </w:r>
      <w:r w:rsidRPr="0069519A">
        <w:rPr>
          <w:rFonts w:ascii="Times New Roman" w:eastAsia="Calibri" w:hAnsi="Times New Roman"/>
          <w:i/>
          <w:iCs/>
          <w:lang w:bidi="ar-SA"/>
        </w:rPr>
        <w:t>15</w:t>
      </w:r>
      <w:r w:rsidRPr="0069519A">
        <w:rPr>
          <w:rFonts w:ascii="Times New Roman" w:eastAsia="Calibri" w:hAnsi="Times New Roman"/>
          <w:lang w:bidi="ar-SA"/>
        </w:rPr>
        <w:t>(4), 044015. https://doi.org/10.1088/1748-9326/ab6669</w:t>
      </w:r>
    </w:p>
    <w:p w14:paraId="437C2C07"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Güneralp, B., &amp; Seto, K. C. (2013). Futures of global urban expansion: Uncertainties and implications for biodiversity conservation. </w:t>
      </w:r>
      <w:r w:rsidRPr="0069519A">
        <w:rPr>
          <w:rFonts w:ascii="Times New Roman" w:eastAsia="Calibri" w:hAnsi="Times New Roman"/>
          <w:i/>
          <w:iCs/>
          <w:lang w:bidi="ar-SA"/>
        </w:rPr>
        <w:t>Environmental Research Letters</w:t>
      </w:r>
      <w:r w:rsidRPr="0069519A">
        <w:rPr>
          <w:rFonts w:ascii="Times New Roman" w:eastAsia="Calibri" w:hAnsi="Times New Roman"/>
          <w:lang w:bidi="ar-SA"/>
        </w:rPr>
        <w:t xml:space="preserve">, </w:t>
      </w:r>
      <w:r w:rsidRPr="0069519A">
        <w:rPr>
          <w:rFonts w:ascii="Times New Roman" w:eastAsia="Calibri" w:hAnsi="Times New Roman"/>
          <w:i/>
          <w:iCs/>
          <w:lang w:bidi="ar-SA"/>
        </w:rPr>
        <w:t>8</w:t>
      </w:r>
      <w:r w:rsidRPr="0069519A">
        <w:rPr>
          <w:rFonts w:ascii="Times New Roman" w:eastAsia="Calibri" w:hAnsi="Times New Roman"/>
          <w:lang w:bidi="ar-SA"/>
        </w:rPr>
        <w:t>(1), 014025. https://doi.org/10.1088/1748-9326/8/1/014025</w:t>
      </w:r>
    </w:p>
    <w:p w14:paraId="0DB1D87F"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Henderson, J. V., Storeygard, A., &amp; Deichmann, U. (2017). Has climate change driven urbanization in Africa? </w:t>
      </w:r>
      <w:r w:rsidRPr="0069519A">
        <w:rPr>
          <w:rFonts w:ascii="Times New Roman" w:eastAsia="Calibri" w:hAnsi="Times New Roman"/>
          <w:i/>
          <w:iCs/>
          <w:lang w:bidi="ar-SA"/>
        </w:rPr>
        <w:t>Journal of Development Economics</w:t>
      </w:r>
      <w:r w:rsidRPr="0069519A">
        <w:rPr>
          <w:rFonts w:ascii="Times New Roman" w:eastAsia="Calibri" w:hAnsi="Times New Roman"/>
          <w:lang w:bidi="ar-SA"/>
        </w:rPr>
        <w:t xml:space="preserve">, </w:t>
      </w:r>
      <w:r w:rsidRPr="0069519A">
        <w:rPr>
          <w:rFonts w:ascii="Times New Roman" w:eastAsia="Calibri" w:hAnsi="Times New Roman"/>
          <w:i/>
          <w:iCs/>
          <w:lang w:bidi="ar-SA"/>
        </w:rPr>
        <w:t>124</w:t>
      </w:r>
      <w:r w:rsidRPr="0069519A">
        <w:rPr>
          <w:rFonts w:ascii="Times New Roman" w:eastAsia="Calibri" w:hAnsi="Times New Roman"/>
          <w:lang w:bidi="ar-SA"/>
        </w:rPr>
        <w:t>, 60–82. https://doi.org/10.1016/j.jdeveco.2016.09.001</w:t>
      </w:r>
    </w:p>
    <w:p w14:paraId="7ACB2C57"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Idowu, T., Waswa, R., Lasisi, K., Mubea, K., Nyadawa, M., &amp; Kiema, J. (2020). Towards achieving Sustainability of coastal environments: Urban Growth analysis and prediction of Lagos, State Nigeria. </w:t>
      </w:r>
      <w:r w:rsidRPr="0069519A">
        <w:rPr>
          <w:rFonts w:ascii="Times New Roman" w:eastAsia="Calibri" w:hAnsi="Times New Roman"/>
          <w:i/>
          <w:iCs/>
          <w:lang w:bidi="ar-SA"/>
        </w:rPr>
        <w:t>South African Journal of Geomatics</w:t>
      </w:r>
      <w:r w:rsidRPr="0069519A">
        <w:rPr>
          <w:rFonts w:ascii="Times New Roman" w:eastAsia="Calibri" w:hAnsi="Times New Roman"/>
          <w:lang w:bidi="ar-SA"/>
        </w:rPr>
        <w:t xml:space="preserve">, </w:t>
      </w:r>
      <w:r w:rsidRPr="0069519A">
        <w:rPr>
          <w:rFonts w:ascii="Times New Roman" w:eastAsia="Calibri" w:hAnsi="Times New Roman"/>
          <w:i/>
          <w:iCs/>
          <w:lang w:bidi="ar-SA"/>
        </w:rPr>
        <w:t>9</w:t>
      </w:r>
      <w:r w:rsidRPr="0069519A">
        <w:rPr>
          <w:rFonts w:ascii="Times New Roman" w:eastAsia="Calibri" w:hAnsi="Times New Roman"/>
          <w:lang w:bidi="ar-SA"/>
        </w:rPr>
        <w:t>(2), 149–162. https://doi.org/10.4314/sajg.v9i2.11</w:t>
      </w:r>
    </w:p>
    <w:p w14:paraId="5F710C40"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Ke, X., Qi, L., &amp; Zeng, C. (2015). A partitioned and asynchronous cellular automata model for urban growth simulation. </w:t>
      </w:r>
      <w:r w:rsidRPr="0069519A">
        <w:rPr>
          <w:rFonts w:ascii="Times New Roman" w:eastAsia="Calibri" w:hAnsi="Times New Roman"/>
          <w:i/>
          <w:iCs/>
          <w:lang w:bidi="ar-SA"/>
        </w:rPr>
        <w:t>International Journal of Geographical Information Science</w:t>
      </w:r>
      <w:r w:rsidRPr="0069519A">
        <w:rPr>
          <w:rFonts w:ascii="Times New Roman" w:eastAsia="Calibri" w:hAnsi="Times New Roman"/>
          <w:lang w:bidi="ar-SA"/>
        </w:rPr>
        <w:t xml:space="preserve">, </w:t>
      </w:r>
      <w:r w:rsidRPr="0069519A">
        <w:rPr>
          <w:rFonts w:ascii="Times New Roman" w:eastAsia="Calibri" w:hAnsi="Times New Roman"/>
          <w:i/>
          <w:iCs/>
          <w:lang w:bidi="ar-SA"/>
        </w:rPr>
        <w:t>30</w:t>
      </w:r>
      <w:r w:rsidRPr="0069519A">
        <w:rPr>
          <w:rFonts w:ascii="Times New Roman" w:eastAsia="Calibri" w:hAnsi="Times New Roman"/>
          <w:lang w:bidi="ar-SA"/>
        </w:rPr>
        <w:t>, 1–23. https://doi.org/10.1080/13658816.2015.1084510</w:t>
      </w:r>
    </w:p>
    <w:p w14:paraId="0EEFDCD4"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Koch, J., Schaldach, R., &amp; Göpel, J. (2019). Can agricultural intensification help to conserve biodiversity? A scenario study for the African continent. </w:t>
      </w:r>
      <w:r w:rsidRPr="0069519A">
        <w:rPr>
          <w:rFonts w:ascii="Times New Roman" w:eastAsia="Calibri" w:hAnsi="Times New Roman"/>
          <w:i/>
          <w:iCs/>
          <w:lang w:bidi="ar-SA"/>
        </w:rPr>
        <w:t>Journal of Environmental Management</w:t>
      </w:r>
      <w:r w:rsidRPr="0069519A">
        <w:rPr>
          <w:rFonts w:ascii="Times New Roman" w:eastAsia="Calibri" w:hAnsi="Times New Roman"/>
          <w:lang w:bidi="ar-SA"/>
        </w:rPr>
        <w:t xml:space="preserve">, </w:t>
      </w:r>
      <w:r w:rsidRPr="0069519A">
        <w:rPr>
          <w:rFonts w:ascii="Times New Roman" w:eastAsia="Calibri" w:hAnsi="Times New Roman"/>
          <w:i/>
          <w:iCs/>
          <w:lang w:bidi="ar-SA"/>
        </w:rPr>
        <w:t>247</w:t>
      </w:r>
      <w:r w:rsidRPr="0069519A">
        <w:rPr>
          <w:rFonts w:ascii="Times New Roman" w:eastAsia="Calibri" w:hAnsi="Times New Roman"/>
          <w:lang w:bidi="ar-SA"/>
        </w:rPr>
        <w:t>, 29–37. https://doi.org/10.1016/j.jenvman.2019.06.015</w:t>
      </w:r>
    </w:p>
    <w:p w14:paraId="22F761DF" w14:textId="0D0AF23C"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Koch, J., Wimmer, F</w:t>
      </w:r>
      <w:r w:rsidR="00A81DDD">
        <w:rPr>
          <w:rFonts w:ascii="Times New Roman" w:eastAsia="Calibri" w:hAnsi="Times New Roman"/>
          <w:lang w:bidi="ar-SA"/>
        </w:rPr>
        <w:t>.</w:t>
      </w:r>
      <w:r w:rsidRPr="0069519A">
        <w:rPr>
          <w:rFonts w:ascii="Times New Roman" w:eastAsia="Calibri" w:hAnsi="Times New Roman"/>
          <w:lang w:bidi="ar-SA"/>
        </w:rPr>
        <w:t xml:space="preserve">, &amp; Schaldach, R. (2018). Analyzing the relationship between urbanization, food supply and demand, and irrigation requirements in Jordan. </w:t>
      </w:r>
      <w:r w:rsidRPr="0069519A">
        <w:rPr>
          <w:rFonts w:ascii="Times New Roman" w:eastAsia="Calibri" w:hAnsi="Times New Roman"/>
          <w:i/>
          <w:iCs/>
          <w:lang w:bidi="ar-SA"/>
        </w:rPr>
        <w:t>Science of the Total Environment</w:t>
      </w:r>
      <w:r w:rsidRPr="0069519A">
        <w:rPr>
          <w:rFonts w:ascii="Times New Roman" w:eastAsia="Calibri" w:hAnsi="Times New Roman"/>
          <w:lang w:bidi="ar-SA"/>
        </w:rPr>
        <w:t xml:space="preserve">, </w:t>
      </w:r>
      <w:r w:rsidRPr="0069519A">
        <w:rPr>
          <w:rFonts w:ascii="Times New Roman" w:eastAsia="Calibri" w:hAnsi="Times New Roman"/>
          <w:i/>
          <w:iCs/>
          <w:lang w:bidi="ar-SA"/>
        </w:rPr>
        <w:t>636</w:t>
      </w:r>
      <w:r w:rsidRPr="0069519A">
        <w:rPr>
          <w:rFonts w:ascii="Times New Roman" w:eastAsia="Calibri" w:hAnsi="Times New Roman"/>
          <w:lang w:bidi="ar-SA"/>
        </w:rPr>
        <w:t>, 1500–1509. https://doi.org/10.1016/j.scitotenv.2018.04.058</w:t>
      </w:r>
    </w:p>
    <w:p w14:paraId="07726BFA"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Korah, A., Koch, J. A. M., &amp; Wimberly, M. C. (2024). Understanding urban growth modeling in Africa: Dynamics, drivers, and challenges. </w:t>
      </w:r>
      <w:r w:rsidRPr="0069519A">
        <w:rPr>
          <w:rFonts w:ascii="Times New Roman" w:eastAsia="Calibri" w:hAnsi="Times New Roman"/>
          <w:i/>
          <w:iCs/>
          <w:lang w:bidi="ar-SA"/>
        </w:rPr>
        <w:t>Cities</w:t>
      </w:r>
      <w:r w:rsidRPr="0069519A">
        <w:rPr>
          <w:rFonts w:ascii="Times New Roman" w:eastAsia="Calibri" w:hAnsi="Times New Roman"/>
          <w:lang w:bidi="ar-SA"/>
        </w:rPr>
        <w:t xml:space="preserve">, </w:t>
      </w:r>
      <w:r w:rsidRPr="0069519A">
        <w:rPr>
          <w:rFonts w:ascii="Times New Roman" w:eastAsia="Calibri" w:hAnsi="Times New Roman"/>
          <w:i/>
          <w:iCs/>
          <w:lang w:bidi="ar-SA"/>
        </w:rPr>
        <w:t>146</w:t>
      </w:r>
      <w:r w:rsidRPr="0069519A">
        <w:rPr>
          <w:rFonts w:ascii="Times New Roman" w:eastAsia="Calibri" w:hAnsi="Times New Roman"/>
          <w:lang w:bidi="ar-SA"/>
        </w:rPr>
        <w:t>, 104734. https://doi.org/10.1016/j.cities.2023.104734</w:t>
      </w:r>
    </w:p>
    <w:p w14:paraId="71CA85AC" w14:textId="77777777" w:rsidR="008B3436" w:rsidRPr="008B3436" w:rsidRDefault="008B3436" w:rsidP="008B3436">
      <w:pPr>
        <w:spacing w:after="240" w:line="240" w:lineRule="auto"/>
        <w:ind w:left="720" w:hanging="720"/>
        <w:rPr>
          <w:rFonts w:ascii="Times New Roman" w:eastAsia="Aptos" w:hAnsi="Times New Roman"/>
          <w:kern w:val="2"/>
          <w:lang w:bidi="ar-SA"/>
          <w14:ligatures w14:val="standardContextual"/>
        </w:rPr>
      </w:pPr>
      <w:r w:rsidRPr="008B3436">
        <w:rPr>
          <w:rFonts w:ascii="Times New Roman" w:eastAsia="Aptos" w:hAnsi="Times New Roman"/>
          <w:kern w:val="2"/>
          <w:lang w:bidi="ar-SA"/>
          <w14:ligatures w14:val="standardContextual"/>
        </w:rPr>
        <w:t xml:space="preserve">Korah, A., &amp; Wimberly, M. (2024a). </w:t>
      </w:r>
      <w:r w:rsidRPr="008B3436">
        <w:rPr>
          <w:rFonts w:ascii="Times New Roman" w:eastAsia="Aptos" w:hAnsi="Times New Roman"/>
          <w:i/>
          <w:iCs/>
          <w:kern w:val="2"/>
          <w:lang w:bidi="ar-SA"/>
          <w14:ligatures w14:val="standardContextual"/>
        </w:rPr>
        <w:t>WADISC: Annual Impervious Surface Data for Ghana, Togo, Benin, and Nigeria from 2001 – 2020</w:t>
      </w:r>
      <w:r w:rsidRPr="008B3436">
        <w:rPr>
          <w:rFonts w:ascii="Times New Roman" w:eastAsia="Aptos" w:hAnsi="Times New Roman"/>
          <w:kern w:val="2"/>
          <w:lang w:bidi="ar-SA"/>
          <w14:ligatures w14:val="standardContextual"/>
        </w:rPr>
        <w:t xml:space="preserve"> [Dataset]. figshare. https://doi.org/10.6084/m9.figshare.24716481.v3</w:t>
      </w:r>
    </w:p>
    <w:p w14:paraId="0176FCB7" w14:textId="77777777" w:rsidR="008B3436" w:rsidRPr="008B3436" w:rsidRDefault="008B3436" w:rsidP="008B3436">
      <w:pPr>
        <w:spacing w:after="240" w:line="240" w:lineRule="auto"/>
        <w:ind w:left="720" w:hanging="720"/>
        <w:rPr>
          <w:rFonts w:ascii="Times New Roman" w:eastAsia="Aptos" w:hAnsi="Times New Roman"/>
          <w:kern w:val="2"/>
          <w:lang w:bidi="ar-SA"/>
          <w14:ligatures w14:val="standardContextual"/>
        </w:rPr>
      </w:pPr>
      <w:r w:rsidRPr="008B3436">
        <w:rPr>
          <w:rFonts w:ascii="Times New Roman" w:eastAsia="Aptos" w:hAnsi="Times New Roman"/>
          <w:kern w:val="2"/>
          <w:lang w:bidi="ar-SA"/>
          <w14:ligatures w14:val="standardContextual"/>
        </w:rPr>
        <w:t xml:space="preserve">Korah, A., &amp; Wimberly, M. C. (2024b). Annual Impervious Surface Data from 2001–2020 for West African Countries: Ghana, Togo, Benin and Nigeria. </w:t>
      </w:r>
      <w:r w:rsidRPr="008B3436">
        <w:rPr>
          <w:rFonts w:ascii="Times New Roman" w:eastAsia="Aptos" w:hAnsi="Times New Roman"/>
          <w:i/>
          <w:iCs/>
          <w:kern w:val="2"/>
          <w:lang w:bidi="ar-SA"/>
          <w14:ligatures w14:val="standardContextual"/>
        </w:rPr>
        <w:t>Scientific Data</w:t>
      </w:r>
      <w:r w:rsidRPr="008B3436">
        <w:rPr>
          <w:rFonts w:ascii="Times New Roman" w:eastAsia="Aptos" w:hAnsi="Times New Roman"/>
          <w:kern w:val="2"/>
          <w:lang w:bidi="ar-SA"/>
          <w14:ligatures w14:val="standardContextual"/>
        </w:rPr>
        <w:t xml:space="preserve">, </w:t>
      </w:r>
      <w:r w:rsidRPr="008B3436">
        <w:rPr>
          <w:rFonts w:ascii="Times New Roman" w:eastAsia="Aptos" w:hAnsi="Times New Roman"/>
          <w:i/>
          <w:iCs/>
          <w:kern w:val="2"/>
          <w:lang w:bidi="ar-SA"/>
          <w14:ligatures w14:val="standardContextual"/>
        </w:rPr>
        <w:t>11</w:t>
      </w:r>
      <w:r w:rsidRPr="008B3436">
        <w:rPr>
          <w:rFonts w:ascii="Times New Roman" w:eastAsia="Aptos" w:hAnsi="Times New Roman"/>
          <w:kern w:val="2"/>
          <w:lang w:bidi="ar-SA"/>
          <w14:ligatures w14:val="standardContextual"/>
        </w:rPr>
        <w:t>(1), 791. https://doi.org/10.1038/s41597-024-03610-8</w:t>
      </w:r>
    </w:p>
    <w:p w14:paraId="4CC9BB3E" w14:textId="77777777" w:rsidR="008B3436" w:rsidRPr="008B3436" w:rsidRDefault="008B3436" w:rsidP="008B3436">
      <w:pPr>
        <w:spacing w:after="240" w:line="240" w:lineRule="auto"/>
        <w:ind w:left="720" w:hanging="720"/>
        <w:rPr>
          <w:rFonts w:ascii="Times New Roman" w:eastAsia="Aptos" w:hAnsi="Times New Roman"/>
          <w:kern w:val="2"/>
          <w:lang w:bidi="ar-SA"/>
          <w14:ligatures w14:val="standardContextual"/>
        </w:rPr>
      </w:pPr>
      <w:r w:rsidRPr="008B3436">
        <w:rPr>
          <w:rFonts w:ascii="Times New Roman" w:eastAsia="Aptos" w:hAnsi="Times New Roman"/>
          <w:kern w:val="2"/>
          <w:lang w:bidi="ar-SA"/>
          <w14:ligatures w14:val="standardContextual"/>
        </w:rPr>
        <w:t xml:space="preserve">Korah, A., &amp; Wimberly, M. C. (2024c). Smaller cities have large impacts on West Africa’s expanding urban system. </w:t>
      </w:r>
      <w:r w:rsidRPr="008B3436">
        <w:rPr>
          <w:rFonts w:ascii="Times New Roman" w:eastAsia="Aptos" w:hAnsi="Times New Roman"/>
          <w:i/>
          <w:iCs/>
          <w:kern w:val="2"/>
          <w:lang w:bidi="ar-SA"/>
          <w14:ligatures w14:val="standardContextual"/>
        </w:rPr>
        <w:t>Sustainable Cities and Society</w:t>
      </w:r>
      <w:r w:rsidRPr="008B3436">
        <w:rPr>
          <w:rFonts w:ascii="Times New Roman" w:eastAsia="Aptos" w:hAnsi="Times New Roman"/>
          <w:kern w:val="2"/>
          <w:lang w:bidi="ar-SA"/>
          <w14:ligatures w14:val="standardContextual"/>
        </w:rPr>
        <w:t xml:space="preserve">, </w:t>
      </w:r>
      <w:r w:rsidRPr="008B3436">
        <w:rPr>
          <w:rFonts w:ascii="Times New Roman" w:eastAsia="Aptos" w:hAnsi="Times New Roman"/>
          <w:i/>
          <w:iCs/>
          <w:kern w:val="2"/>
          <w:lang w:bidi="ar-SA"/>
          <w14:ligatures w14:val="standardContextual"/>
        </w:rPr>
        <w:t>106</w:t>
      </w:r>
      <w:r w:rsidRPr="008B3436">
        <w:rPr>
          <w:rFonts w:ascii="Times New Roman" w:eastAsia="Aptos" w:hAnsi="Times New Roman"/>
          <w:kern w:val="2"/>
          <w:lang w:bidi="ar-SA"/>
          <w14:ligatures w14:val="standardContextual"/>
        </w:rPr>
        <w:t>, 105381. https://doi.org/10.1016/j.scs.2024.105381</w:t>
      </w:r>
    </w:p>
    <w:p w14:paraId="6C7E99A6"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Kukkonen, M. O., Muhammad, M. J., Kayhko, N., &amp; Luoto, M. (2018). Urban expansion in Zanzibar City, Tanzania: Analyzing quantity, spatial patterns and effects of alternative planning approaches. </w:t>
      </w:r>
      <w:r w:rsidRPr="0069519A">
        <w:rPr>
          <w:rFonts w:ascii="Times New Roman" w:eastAsia="Calibri" w:hAnsi="Times New Roman"/>
          <w:i/>
          <w:iCs/>
          <w:lang w:bidi="ar-SA"/>
        </w:rPr>
        <w:t>Land Use Policy</w:t>
      </w:r>
      <w:r w:rsidRPr="0069519A">
        <w:rPr>
          <w:rFonts w:ascii="Times New Roman" w:eastAsia="Calibri" w:hAnsi="Times New Roman"/>
          <w:lang w:bidi="ar-SA"/>
        </w:rPr>
        <w:t xml:space="preserve">, </w:t>
      </w:r>
      <w:r w:rsidRPr="0069519A">
        <w:rPr>
          <w:rFonts w:ascii="Times New Roman" w:eastAsia="Calibri" w:hAnsi="Times New Roman"/>
          <w:i/>
          <w:iCs/>
          <w:lang w:bidi="ar-SA"/>
        </w:rPr>
        <w:t>71</w:t>
      </w:r>
      <w:r w:rsidRPr="0069519A">
        <w:rPr>
          <w:rFonts w:ascii="Times New Roman" w:eastAsia="Calibri" w:hAnsi="Times New Roman"/>
          <w:lang w:bidi="ar-SA"/>
        </w:rPr>
        <w:t>, 554–565. https://doi.org/10.1016/j.landusepol.2017.11.007</w:t>
      </w:r>
    </w:p>
    <w:p w14:paraId="4FD95FED"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lastRenderedPageBreak/>
        <w:t xml:space="preserve">Linard, C., Tatem, A. J., &amp; Gilbert, M. (2013). Modelling spatial patterns of urban growth in Africa. </w:t>
      </w:r>
      <w:r w:rsidRPr="0069519A">
        <w:rPr>
          <w:rFonts w:ascii="Times New Roman" w:eastAsia="Calibri" w:hAnsi="Times New Roman"/>
          <w:i/>
          <w:iCs/>
          <w:lang w:bidi="ar-SA"/>
        </w:rPr>
        <w:t>Applied Geography</w:t>
      </w:r>
      <w:r w:rsidRPr="0069519A">
        <w:rPr>
          <w:rFonts w:ascii="Times New Roman" w:eastAsia="Calibri" w:hAnsi="Times New Roman"/>
          <w:lang w:bidi="ar-SA"/>
        </w:rPr>
        <w:t xml:space="preserve">, </w:t>
      </w:r>
      <w:r w:rsidRPr="0069519A">
        <w:rPr>
          <w:rFonts w:ascii="Times New Roman" w:eastAsia="Calibri" w:hAnsi="Times New Roman"/>
          <w:i/>
          <w:iCs/>
          <w:lang w:bidi="ar-SA"/>
        </w:rPr>
        <w:t>44</w:t>
      </w:r>
      <w:r w:rsidRPr="0069519A">
        <w:rPr>
          <w:rFonts w:ascii="Times New Roman" w:eastAsia="Calibri" w:hAnsi="Times New Roman"/>
          <w:lang w:bidi="ar-SA"/>
        </w:rPr>
        <w:t>, 23–32. https://doi.org/10.1016/j.apgeog.2013.07.009</w:t>
      </w:r>
    </w:p>
    <w:p w14:paraId="6141F338"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Liu, X., Liang, X., Li, X., Xu, X., Ou, J., Chen, Y., Li, S., Wang, S., &amp; Pei, F. (2017). A future land use simulation model (FLUS) for simulating multiple land use scenarios by coupling human and natural effects. </w:t>
      </w:r>
      <w:r w:rsidRPr="0069519A">
        <w:rPr>
          <w:rFonts w:ascii="Times New Roman" w:eastAsia="Calibri" w:hAnsi="Times New Roman"/>
          <w:i/>
          <w:iCs/>
          <w:lang w:bidi="ar-SA"/>
        </w:rPr>
        <w:t>Landscape and Urban Planning</w:t>
      </w:r>
      <w:r w:rsidRPr="0069519A">
        <w:rPr>
          <w:rFonts w:ascii="Times New Roman" w:eastAsia="Calibri" w:hAnsi="Times New Roman"/>
          <w:lang w:bidi="ar-SA"/>
        </w:rPr>
        <w:t xml:space="preserve">, </w:t>
      </w:r>
      <w:r w:rsidRPr="0069519A">
        <w:rPr>
          <w:rFonts w:ascii="Times New Roman" w:eastAsia="Calibri" w:hAnsi="Times New Roman"/>
          <w:i/>
          <w:iCs/>
          <w:lang w:bidi="ar-SA"/>
        </w:rPr>
        <w:t>168</w:t>
      </w:r>
      <w:r w:rsidRPr="0069519A">
        <w:rPr>
          <w:rFonts w:ascii="Times New Roman" w:eastAsia="Calibri" w:hAnsi="Times New Roman"/>
          <w:lang w:bidi="ar-SA"/>
        </w:rPr>
        <w:t>, 94–116. https://doi.org/10.1016/j.landurbplan.2017.09.019</w:t>
      </w:r>
    </w:p>
    <w:p w14:paraId="3A1C894E" w14:textId="77777777" w:rsidR="0069519A" w:rsidRPr="0069519A" w:rsidRDefault="0069519A" w:rsidP="0069519A">
      <w:pPr>
        <w:spacing w:after="240" w:line="240" w:lineRule="auto"/>
        <w:ind w:left="720" w:hanging="720"/>
        <w:rPr>
          <w:rFonts w:ascii="Times New Roman" w:eastAsia="Calibri" w:hAnsi="Times New Roman"/>
          <w:lang w:val="es-ES" w:bidi="ar-SA"/>
        </w:rPr>
      </w:pPr>
      <w:r w:rsidRPr="0069519A">
        <w:rPr>
          <w:rFonts w:ascii="Times New Roman" w:eastAsia="Calibri" w:hAnsi="Times New Roman"/>
          <w:lang w:bidi="ar-SA"/>
        </w:rPr>
        <w:t xml:space="preserve">Liu, Y., Li, L., Chen, L., Cheng, L., Zhou, X., Cui, Y., Li, H., &amp; Liu, W. (2019). Urban growth simulation in different scenarios using the SLEUTH model: A case study of Hefei, East China. </w:t>
      </w:r>
      <w:r w:rsidRPr="0069519A">
        <w:rPr>
          <w:rFonts w:ascii="Times New Roman" w:eastAsia="Calibri" w:hAnsi="Times New Roman"/>
          <w:i/>
          <w:iCs/>
          <w:lang w:val="es-ES" w:bidi="ar-SA"/>
        </w:rPr>
        <w:t>PLOS ONE</w:t>
      </w:r>
      <w:r w:rsidRPr="0069519A">
        <w:rPr>
          <w:rFonts w:ascii="Times New Roman" w:eastAsia="Calibri" w:hAnsi="Times New Roman"/>
          <w:lang w:val="es-ES" w:bidi="ar-SA"/>
        </w:rPr>
        <w:t xml:space="preserve">, </w:t>
      </w:r>
      <w:r w:rsidRPr="0069519A">
        <w:rPr>
          <w:rFonts w:ascii="Times New Roman" w:eastAsia="Calibri" w:hAnsi="Times New Roman"/>
          <w:i/>
          <w:iCs/>
          <w:lang w:val="es-ES" w:bidi="ar-SA"/>
        </w:rPr>
        <w:t>14</w:t>
      </w:r>
      <w:r w:rsidRPr="0069519A">
        <w:rPr>
          <w:rFonts w:ascii="Times New Roman" w:eastAsia="Calibri" w:hAnsi="Times New Roman"/>
          <w:lang w:val="es-ES" w:bidi="ar-SA"/>
        </w:rPr>
        <w:t>(11), e0224998. https://doi.org/10.1371/journal.pone.0224998</w:t>
      </w:r>
    </w:p>
    <w:p w14:paraId="73CC46A1"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val="es-ES" w:bidi="ar-SA"/>
        </w:rPr>
        <w:t xml:space="preserve">Marais, L., &amp; Cloete, J. (2017). </w:t>
      </w:r>
      <w:r w:rsidRPr="0069519A">
        <w:rPr>
          <w:rFonts w:ascii="Times New Roman" w:eastAsia="Calibri" w:hAnsi="Times New Roman"/>
          <w:lang w:bidi="ar-SA"/>
        </w:rPr>
        <w:t xml:space="preserve">The role of secondary cities in managing urbanisation in South Africa. </w:t>
      </w:r>
      <w:r w:rsidRPr="0069519A">
        <w:rPr>
          <w:rFonts w:ascii="Times New Roman" w:eastAsia="Calibri" w:hAnsi="Times New Roman"/>
          <w:i/>
          <w:iCs/>
          <w:lang w:bidi="ar-SA"/>
        </w:rPr>
        <w:t>Development Southern Africa</w:t>
      </w:r>
      <w:r w:rsidRPr="0069519A">
        <w:rPr>
          <w:rFonts w:ascii="Times New Roman" w:eastAsia="Calibri" w:hAnsi="Times New Roman"/>
          <w:lang w:bidi="ar-SA"/>
        </w:rPr>
        <w:t xml:space="preserve">, </w:t>
      </w:r>
      <w:r w:rsidRPr="0069519A">
        <w:rPr>
          <w:rFonts w:ascii="Times New Roman" w:eastAsia="Calibri" w:hAnsi="Times New Roman"/>
          <w:i/>
          <w:iCs/>
          <w:lang w:bidi="ar-SA"/>
        </w:rPr>
        <w:t>34</w:t>
      </w:r>
      <w:r w:rsidRPr="0069519A">
        <w:rPr>
          <w:rFonts w:ascii="Times New Roman" w:eastAsia="Calibri" w:hAnsi="Times New Roman"/>
          <w:lang w:bidi="ar-SA"/>
        </w:rPr>
        <w:t>(2), 182–195. https://doi.org/10.1080/0376835X.2016.1259993</w:t>
      </w:r>
    </w:p>
    <w:p w14:paraId="7EBE91C2"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Meentemeyer, R. K., Anacker, B. L., Mark, W., &amp; Rizzo, D. M. (2008). Early detection of emerging forest disease using dispersal estimation and ecological niche modeling. </w:t>
      </w:r>
      <w:r w:rsidRPr="0069519A">
        <w:rPr>
          <w:rFonts w:ascii="Times New Roman" w:eastAsia="Calibri" w:hAnsi="Times New Roman"/>
          <w:i/>
          <w:iCs/>
          <w:lang w:bidi="ar-SA"/>
        </w:rPr>
        <w:t>Ecological Applications: A Publication of the Ecological Society of America</w:t>
      </w:r>
      <w:r w:rsidRPr="0069519A">
        <w:rPr>
          <w:rFonts w:ascii="Times New Roman" w:eastAsia="Calibri" w:hAnsi="Times New Roman"/>
          <w:lang w:bidi="ar-SA"/>
        </w:rPr>
        <w:t xml:space="preserve">, </w:t>
      </w:r>
      <w:r w:rsidRPr="0069519A">
        <w:rPr>
          <w:rFonts w:ascii="Times New Roman" w:eastAsia="Calibri" w:hAnsi="Times New Roman"/>
          <w:i/>
          <w:iCs/>
          <w:lang w:bidi="ar-SA"/>
        </w:rPr>
        <w:t>18</w:t>
      </w:r>
      <w:r w:rsidRPr="0069519A">
        <w:rPr>
          <w:rFonts w:ascii="Times New Roman" w:eastAsia="Calibri" w:hAnsi="Times New Roman"/>
          <w:lang w:bidi="ar-SA"/>
        </w:rPr>
        <w:t>(2), 377–390. https://doi.org/10.1890/07-1150.1</w:t>
      </w:r>
    </w:p>
    <w:p w14:paraId="6FEAC8AB"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Meentemeyer, R. K., Tang, W., Dorning, M. A., Vogler, J. B., Cunniffe, N. J., &amp; Shoemaker, D. A. (2013). FUTURES: Multilevel Simulations of Emerging Urban–Rural Landscape Structure Using a Stochastic Patch-Growing Algorithm. </w:t>
      </w:r>
      <w:r w:rsidRPr="0069519A">
        <w:rPr>
          <w:rFonts w:ascii="Times New Roman" w:eastAsia="Calibri" w:hAnsi="Times New Roman"/>
          <w:i/>
          <w:iCs/>
          <w:lang w:bidi="ar-SA"/>
        </w:rPr>
        <w:t>Annals of the Association of American Geographers</w:t>
      </w:r>
      <w:r w:rsidRPr="0069519A">
        <w:rPr>
          <w:rFonts w:ascii="Times New Roman" w:eastAsia="Calibri" w:hAnsi="Times New Roman"/>
          <w:lang w:bidi="ar-SA"/>
        </w:rPr>
        <w:t xml:space="preserve">, </w:t>
      </w:r>
      <w:r w:rsidRPr="0069519A">
        <w:rPr>
          <w:rFonts w:ascii="Times New Roman" w:eastAsia="Calibri" w:hAnsi="Times New Roman"/>
          <w:i/>
          <w:iCs/>
          <w:lang w:bidi="ar-SA"/>
        </w:rPr>
        <w:t>103</w:t>
      </w:r>
      <w:r w:rsidRPr="0069519A">
        <w:rPr>
          <w:rFonts w:ascii="Times New Roman" w:eastAsia="Calibri" w:hAnsi="Times New Roman"/>
          <w:lang w:bidi="ar-SA"/>
        </w:rPr>
        <w:t>(4), 785–807. https://doi.org/10.1080/00045608.2012.707591</w:t>
      </w:r>
    </w:p>
    <w:p w14:paraId="1D213871"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Meijer, J. R., Huijbregts, M. A. J., Schotten, K. C. G. J., &amp; Schipper, A. M. (2018). Global patterns of current and future road infrastructure. </w:t>
      </w:r>
      <w:r w:rsidRPr="0069519A">
        <w:rPr>
          <w:rFonts w:ascii="Times New Roman" w:eastAsia="Calibri" w:hAnsi="Times New Roman"/>
          <w:i/>
          <w:iCs/>
          <w:lang w:bidi="ar-SA"/>
        </w:rPr>
        <w:t>Environmental Research Letters</w:t>
      </w:r>
      <w:r w:rsidRPr="0069519A">
        <w:rPr>
          <w:rFonts w:ascii="Times New Roman" w:eastAsia="Calibri" w:hAnsi="Times New Roman"/>
          <w:lang w:bidi="ar-SA"/>
        </w:rPr>
        <w:t xml:space="preserve">, </w:t>
      </w:r>
      <w:r w:rsidRPr="0069519A">
        <w:rPr>
          <w:rFonts w:ascii="Times New Roman" w:eastAsia="Calibri" w:hAnsi="Times New Roman"/>
          <w:i/>
          <w:iCs/>
          <w:lang w:bidi="ar-SA"/>
        </w:rPr>
        <w:t>13</w:t>
      </w:r>
      <w:r w:rsidRPr="0069519A">
        <w:rPr>
          <w:rFonts w:ascii="Times New Roman" w:eastAsia="Calibri" w:hAnsi="Times New Roman"/>
          <w:lang w:bidi="ar-SA"/>
        </w:rPr>
        <w:t>(6), 064006. https://doi.org/10.1088/1748-9326/aabd42</w:t>
      </w:r>
    </w:p>
    <w:p w14:paraId="1E7F0552"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Muis, S., Güneralp, B., Jongman, B., Aerts, J. C. J. H., &amp; Ward, P. J. (2015). Flood risk and adaptation strategies under climate change and urban expansion: A probabilistic analysis using global data. </w:t>
      </w:r>
      <w:r w:rsidRPr="0069519A">
        <w:rPr>
          <w:rFonts w:ascii="Times New Roman" w:eastAsia="Calibri" w:hAnsi="Times New Roman"/>
          <w:i/>
          <w:iCs/>
          <w:lang w:bidi="ar-SA"/>
        </w:rPr>
        <w:t>Science of The Total Environment</w:t>
      </w:r>
      <w:r w:rsidRPr="0069519A">
        <w:rPr>
          <w:rFonts w:ascii="Times New Roman" w:eastAsia="Calibri" w:hAnsi="Times New Roman"/>
          <w:lang w:bidi="ar-SA"/>
        </w:rPr>
        <w:t xml:space="preserve">, </w:t>
      </w:r>
      <w:r w:rsidRPr="0069519A">
        <w:rPr>
          <w:rFonts w:ascii="Times New Roman" w:eastAsia="Calibri" w:hAnsi="Times New Roman"/>
          <w:i/>
          <w:iCs/>
          <w:lang w:bidi="ar-SA"/>
        </w:rPr>
        <w:t>538</w:t>
      </w:r>
      <w:r w:rsidRPr="0069519A">
        <w:rPr>
          <w:rFonts w:ascii="Times New Roman" w:eastAsia="Calibri" w:hAnsi="Times New Roman"/>
          <w:lang w:bidi="ar-SA"/>
        </w:rPr>
        <w:t>, 445–457. https://doi.org/10.1016/j.scitotenv.2015.08.068</w:t>
      </w:r>
    </w:p>
    <w:p w14:paraId="09FBCC18"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OECD, United Nations Economic Commission for Africa, &amp; African Development Bank. (2022). </w:t>
      </w:r>
      <w:r w:rsidRPr="0069519A">
        <w:rPr>
          <w:rFonts w:ascii="Times New Roman" w:eastAsia="Calibri" w:hAnsi="Times New Roman"/>
          <w:i/>
          <w:iCs/>
          <w:lang w:bidi="ar-SA"/>
        </w:rPr>
        <w:t>Africa’s Urbanisation Dynamics 2022: The Economic Power of Africa’s Cities</w:t>
      </w:r>
      <w:r w:rsidRPr="0069519A">
        <w:rPr>
          <w:rFonts w:ascii="Times New Roman" w:eastAsia="Calibri" w:hAnsi="Times New Roman"/>
          <w:lang w:bidi="ar-SA"/>
        </w:rPr>
        <w:t>. OECD. https://doi.org/10.1787/3834ed5b-en</w:t>
      </w:r>
    </w:p>
    <w:p w14:paraId="1BD17C21"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OECD/SWAC. (2020). </w:t>
      </w:r>
      <w:r w:rsidRPr="0069519A">
        <w:rPr>
          <w:rFonts w:ascii="Times New Roman" w:eastAsia="Calibri" w:hAnsi="Times New Roman"/>
          <w:i/>
          <w:iCs/>
          <w:lang w:bidi="ar-SA"/>
        </w:rPr>
        <w:t>Africa’s Urbanization Dynamics 2020: Africapolis, Mapping a New Urban Geography, West African Studies</w:t>
      </w:r>
      <w:r w:rsidRPr="0069519A">
        <w:rPr>
          <w:rFonts w:ascii="Times New Roman" w:eastAsia="Calibri" w:hAnsi="Times New Roman"/>
          <w:lang w:bidi="ar-SA"/>
        </w:rPr>
        <w:t>. OECD Publishing. https://doi.org/10.1787/b6bccb81-en</w:t>
      </w:r>
    </w:p>
    <w:p w14:paraId="4E93B56F"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Okwuashi, O., &amp; Ndehedehe, C. E. (2021). Integrating machine learning with Markov chain and cellular automata models for modelling urban land use change. </w:t>
      </w:r>
      <w:r w:rsidRPr="0069519A">
        <w:rPr>
          <w:rFonts w:ascii="Times New Roman" w:eastAsia="Calibri" w:hAnsi="Times New Roman"/>
          <w:i/>
          <w:iCs/>
          <w:lang w:bidi="ar-SA"/>
        </w:rPr>
        <w:t>Remote Sensing Applications: Society and Environment</w:t>
      </w:r>
      <w:r w:rsidRPr="0069519A">
        <w:rPr>
          <w:rFonts w:ascii="Times New Roman" w:eastAsia="Calibri" w:hAnsi="Times New Roman"/>
          <w:lang w:bidi="ar-SA"/>
        </w:rPr>
        <w:t xml:space="preserve">, </w:t>
      </w:r>
      <w:r w:rsidRPr="0069519A">
        <w:rPr>
          <w:rFonts w:ascii="Times New Roman" w:eastAsia="Calibri" w:hAnsi="Times New Roman"/>
          <w:i/>
          <w:iCs/>
          <w:lang w:bidi="ar-SA"/>
        </w:rPr>
        <w:t>21</w:t>
      </w:r>
      <w:r w:rsidRPr="0069519A">
        <w:rPr>
          <w:rFonts w:ascii="Times New Roman" w:eastAsia="Calibri" w:hAnsi="Times New Roman"/>
          <w:lang w:bidi="ar-SA"/>
        </w:rPr>
        <w:t>. https://doi.org/10.1016/j.rsase.2020.100461</w:t>
      </w:r>
    </w:p>
    <w:p w14:paraId="13A44D0D"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lastRenderedPageBreak/>
        <w:t xml:space="preserve">Pickard, B. R., &amp; Meentemeyer, R. K. (2019). Validating land change models based on configuration disagreement. </w:t>
      </w:r>
      <w:r w:rsidRPr="0069519A">
        <w:rPr>
          <w:rFonts w:ascii="Times New Roman" w:eastAsia="Calibri" w:hAnsi="Times New Roman"/>
          <w:i/>
          <w:iCs/>
          <w:lang w:bidi="ar-SA"/>
        </w:rPr>
        <w:t>Computers, Environment and Urban Systems</w:t>
      </w:r>
      <w:r w:rsidRPr="0069519A">
        <w:rPr>
          <w:rFonts w:ascii="Times New Roman" w:eastAsia="Calibri" w:hAnsi="Times New Roman"/>
          <w:lang w:bidi="ar-SA"/>
        </w:rPr>
        <w:t xml:space="preserve">, </w:t>
      </w:r>
      <w:r w:rsidRPr="0069519A">
        <w:rPr>
          <w:rFonts w:ascii="Times New Roman" w:eastAsia="Calibri" w:hAnsi="Times New Roman"/>
          <w:i/>
          <w:iCs/>
          <w:lang w:bidi="ar-SA"/>
        </w:rPr>
        <w:t>77</w:t>
      </w:r>
      <w:r w:rsidRPr="0069519A">
        <w:rPr>
          <w:rFonts w:ascii="Times New Roman" w:eastAsia="Calibri" w:hAnsi="Times New Roman"/>
          <w:lang w:bidi="ar-SA"/>
        </w:rPr>
        <w:t>, 101366. https://doi.org/10.1016/j.compenvurbsys.2019.101366</w:t>
      </w:r>
    </w:p>
    <w:p w14:paraId="212CAA84"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val="es-ES" w:bidi="ar-SA"/>
        </w:rPr>
        <w:t xml:space="preserve">Pickard, B. R., Van Berkel, D., Petrasova, A., &amp; Meentemeyer, R. K. (2017). </w:t>
      </w:r>
      <w:r w:rsidRPr="0069519A">
        <w:rPr>
          <w:rFonts w:ascii="Times New Roman" w:eastAsia="Calibri" w:hAnsi="Times New Roman"/>
          <w:lang w:bidi="ar-SA"/>
        </w:rPr>
        <w:t xml:space="preserve">Forecasts of urbanization scenarios reveal trade-offs between landscape change and ecosystem services. </w:t>
      </w:r>
      <w:r w:rsidRPr="0069519A">
        <w:rPr>
          <w:rFonts w:ascii="Times New Roman" w:eastAsia="Calibri" w:hAnsi="Times New Roman"/>
          <w:i/>
          <w:iCs/>
          <w:lang w:bidi="ar-SA"/>
        </w:rPr>
        <w:t>Landscape Ecology</w:t>
      </w:r>
      <w:r w:rsidRPr="0069519A">
        <w:rPr>
          <w:rFonts w:ascii="Times New Roman" w:eastAsia="Calibri" w:hAnsi="Times New Roman"/>
          <w:lang w:bidi="ar-SA"/>
        </w:rPr>
        <w:t xml:space="preserve">, </w:t>
      </w:r>
      <w:r w:rsidRPr="0069519A">
        <w:rPr>
          <w:rFonts w:ascii="Times New Roman" w:eastAsia="Calibri" w:hAnsi="Times New Roman"/>
          <w:i/>
          <w:iCs/>
          <w:lang w:bidi="ar-SA"/>
        </w:rPr>
        <w:t>32</w:t>
      </w:r>
      <w:r w:rsidRPr="0069519A">
        <w:rPr>
          <w:rFonts w:ascii="Times New Roman" w:eastAsia="Calibri" w:hAnsi="Times New Roman"/>
          <w:lang w:bidi="ar-SA"/>
        </w:rPr>
        <w:t>(3), 617–634. https://doi.org/10.1007/s10980-016-0465-8</w:t>
      </w:r>
    </w:p>
    <w:p w14:paraId="499645AC"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Pontius, R. G., Boersma, W., Castella, J.-C., Clarke, K., de Nijs, T., Dietzel, C., Duan, Z., Fotsing, E., Goldstein, N., Kok, K., Koomen, E., Lippitt, C. D., McConnell, W., Mohd Sood, A., Pijanowski, B., Pithadia, S., Sweeney, S., Trung, T. N., Veldkamp, A. T., &amp; Verburg, P. H. (2008). Comparing the input, output, and validation maps for several models of land change. </w:t>
      </w:r>
      <w:r w:rsidRPr="0069519A">
        <w:rPr>
          <w:rFonts w:ascii="Times New Roman" w:eastAsia="Calibri" w:hAnsi="Times New Roman"/>
          <w:i/>
          <w:iCs/>
          <w:lang w:bidi="ar-SA"/>
        </w:rPr>
        <w:t>The Annals of Regional Science</w:t>
      </w:r>
      <w:r w:rsidRPr="0069519A">
        <w:rPr>
          <w:rFonts w:ascii="Times New Roman" w:eastAsia="Calibri" w:hAnsi="Times New Roman"/>
          <w:lang w:bidi="ar-SA"/>
        </w:rPr>
        <w:t xml:space="preserve">, </w:t>
      </w:r>
      <w:r w:rsidRPr="0069519A">
        <w:rPr>
          <w:rFonts w:ascii="Times New Roman" w:eastAsia="Calibri" w:hAnsi="Times New Roman"/>
          <w:i/>
          <w:iCs/>
          <w:lang w:bidi="ar-SA"/>
        </w:rPr>
        <w:t>42</w:t>
      </w:r>
      <w:r w:rsidRPr="0069519A">
        <w:rPr>
          <w:rFonts w:ascii="Times New Roman" w:eastAsia="Calibri" w:hAnsi="Times New Roman"/>
          <w:lang w:bidi="ar-SA"/>
        </w:rPr>
        <w:t>(1), 11–37. https://doi.org/10.1007/s00168-007-0138-2</w:t>
      </w:r>
    </w:p>
    <w:p w14:paraId="24FBA869"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Reba, M., &amp; Seto, K. C. (2020). A systematic review and assessment of algorithms to detect, characterize, and monitor urban land change. </w:t>
      </w:r>
      <w:r w:rsidRPr="0069519A">
        <w:rPr>
          <w:rFonts w:ascii="Times New Roman" w:eastAsia="Calibri" w:hAnsi="Times New Roman"/>
          <w:i/>
          <w:iCs/>
          <w:lang w:bidi="ar-SA"/>
        </w:rPr>
        <w:t>Remote Sensing of Environment</w:t>
      </w:r>
      <w:r w:rsidRPr="0069519A">
        <w:rPr>
          <w:rFonts w:ascii="Times New Roman" w:eastAsia="Calibri" w:hAnsi="Times New Roman"/>
          <w:lang w:bidi="ar-SA"/>
        </w:rPr>
        <w:t xml:space="preserve">, </w:t>
      </w:r>
      <w:r w:rsidRPr="0069519A">
        <w:rPr>
          <w:rFonts w:ascii="Times New Roman" w:eastAsia="Calibri" w:hAnsi="Times New Roman"/>
          <w:i/>
          <w:iCs/>
          <w:lang w:bidi="ar-SA"/>
        </w:rPr>
        <w:t>242</w:t>
      </w:r>
      <w:r w:rsidRPr="0069519A">
        <w:rPr>
          <w:rFonts w:ascii="Times New Roman" w:eastAsia="Calibri" w:hAnsi="Times New Roman"/>
          <w:lang w:bidi="ar-SA"/>
        </w:rPr>
        <w:t>, 111739. https://doi.org/10.1016/j.rse.2020.111739</w:t>
      </w:r>
    </w:p>
    <w:p w14:paraId="65787E36"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Sanchez, G. M., Terando, A., Smith, J. W., García, A. M., Wagner, C. R., &amp; Meentemeyer, R. K. (2020). Forecasting water demand across a rapidly urbanizing region. </w:t>
      </w:r>
      <w:r w:rsidRPr="0069519A">
        <w:rPr>
          <w:rFonts w:ascii="Times New Roman" w:eastAsia="Calibri" w:hAnsi="Times New Roman"/>
          <w:i/>
          <w:iCs/>
          <w:lang w:bidi="ar-SA"/>
        </w:rPr>
        <w:t>Science of The Total Environment</w:t>
      </w:r>
      <w:r w:rsidRPr="0069519A">
        <w:rPr>
          <w:rFonts w:ascii="Times New Roman" w:eastAsia="Calibri" w:hAnsi="Times New Roman"/>
          <w:lang w:bidi="ar-SA"/>
        </w:rPr>
        <w:t xml:space="preserve">, </w:t>
      </w:r>
      <w:r w:rsidRPr="0069519A">
        <w:rPr>
          <w:rFonts w:ascii="Times New Roman" w:eastAsia="Calibri" w:hAnsi="Times New Roman"/>
          <w:i/>
          <w:iCs/>
          <w:lang w:bidi="ar-SA"/>
        </w:rPr>
        <w:t>730</w:t>
      </w:r>
      <w:r w:rsidRPr="0069519A">
        <w:rPr>
          <w:rFonts w:ascii="Times New Roman" w:eastAsia="Calibri" w:hAnsi="Times New Roman"/>
          <w:lang w:bidi="ar-SA"/>
        </w:rPr>
        <w:t>, 139050. https://doi.org/10.1016/j.scitotenv.2020.139050</w:t>
      </w:r>
    </w:p>
    <w:p w14:paraId="5A8ED50D"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Seto, K. C., Guneralp, B., &amp; Hutyra, L. R. (2012). Global forecasts of urban expansion to 2030 and direct impacts on biodiversity and carbon pools. </w:t>
      </w:r>
      <w:r w:rsidRPr="0069519A">
        <w:rPr>
          <w:rFonts w:ascii="Times New Roman" w:eastAsia="Calibri" w:hAnsi="Times New Roman"/>
          <w:i/>
          <w:iCs/>
          <w:lang w:bidi="ar-SA"/>
        </w:rPr>
        <w:t>Proceedings of the National Academy of Sciences</w:t>
      </w:r>
      <w:r w:rsidRPr="0069519A">
        <w:rPr>
          <w:rFonts w:ascii="Times New Roman" w:eastAsia="Calibri" w:hAnsi="Times New Roman"/>
          <w:lang w:bidi="ar-SA"/>
        </w:rPr>
        <w:t xml:space="preserve">, </w:t>
      </w:r>
      <w:r w:rsidRPr="0069519A">
        <w:rPr>
          <w:rFonts w:ascii="Times New Roman" w:eastAsia="Calibri" w:hAnsi="Times New Roman"/>
          <w:i/>
          <w:iCs/>
          <w:lang w:bidi="ar-SA"/>
        </w:rPr>
        <w:t>109</w:t>
      </w:r>
      <w:r w:rsidRPr="0069519A">
        <w:rPr>
          <w:rFonts w:ascii="Times New Roman" w:eastAsia="Calibri" w:hAnsi="Times New Roman"/>
          <w:lang w:bidi="ar-SA"/>
        </w:rPr>
        <w:t>(40), 16083–16088. https://doi.org/10.1073/pnas.1211658109</w:t>
      </w:r>
    </w:p>
    <w:p w14:paraId="34904218"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Shoemaker, D. A., BenDor, T. K., &amp; Meentemeyer, R. K. (2019). Anticipating trade-offs between urban patterns and ecosystem service production: Scenario analyses of sprawl alternatives for a rapidly urbanizing region. </w:t>
      </w:r>
      <w:r w:rsidRPr="0069519A">
        <w:rPr>
          <w:rFonts w:ascii="Times New Roman" w:eastAsia="Calibri" w:hAnsi="Times New Roman"/>
          <w:i/>
          <w:iCs/>
          <w:lang w:bidi="ar-SA"/>
        </w:rPr>
        <w:t>Computers, Environment and Urban Systems</w:t>
      </w:r>
      <w:r w:rsidRPr="0069519A">
        <w:rPr>
          <w:rFonts w:ascii="Times New Roman" w:eastAsia="Calibri" w:hAnsi="Times New Roman"/>
          <w:lang w:bidi="ar-SA"/>
        </w:rPr>
        <w:t xml:space="preserve">, </w:t>
      </w:r>
      <w:r w:rsidRPr="0069519A">
        <w:rPr>
          <w:rFonts w:ascii="Times New Roman" w:eastAsia="Calibri" w:hAnsi="Times New Roman"/>
          <w:i/>
          <w:iCs/>
          <w:lang w:bidi="ar-SA"/>
        </w:rPr>
        <w:t>74</w:t>
      </w:r>
      <w:r w:rsidRPr="0069519A">
        <w:rPr>
          <w:rFonts w:ascii="Times New Roman" w:eastAsia="Calibri" w:hAnsi="Times New Roman"/>
          <w:lang w:bidi="ar-SA"/>
        </w:rPr>
        <w:t>, 114–125. https://doi.org/10.1016/j.compenvurbsys.2018.10.003</w:t>
      </w:r>
    </w:p>
    <w:p w14:paraId="1D445B8D"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val="fr-FR" w:bidi="ar-SA"/>
        </w:rPr>
        <w:t xml:space="preserve">Tu, Y., Chen, B., Yu, L., Xin, Q., Gong, P., &amp; Xu, B. (2021). </w:t>
      </w:r>
      <w:r w:rsidRPr="0069519A">
        <w:rPr>
          <w:rFonts w:ascii="Times New Roman" w:eastAsia="Calibri" w:hAnsi="Times New Roman"/>
          <w:lang w:bidi="ar-SA"/>
        </w:rPr>
        <w:t xml:space="preserve">How does urban expansion interact with cropland loss? A comparison of 14 Chinese cities from 1980 to 2015. </w:t>
      </w:r>
      <w:r w:rsidRPr="0069519A">
        <w:rPr>
          <w:rFonts w:ascii="Times New Roman" w:eastAsia="Calibri" w:hAnsi="Times New Roman"/>
          <w:i/>
          <w:iCs/>
          <w:lang w:bidi="ar-SA"/>
        </w:rPr>
        <w:t>Landscape Ecology</w:t>
      </w:r>
      <w:r w:rsidRPr="0069519A">
        <w:rPr>
          <w:rFonts w:ascii="Times New Roman" w:eastAsia="Calibri" w:hAnsi="Times New Roman"/>
          <w:lang w:bidi="ar-SA"/>
        </w:rPr>
        <w:t xml:space="preserve">, </w:t>
      </w:r>
      <w:r w:rsidRPr="0069519A">
        <w:rPr>
          <w:rFonts w:ascii="Times New Roman" w:eastAsia="Calibri" w:hAnsi="Times New Roman"/>
          <w:i/>
          <w:iCs/>
          <w:lang w:bidi="ar-SA"/>
        </w:rPr>
        <w:t>36</w:t>
      </w:r>
      <w:r w:rsidRPr="0069519A">
        <w:rPr>
          <w:rFonts w:ascii="Times New Roman" w:eastAsia="Calibri" w:hAnsi="Times New Roman"/>
          <w:lang w:bidi="ar-SA"/>
        </w:rPr>
        <w:t>(1), 243–263. https://doi.org/10.1007/s10980-020-01137-y</w:t>
      </w:r>
    </w:p>
    <w:p w14:paraId="6278F8FA"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Tulbure, M. G., Hostert, P., Kuemmerle, T., &amp; Broich, M. (2022). Regional matters: On the usefulness of regional land-cover datasets in times of global change. </w:t>
      </w:r>
      <w:r w:rsidRPr="0069519A">
        <w:rPr>
          <w:rFonts w:ascii="Times New Roman" w:eastAsia="Calibri" w:hAnsi="Times New Roman"/>
          <w:i/>
          <w:iCs/>
          <w:lang w:bidi="ar-SA"/>
        </w:rPr>
        <w:t>Remote Sensing in Ecology and Conservation</w:t>
      </w:r>
      <w:r w:rsidRPr="0069519A">
        <w:rPr>
          <w:rFonts w:ascii="Times New Roman" w:eastAsia="Calibri" w:hAnsi="Times New Roman"/>
          <w:lang w:bidi="ar-SA"/>
        </w:rPr>
        <w:t xml:space="preserve">, </w:t>
      </w:r>
      <w:r w:rsidRPr="0069519A">
        <w:rPr>
          <w:rFonts w:ascii="Times New Roman" w:eastAsia="Calibri" w:hAnsi="Times New Roman"/>
          <w:i/>
          <w:iCs/>
          <w:lang w:bidi="ar-SA"/>
        </w:rPr>
        <w:t>8</w:t>
      </w:r>
      <w:r w:rsidRPr="0069519A">
        <w:rPr>
          <w:rFonts w:ascii="Times New Roman" w:eastAsia="Calibri" w:hAnsi="Times New Roman"/>
          <w:lang w:bidi="ar-SA"/>
        </w:rPr>
        <w:t>(3), 272–283. https://doi.org/10.1002/rse2.248</w:t>
      </w:r>
    </w:p>
    <w:p w14:paraId="55F476F8"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UNEP-WCMC, &amp; IUCN. (2020). </w:t>
      </w:r>
      <w:r w:rsidRPr="0069519A">
        <w:rPr>
          <w:rFonts w:ascii="Times New Roman" w:eastAsia="Calibri" w:hAnsi="Times New Roman"/>
          <w:i/>
          <w:iCs/>
          <w:lang w:bidi="ar-SA"/>
        </w:rPr>
        <w:t>Protected Planet: The World Database on Protected Areas (WDPA) [On-line], [December/2020], Cambridge, UK: UNEP-WCMC and IUCN. Available at: Www.protectedplanet.net.</w:t>
      </w:r>
      <w:r w:rsidRPr="0069519A">
        <w:rPr>
          <w:rFonts w:ascii="Times New Roman" w:eastAsia="Calibri" w:hAnsi="Times New Roman"/>
          <w:lang w:bidi="ar-SA"/>
        </w:rPr>
        <w:t xml:space="preserve"> [Dataset].</w:t>
      </w:r>
    </w:p>
    <w:p w14:paraId="1E84F45E"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United Nations. (2019). </w:t>
      </w:r>
      <w:r w:rsidRPr="0069519A">
        <w:rPr>
          <w:rFonts w:ascii="Times New Roman" w:eastAsia="Calibri" w:hAnsi="Times New Roman"/>
          <w:i/>
          <w:iCs/>
          <w:lang w:bidi="ar-SA"/>
        </w:rPr>
        <w:t>World population prospects Highlights, 2019 revision Highlights, 2019 revision</w:t>
      </w:r>
      <w:r w:rsidRPr="0069519A">
        <w:rPr>
          <w:rFonts w:ascii="Times New Roman" w:eastAsia="Calibri" w:hAnsi="Times New Roman"/>
          <w:lang w:bidi="ar-SA"/>
        </w:rPr>
        <w:t>.</w:t>
      </w:r>
    </w:p>
    <w:p w14:paraId="6D9F7FAE"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val="es-ES" w:bidi="ar-SA"/>
        </w:rPr>
        <w:lastRenderedPageBreak/>
        <w:t xml:space="preserve">Van Berkel, D., Shashidharan, A., Mordecai, R., Vatsavai, R., Petrasova, A., Petras, V., Mitasova, H., Vogler, J., &amp; Meentemeyer, R. (2019). </w:t>
      </w:r>
      <w:r w:rsidRPr="0069519A">
        <w:rPr>
          <w:rFonts w:ascii="Times New Roman" w:eastAsia="Calibri" w:hAnsi="Times New Roman"/>
          <w:lang w:bidi="ar-SA"/>
        </w:rPr>
        <w:t xml:space="preserve">Projecting Urbanization and Landscape Change at Large Scale Using the FUTURES Model. </w:t>
      </w:r>
      <w:r w:rsidRPr="0069519A">
        <w:rPr>
          <w:rFonts w:ascii="Times New Roman" w:eastAsia="Calibri" w:hAnsi="Times New Roman"/>
          <w:i/>
          <w:iCs/>
          <w:lang w:bidi="ar-SA"/>
        </w:rPr>
        <w:t>Land</w:t>
      </w:r>
      <w:r w:rsidRPr="0069519A">
        <w:rPr>
          <w:rFonts w:ascii="Times New Roman" w:eastAsia="Calibri" w:hAnsi="Times New Roman"/>
          <w:lang w:bidi="ar-SA"/>
        </w:rPr>
        <w:t xml:space="preserve">, </w:t>
      </w:r>
      <w:r w:rsidRPr="0069519A">
        <w:rPr>
          <w:rFonts w:ascii="Times New Roman" w:eastAsia="Calibri" w:hAnsi="Times New Roman"/>
          <w:i/>
          <w:iCs/>
          <w:lang w:bidi="ar-SA"/>
        </w:rPr>
        <w:t>8</w:t>
      </w:r>
      <w:r w:rsidRPr="0069519A">
        <w:rPr>
          <w:rFonts w:ascii="Times New Roman" w:eastAsia="Calibri" w:hAnsi="Times New Roman"/>
          <w:lang w:bidi="ar-SA"/>
        </w:rPr>
        <w:t>(10), 144. https://doi.org/10.3390/land8100144</w:t>
      </w:r>
    </w:p>
    <w:p w14:paraId="1AF225A2"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van Vliet, J., Bregt, A. K., Brown, D. G., van Delden, H., Heckbert, S., &amp; Verburg, P. H. (2016). A review of current calibration and validation practices in land-change modeling. </w:t>
      </w:r>
      <w:r w:rsidRPr="0069519A">
        <w:rPr>
          <w:rFonts w:ascii="Times New Roman" w:eastAsia="Calibri" w:hAnsi="Times New Roman"/>
          <w:i/>
          <w:iCs/>
          <w:lang w:bidi="ar-SA"/>
        </w:rPr>
        <w:t>Environmental Modelling &amp; Software</w:t>
      </w:r>
      <w:r w:rsidRPr="0069519A">
        <w:rPr>
          <w:rFonts w:ascii="Times New Roman" w:eastAsia="Calibri" w:hAnsi="Times New Roman"/>
          <w:lang w:bidi="ar-SA"/>
        </w:rPr>
        <w:t xml:space="preserve">, </w:t>
      </w:r>
      <w:r w:rsidRPr="0069519A">
        <w:rPr>
          <w:rFonts w:ascii="Times New Roman" w:eastAsia="Calibri" w:hAnsi="Times New Roman"/>
          <w:i/>
          <w:iCs/>
          <w:lang w:bidi="ar-SA"/>
        </w:rPr>
        <w:t>82</w:t>
      </w:r>
      <w:r w:rsidRPr="0069519A">
        <w:rPr>
          <w:rFonts w:ascii="Times New Roman" w:eastAsia="Calibri" w:hAnsi="Times New Roman"/>
          <w:lang w:bidi="ar-SA"/>
        </w:rPr>
        <w:t>, 174–182. https://doi.org/10.1016/j.envsoft.2016.04.017</w:t>
      </w:r>
    </w:p>
    <w:p w14:paraId="569A6F39"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Varga, O. G., Pontius, R. G., Singh, S. K., &amp; Szabó, S. (2019). Intensity Analysis and the Figure of Merit’s components for assessment of a Cellular Automata – Markov simulation model. </w:t>
      </w:r>
      <w:r w:rsidRPr="0069519A">
        <w:rPr>
          <w:rFonts w:ascii="Times New Roman" w:eastAsia="Calibri" w:hAnsi="Times New Roman"/>
          <w:i/>
          <w:iCs/>
          <w:lang w:bidi="ar-SA"/>
        </w:rPr>
        <w:t>Ecological Indicators</w:t>
      </w:r>
      <w:r w:rsidRPr="0069519A">
        <w:rPr>
          <w:rFonts w:ascii="Times New Roman" w:eastAsia="Calibri" w:hAnsi="Times New Roman"/>
          <w:lang w:bidi="ar-SA"/>
        </w:rPr>
        <w:t xml:space="preserve">, </w:t>
      </w:r>
      <w:r w:rsidRPr="0069519A">
        <w:rPr>
          <w:rFonts w:ascii="Times New Roman" w:eastAsia="Calibri" w:hAnsi="Times New Roman"/>
          <w:i/>
          <w:iCs/>
          <w:lang w:bidi="ar-SA"/>
        </w:rPr>
        <w:t>101</w:t>
      </w:r>
      <w:r w:rsidRPr="0069519A">
        <w:rPr>
          <w:rFonts w:ascii="Times New Roman" w:eastAsia="Calibri" w:hAnsi="Times New Roman"/>
          <w:lang w:bidi="ar-SA"/>
        </w:rPr>
        <w:t>, 933–942. https://doi.org/10.1016/j.ecolind.2019.01.057</w:t>
      </w:r>
    </w:p>
    <w:p w14:paraId="7DA9C076"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Xie, S., &amp; Luo, R. (2022). Measuring Variable Importance in Generalized Linear Models for Modeling Size of Loss Distributions. </w:t>
      </w:r>
      <w:r w:rsidRPr="0069519A">
        <w:rPr>
          <w:rFonts w:ascii="Times New Roman" w:eastAsia="Calibri" w:hAnsi="Times New Roman"/>
          <w:i/>
          <w:iCs/>
          <w:lang w:bidi="ar-SA"/>
        </w:rPr>
        <w:t>Mathematics</w:t>
      </w:r>
      <w:r w:rsidRPr="0069519A">
        <w:rPr>
          <w:rFonts w:ascii="Times New Roman" w:eastAsia="Calibri" w:hAnsi="Times New Roman"/>
          <w:lang w:bidi="ar-SA"/>
        </w:rPr>
        <w:t xml:space="preserve">, </w:t>
      </w:r>
      <w:r w:rsidRPr="0069519A">
        <w:rPr>
          <w:rFonts w:ascii="Times New Roman" w:eastAsia="Calibri" w:hAnsi="Times New Roman"/>
          <w:i/>
          <w:iCs/>
          <w:lang w:bidi="ar-SA"/>
        </w:rPr>
        <w:t>10</w:t>
      </w:r>
      <w:r w:rsidRPr="0069519A">
        <w:rPr>
          <w:rFonts w:ascii="Times New Roman" w:eastAsia="Calibri" w:hAnsi="Times New Roman"/>
          <w:lang w:bidi="ar-SA"/>
        </w:rPr>
        <w:t>, 1630. https://doi.org/10.3390/math10101630</w:t>
      </w:r>
    </w:p>
    <w:p w14:paraId="74495823"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Yan, D., Wang, K., Qin, T., Weng, B., Wang, H., Bi, W., Li, X., Li, M., Lv, Z., Liu, F., He, S., Ma, J., Shen, Z., Wang, J., Bai, H., Man, Z., Sun, C., Liu, M., Shi, X., … Abiyu, A. (2019). A data set of global river networks and corresponding water resources zones divisions. </w:t>
      </w:r>
      <w:r w:rsidRPr="0069519A">
        <w:rPr>
          <w:rFonts w:ascii="Times New Roman" w:eastAsia="Calibri" w:hAnsi="Times New Roman"/>
          <w:i/>
          <w:iCs/>
          <w:lang w:bidi="ar-SA"/>
        </w:rPr>
        <w:t>Scientific Data</w:t>
      </w:r>
      <w:r w:rsidRPr="0069519A">
        <w:rPr>
          <w:rFonts w:ascii="Times New Roman" w:eastAsia="Calibri" w:hAnsi="Times New Roman"/>
          <w:lang w:bidi="ar-SA"/>
        </w:rPr>
        <w:t xml:space="preserve">, </w:t>
      </w:r>
      <w:r w:rsidRPr="0069519A">
        <w:rPr>
          <w:rFonts w:ascii="Times New Roman" w:eastAsia="Calibri" w:hAnsi="Times New Roman"/>
          <w:i/>
          <w:iCs/>
          <w:lang w:bidi="ar-SA"/>
        </w:rPr>
        <w:t>6</w:t>
      </w:r>
      <w:r w:rsidRPr="0069519A">
        <w:rPr>
          <w:rFonts w:ascii="Times New Roman" w:eastAsia="Calibri" w:hAnsi="Times New Roman"/>
          <w:lang w:bidi="ar-SA"/>
        </w:rPr>
        <w:t>(1), 219. https://doi.org/10.1038/s41597-019-0243-y</w:t>
      </w:r>
    </w:p>
    <w:p w14:paraId="3CC73EDC" w14:textId="77777777" w:rsidR="0069519A" w:rsidRPr="0069519A" w:rsidRDefault="0069519A" w:rsidP="0069519A">
      <w:pPr>
        <w:spacing w:after="240" w:line="240" w:lineRule="auto"/>
        <w:ind w:left="720" w:hanging="720"/>
        <w:rPr>
          <w:rFonts w:ascii="Times New Roman" w:eastAsia="Calibri" w:hAnsi="Times New Roman"/>
          <w:lang w:bidi="ar-SA"/>
        </w:rPr>
      </w:pPr>
      <w:r w:rsidRPr="0069519A">
        <w:rPr>
          <w:rFonts w:ascii="Times New Roman" w:eastAsia="Calibri" w:hAnsi="Times New Roman"/>
          <w:lang w:bidi="ar-SA"/>
        </w:rPr>
        <w:t xml:space="preserve">Yiran, G. A. B., Ablo, A. D., Asem, F. E., &amp; Owusu, G. (2020). Urban Sprawl in sub-Saharan Africa: A review of the literature in selected countries. </w:t>
      </w:r>
      <w:r w:rsidRPr="0069519A">
        <w:rPr>
          <w:rFonts w:ascii="Times New Roman" w:eastAsia="Calibri" w:hAnsi="Times New Roman"/>
          <w:i/>
          <w:iCs/>
          <w:lang w:bidi="ar-SA"/>
        </w:rPr>
        <w:t>Ghana Journal of Geography</w:t>
      </w:r>
      <w:r w:rsidRPr="0069519A">
        <w:rPr>
          <w:rFonts w:ascii="Times New Roman" w:eastAsia="Calibri" w:hAnsi="Times New Roman"/>
          <w:lang w:bidi="ar-SA"/>
        </w:rPr>
        <w:t xml:space="preserve">, </w:t>
      </w:r>
      <w:r w:rsidRPr="0069519A">
        <w:rPr>
          <w:rFonts w:ascii="Times New Roman" w:eastAsia="Calibri" w:hAnsi="Times New Roman"/>
          <w:i/>
          <w:iCs/>
          <w:lang w:bidi="ar-SA"/>
        </w:rPr>
        <w:t>12</w:t>
      </w:r>
      <w:r w:rsidRPr="0069519A">
        <w:rPr>
          <w:rFonts w:ascii="Times New Roman" w:eastAsia="Calibri" w:hAnsi="Times New Roman"/>
          <w:lang w:bidi="ar-SA"/>
        </w:rPr>
        <w:t>(1), 1–28. https://doi.org/10.4314/gjg.v12i1.1</w:t>
      </w:r>
    </w:p>
    <w:p w14:paraId="42C35969" w14:textId="77777777" w:rsidR="0069519A" w:rsidRPr="0069519A" w:rsidRDefault="0069519A" w:rsidP="0069519A">
      <w:pPr>
        <w:spacing w:after="240" w:line="240" w:lineRule="auto"/>
        <w:rPr>
          <w:rFonts w:ascii="Times New Roman" w:eastAsia="Calibri" w:hAnsi="Times New Roman"/>
          <w:b/>
          <w:bCs/>
          <w:lang w:bidi="ar-SA"/>
        </w:rPr>
      </w:pPr>
      <w:r w:rsidRPr="0069519A">
        <w:rPr>
          <w:rFonts w:ascii="Times New Roman" w:eastAsia="Calibri" w:hAnsi="Times New Roman"/>
          <w:b/>
          <w:bCs/>
          <w:lang w:bidi="ar-SA"/>
        </w:rPr>
        <w:fldChar w:fldCharType="end"/>
      </w:r>
    </w:p>
    <w:p w14:paraId="5B49E2AA" w14:textId="7C385D94" w:rsidR="00030F4C" w:rsidRDefault="00030F4C">
      <w:pPr>
        <w:spacing w:line="240" w:lineRule="auto"/>
        <w:rPr>
          <w:rFonts w:ascii="Times New Roman" w:eastAsia="Calibri" w:hAnsi="Times New Roman"/>
          <w:lang w:bidi="ar-SA"/>
        </w:rPr>
      </w:pPr>
      <w:r>
        <w:rPr>
          <w:rFonts w:ascii="Times New Roman" w:eastAsia="Calibri" w:hAnsi="Times New Roman"/>
          <w:lang w:bidi="ar-SA"/>
        </w:rPr>
        <w:br w:type="page"/>
      </w:r>
    </w:p>
    <w:p w14:paraId="6C19B262" w14:textId="436C68F3" w:rsidR="00103457" w:rsidRPr="00103457" w:rsidRDefault="00103457" w:rsidP="002B23DE">
      <w:pPr>
        <w:pStyle w:val="Heading1"/>
      </w:pPr>
      <w:bookmarkStart w:id="177" w:name="_Toc172288766"/>
      <w:r w:rsidRPr="00103457">
        <w:lastRenderedPageBreak/>
        <w:t>Chapter 5</w:t>
      </w:r>
      <w:r w:rsidR="00B9721C">
        <w:t xml:space="preserve">: </w:t>
      </w:r>
      <w:r w:rsidRPr="00103457">
        <w:t>Synthesis, Conclusion, and Future Work</w:t>
      </w:r>
      <w:bookmarkEnd w:id="177"/>
    </w:p>
    <w:p w14:paraId="37C6957E" w14:textId="48E45B2D" w:rsidR="00C64031" w:rsidRDefault="00103457" w:rsidP="00C64031">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Globally, urban expansion increases impervious surfaces through sprawl that expands the urban footprint and infill that compact previously developed areas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{"citationID":"Lw6bXBRW","properties":{"formattedCitation":"(Angel et al., 2021)","plainCitation":"(Angel et al., 2021)","noteIndex":0},"citationItems":[{"id":85,"uris":["http://zotero.org/users/8906743/items/7739YXBP"],"itemData":{"id":85,"type":"article-journal","abstract":"Serious concerns with accelerating global warming have been translated into urgent calls for increasing urban densities: higher densities are associated with lower greenhouse gas emissions, especially those related to vehicle kilometers traveled (VKT). In order to densify meaningfully in the coming decades, cities need to make room within their existing footprints to accommodate more people. In the absence of adequate room within their existing footprints, cities create more room through outward expansion, typically resulting in lower overall densities. We introduce a quantitative dimension to this process, focusing on the population added to a global stratiﬁed sample of 200 cities between 1990 and 2014. In three-quarters of the cities we studied, the areas built before 1990 gained population and thus densiﬁed signiﬁcantly. On average, however, only one-quarter of the total population added to the 200 cities in the sample in the 1990–2014 period were accommodated within their 1990 urban footprints, while three-quarters were accommodated within their newly built expansion areas. That resulted in an overall decline in average urban densities during the 1990–2014 period despite the near-global, decades-old and rarely questioned consensus that urban expansion must be contained.","container-title":"Sustainability","DOI":"10.3390/su13073835","ISSN":"2071-1050","issue":"7","journalAbbreviation":"Sustainability","language":"en","page":"3835","source":"DOI.org (Crossref)","title":"Densify and Expand: A Global Analysis of Recent Urban Growth","title-short":"Densify and Expand","URL":"https://www.mdpi.com/2071-1050/13/7/3835","volume":"13","author":[{"family":"Angel","given":"Shlomo"},{"family":"Lamson-Hall","given":"Patrick"},{"family":"Blei","given":"Alejandro"},{"family":"Shingade","given":"Sharad"},{"family":"Kumar","given":"Suman"}],"accessed":{"date-parts":[["2022",1,30]]},"issued":{"date-parts":[["2021",3,31]]}}}],"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szCs w:val="22"/>
          <w:lang w:bidi="ar-SA"/>
          <w14:ligatures w14:val="standardContextual"/>
        </w:rPr>
        <w:t>(Angel et al., 2021)</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Urban expansion contributes to economic growth and innovation centers in high and low-income countries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{"citationID":"GlC9uB1P","properties":{"formattedCitation":"(Mahtta et al., 2022)","plainCitation":"(Mahtta et al., 2022)","noteIndex":0},"citationItems":[{"id":282,"uris":["http://zotero.org/users/8906743/items/94K43WA7"],"itemData":{"id":282,"type":"article-journal","abstract":"Abstract\n            Global urban populations are projected to increase by 2.5 billion over the next 30 years. Yet, there is limited understanding of how this growth will affect urban land expansion (ULE). Here, we develop a large-scale study to test explicitly the relative importance of urban population and Gross Domestic Product (GDP) growth in affecting ULE for different regions, economic development levels and governance types for 300+ cities. Our results show that population growth, more than GDP, is consistently the dominant determinant of ULE during 1970–2014. However, the effect of GDP growth on ULE increases in importance after 2000. In countries with strong governance, economic growth contributes more to ULE than population growth. We find that urban population growth and ULE are correlated but this relationship varies for countries at different developmental stages. Lastly, this study illustrates that good governance is a necessary condition for economic growth to affect ULE.","container-title":"npj Urban Sustainability","DOI":"10.1038/s42949-022-00048-y","ISSN":"2661-8001","issue":"1","journalAbbreviation":"npj Urban Sustain","language":"en","page":"5","source":"DOI.org (Crossref)","title":"Urban land expansion: the role of population and economic growth for 300+ cities","title-short":"Urban land expansion","URL":"https://www.nature.com/articles/s42949-022-00048-y","volume":"2","author":[{"family":"Mahtta","given":"Richa"},{"family":"Fragkias","given":"Michail"},{"family":"Güneralp","given":"Burak"},{"family":"Mahendra","given":"Anjali"},{"family":"Reba","given":"Meredith"},{"family":"Wentz","given":"Elizabeth A."},{"family":"Seto","given":"Karen C."}],"accessed":{"date-parts":[["2022",10,2]]},"issued":{"date-parts":[["2022",12]]}}}],"schema":"https://github.com/citation-style-language/schema/raw/master/csl-citation.json"}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szCs w:val="22"/>
          <w:lang w:bidi="ar-SA"/>
          <w14:ligatures w14:val="standardContextual"/>
        </w:rPr>
        <w:t>(Mahtta et al., 2022)</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Multiple studies found that urban expansion leads to tree cover and cropland loss, habitat fragmentation and biodiversity loss, frequent heatwaves, urban fires, and floods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{"citationID":"S6mf6ng1","properties":{"formattedCitation":"(Abass et al., 2020; G\\uc0\\u252{}neralp et al., 2017; Marcotullio et al., 2022; Seto et al., 2012; Zhao, 2011)","plainCitation":"(Abass et al., 2020; Güneralp et al., 2017; Marcotullio et al., 2022; Seto et al., 2012; Zhao, 2011)","noteIndex":0},"citationItems":[{"id":549,"uris":["http://zotero.org/users/8906743/items/FRAZTCP3"],"itemData":{"id":549,"type":"article-journal","abstract":"Urban area expansion has often been cited as a flood inducing factor globally. However, there is a dearth of research on how the phenomenon influences the occurrence of floods in Ghana. This paper examines urban sprawl-induced green space depletion and its attendant implications for urban flood incidence in a developing world context. Focusing on Kumasi, the study employed a combined use of geospatial techniques, key informant interviews and direct observations to explain the relationships between urban sprawl and flood occurrence. The study found that impermeable areas have expanded by 54% from 1986 to 2016 while permeable space corre­ spondingly declined by the same rate within the period due to unplanned and unregulated urban expansion. The high proportion of impermeable surface, caused by urban expansion, underlies the worsening flooding situation in Kumasi. But the myriad of other factors such as poor spatial planning, inadequate storm drain infrastructure, poor waste management practices, and law enforcement lax combine to increase the intensity and severity of the floods. Adopting and enforcing smart growth policies are key in addressing the uncontrolled urban expansion and its associated flood challenges. Besides, land use control through legislative enforcement and prioritizing greening by the city authorities and other key stakeholders are essential for effective flood control and mitigation in Kumasi.","container-title":"International Journal of Disaster Risk Reduction","DOI":"10.1016/j.ijdrr.2020.101915","ISSN":"22124209","journalAbbreviation":"International Journal of Disaster Risk Reduction","language":"en","page":"101915","source":"DOI.org (Crossref)","title":"Urban sprawl and green space depletion: Implications for flood incidence in Kumasi, Ghana","title-short":"Urban sprawl and green space depletion","URL":"https://linkinghub.elsevier.com/retrieve/pii/S2212420920314175","volume":"51","author":[{"family":"Abass","given":"Kabila"},{"family":"Buor","given":"Daniel"},{"family":"Afriyie","given":"Kwadwo"},{"family":"Dumedah","given":"Gift"},{"family":"Segbefi","given":"Alex Yao"},{"family":"Guodaar","given":"Lawrence"},{"family":"Garsonu","given":"Emmanuel Kofi"},{"family":"Adu-Gyamfi","given":"Samuel"},{"family":"Forkuor","given":"David"},{"family":"Ofosu","given":"Andrews"},{"family":"Mohammed","given":"Abass"},{"family":"Gyasi","given":"Razak M."}],"accessed":{"date-parts":[["2022",2,15]]},"issued":{"date-parts":[["2020",12]]}}},{"id":556,"uris":["http://zotero.org/users/8906743/items/LHAIUB33"],"itemData":{"id":556,"type":"article-journal","abstract":"Africa, a continent exceptionally rich in biodiversity, is rapidly urbanizing. Africa’s urbanization is manifest in the growth of its megacities as well as that of its smaller towns and cities. The conservation planning and practice will increasingly need to account for direct and indirect impacts of the continent’s urbanization. The objective of our study is to pinpoint the outstanding challenges and opportunities afforded by the growing cities on the continent to the conservation goals and practices. While there have been many studies on the impacts of urbanization and development on conservation in Africa these studies tended to focus on speciﬁc issues. Here, we provide a synthesis of this body of work supported by new analysis. Urban areas, growing both in population and in land cover, pose threats to the integrity of the continent’s ecosystems and biodiversity but their growth also create opportunities for conservation. The burgeoning urban populations, especially in Sub-Saharan Africa, increase the strain on already insufﬁcient infrastructure and bring new governance challenges. Yet, Africa’s ecosystems can serve as foundations for green infrastructure to serve the needs of its urban populations while safeguarding fragile biodiversity. Overall, while worsening social problems overshadow the concerns for biodiversity there are also promising initiatives to bring these concerns into the fold to address social, institutional, and ecological challenges that emerge with the continued urbanization of the continent.","container-title":"Environmental Research Letters","DOI":"10.1088/1748-9326/aa94fe","ISSN":"1748-9326","issue":"1","journalAbbreviation":"Environ. Res. Lett.","language":"en","page":"015002","source":"DOI.org (Crossref)","title":"Urbanization in Africa: challenges and opportunities for conservation","title-short":"Urbanization in Africa","URL":"https://iopscience.iop.org/article/10.1088/1748-9326/aa94fe","volume":"13","author":[{"family":"Güneralp","given":"Burak"},{"family":"Lwasa","given":"Shuaib"},{"family":"Masundire","given":"Hillary"},{"family":"Parnell","given":"Susan"},{"family":"Seto","given":"Karen C"}],"accessed":{"date-parts":[["2021",1,31]]},"issued":{"date-parts":[["2017",12,1]]}}},{"id":730,"uris":["http://zotero.org/users/8906743/items/UJGH6QR9"],"itemData":{"id":730,"type":"article-journal","abstract":"Over the past decades, the world has experienced increasing heatwave intensity, frequency, and duration. This trend is projected to increase into the future with climate change. At the same time, the global population is also projected to increase, largely in the world’s cities. This urban growth is associated with increased heat in the urban core, compared to surrounding areas, exposing residents to both higher temperatures and more intense heatwaves than their rural counterparts. Regional studies suggest that Asia and Africa will be significantly affected. How many people may be exposed to levels of extreme heat events in the future remains unclear. Identifying the range in number of potentially exposed populations and where the vulnerable are located can help planners prioritize adaption efforts. We project the ranges of population exposed to heatwaves at varying levels to 2,100 for three future periods of time (2010–2039, 2040–2069, 2070–2099) using the Shared Socio-Economic Pathways (SSPs) and the Representative Concentration Pathways (RCPs). We hypothesize that the largest populations that will be exposed to very warm heatwaves are located in Asia and Africa. Our projections represent the warmest heatwaves for 15 days during these three periods. By the 2070–2099 period, the exposure levels to extreme heatwaves (&gt;42°) exceed 3.5 billion, under the sustainability scenario (RCP2.6-SSP1). The number of those exposed in cities climbs with greater projected climate change. The largest shares of the exposed populations are located in Southern Asia and tropical countries Western and Central Africa. While this research demonstrates the importance of this type of climate change event, urban decision-makers are only recently developing policies to address heat. There is an urgent need for further research in this area.","container-title":"Frontiers in Built Environment","ISSN":"2297-3362","source":"Frontiers","title":"Global urban exposure projections to extreme heatwaves","URL":"https://www.frontiersin.org/articles/10.3389/fbuil.2022.947496","volume":"8","author":[{"family":"Marcotullio","given":"Peter J."},{"family":"Keßler","given":"Carsten"},{"family":"Fekete","given":"Balázs M."}],"accessed":{"date-parts":[["2023",8,24]]},"issued":{"date-parts":[["2022"]]}}},{"id":374,"uris":["http://zotero.org/users/8906743/items/WUYN92SH"],"itemData":{"id":374,"type":"article-journal","container-title":"Proceedings of the National Academy of Sciences","DOI":"10.1073/pnas.1211658109","ISSN":"0027-8424, 1091-6490","issue":"40","journalAbbreviation":"Proceedings of the National Academy of Sciences","language":"en","page":"16083-16088","source":"DOI.org (Crossref)","title":"Global forecasts of urban expansion to 2030 and direct impacts on biodiversity and carbon pools","URL":"http://www.pnas.org/cgi/doi/10.1073/pnas.1211658109","volume":"109","author":[{"family":"Seto","given":"K. C."},{"family":"Guneralp","given":"B."},{"family":"Hutyra","given":"L. R."}],"accessed":{"date-parts":[["2022",1,30]]},"issued":{"date-parts":[["2012",10,2]]}}},{"id":808,"uris":["http://zotero.org/users/8906743/items/HVG34FCC"],"itemData":{"id":808,"type":"article-journal","abstract":"Mass ﬁre-spread is a potential threat to some densely built urban areas by its devastating destructions. Especially in case of a large earthquake when multiple ﬁres break out simultaneously, ﬁre-spread hazard is likely to overwhelm ﬁre-ﬁghting capabilities and enlarge damage area. To explore ﬁre-spread behavior and assess its damages, a simulation model of ﬁre-spread in densely built urban areas is developed. Cellular Automata (CA) is a Bottom-up dynamics model that can reproduce a complicated phenomenon by setting up simple rules in a cell space. However, the traditional grid-based cells of CA are not suitable for modeling building-to-building ﬁre-spread behavior. Therefore, an irregular coarse CA schema is proposed in this paper. Two sub-processes are involved urban mass ﬁre-spread, i.e. (I) ﬁre-developing in a single building and (II) ﬁre-spread among buildings. When a ﬁre is developing in a single building, the building will experience 5 ﬁre stages along time, which become the states of cell. While ﬁre spreads among buildings, there are 2 spread patterns: (I) short-range direct ﬂame contact, radiation and convection spread and (II) long-range ﬁrebrand spotting spread. In relation to the 2 spread patterns, 2 sets of neighborhoods and rules of CA are formulated respectively. To verify the newly developed model, 100 times of individual random simulations for a real site ﬁre-spread in Kobe City after Hanshin Earthquake (1995, Japan) are performed using an integrated GIS-CA-ﬁre tool developed in the paper. Comparing the simulation results with the local observations, the general feature of ﬁre-spread is found similar, and it is proved that the newly developed model is reliable to simulate urban ﬁre-spread. Furthermore, based on the simulated results, a loss assessment model is formulated to calculate economic and life losses after ﬁre-spread.","container-title":"Fire Technology","DOI":"10.1007/s10694-010-0187-4","ISSN":"0015-2684, 1572-8099","issue":"3","journalAbbreviation":"Fire Technol","language":"en","page":"721-749","source":"DOI.org (Crossref)","title":"Simulation of Mass Fire-Spread in Urban Densely Built Areas Based on Irregular Coarse Cellular Automata","URL":"http://link.springer.com/10.1007/s10694-010-0187-4","volume":"47","author":[{"family":"Zhao","given":"Sijian"}],"accessed":{"date-parts":[["2023",7,22]]},"issued":{"date-parts":[["2011",7]]}}}],"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szCs w:val="22"/>
          <w:lang w:bidi="ar-SA"/>
          <w14:ligatures w14:val="standardContextual"/>
        </w:rPr>
        <w:t>(Abass et al., 2020; Güneralp et al., 2017; Marcotullio et al., 2022; Seto et al., 2012; Zhao, 2011)</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Thus, urban expansion is an important component of global environmental change; however, governments in many low-income countries in Africa have limited resources and infrastructure, making them more vulnerable to </w:t>
      </w:r>
      <w:r w:rsidR="002D13B1">
        <w:rPr>
          <w:rFonts w:ascii="Times New Roman" w:eastAsia="Aptos" w:hAnsi="Times New Roman"/>
          <w:lang w:bidi="ar-SA"/>
          <w14:ligatures w14:val="standardContextual"/>
        </w:rPr>
        <w:t xml:space="preserve">the </w:t>
      </w:r>
      <w:r w:rsidRPr="00103457">
        <w:rPr>
          <w:rFonts w:ascii="Times New Roman" w:eastAsia="Aptos" w:hAnsi="Times New Roman"/>
          <w:lang w:bidi="ar-SA"/>
          <w14:ligatures w14:val="standardContextual"/>
        </w:rPr>
        <w:t xml:space="preserve">negative impacts of unplanned urban expansion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{"citationID":"LxiI6rpt","properties":{"formattedCitation":"(Cobbinah &amp; Aboagye, 2017; G\\uc0\\u252{}neralp et al., 2017)","plainCitation":"(Cobbinah &amp; Aboagye, 2017; Güneralp et al., 2017)","noteIndex":0},"citationItems":[{"id":72,"uris":["http://zotero.org/users/8906743/items/FL33N53L"],"itemData":{"id":72,"type":"article-journal","container-title":"Land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Nsomah"}],"accessed":{"date-parts":[["2022",2,9]]},"issued":{"date-parts":[["2017",2]]}}},{"id":556,"uris":["http://zotero.org/users/8906743/items/LHAIUB33"],"itemData":{"id":556,"type":"article-journal","abstract":"Africa, a continent exceptionally rich in biodiversity, is rapidly urbanizing. Africa’s urbanization is manifest in the growth of its megacities as well as that of its smaller towns and cities. The conservation planning and practice will increasingly need to account for direct and indirect impacts of the continent’s urbanization. The objective of our study is to pinpoint the outstanding challenges and opportunities afforded by the growing cities on the continent to the conservation goals and practices. While there have been many studies on the impacts of urbanization and development on conservation in Africa these studies tended to focus on speciﬁc issues. Here, we provide a synthesis of this body of work supported by new analysis. Urban areas, growing both in population and in land cover, pose threats to the integrity of the continent’s ecosystems and biodiversity but their growth also create opportunities for conservation. The burgeoning urban populations, especially in Sub-Saharan Africa, increase the strain on already insufﬁcient infrastructure and bring new governance challenges. Yet, Africa’s ecosystems can serve as foundations for green infrastructure to serve the needs of its urban populations while safeguarding fragile biodiversity. Overall, while worsening social problems overshadow the concerns for biodiversity there are also promising initiatives to bring these concerns into the fold to address social, institutional, and ecological challenges that emerge with the continued urbanization of the continent.","container-title":"Environmental Research Letters","DOI":"10.1088/1748-9326/aa94fe","ISSN":"1748-9326","issue":"1","journalAbbreviation":"Environ. Res. Lett.","language":"en","page":"015002","source":"DOI.org (Crossref)","title":"Urbanization in Africa: challenges and opportunities for conservation","title-short":"Urbanization in Africa","URL":"https://iopscience.iop.org/article/10.1088/1748-9326/aa94fe","volume":"13","author":[{"family":"Güneralp","given":"Burak"},{"family":"Lwasa","given":"Shuaib"},{"family":"Masundire","given":"Hillary"},{"family":"Parnell","given":"Susan"},{"family":"Seto","given":"Karen C"}],"accessed":{"date-parts":[["2021",1,31]]},"issued":{"date-parts":[["2017",12,1]]}}}],"schema":"https://github.com/citation-style-language/schema/raw/master/csl-citation.json"}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szCs w:val="22"/>
          <w:lang w:bidi="ar-SA"/>
          <w14:ligatures w14:val="standardContextual"/>
        </w:rPr>
        <w:t>(Cobbinah &amp; Aboagye, 2017; Güneralp et al., 2017)</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w:t>
      </w:r>
    </w:p>
    <w:p w14:paraId="30DD5409" w14:textId="1B8C2784" w:rsidR="00103457" w:rsidRPr="00C64031" w:rsidRDefault="00103457" w:rsidP="00C64031">
      <w:pPr>
        <w:ind w:firstLine="360"/>
        <w:rPr>
          <w:rFonts w:ascii="Times New Roman" w:eastAsia="Aptos" w:hAnsi="Times New Roman"/>
          <w:lang w:bidi="ar-SA"/>
          <w14:ligatures w14:val="standardContextual"/>
        </w:rPr>
      </w:pPr>
      <w:r w:rsidRPr="00103457">
        <w:rPr>
          <w:rFonts w:ascii="Times New Roman" w:eastAsia="Aptos" w:hAnsi="Times New Roman"/>
          <w:lang w:bidi="ar-SA"/>
          <w14:ligatures w14:val="standardContextual"/>
        </w:rPr>
        <w:t xml:space="preserve">The West Africa urban system (WAUS) is a global hotspot of rapid urbanization, with 51% of the population living in urban areas, and projections are that this number will increase to 70% by 2050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{"citationID":"w1anCWOJ","properties":{"formattedCitation":"(OECD/SWAC, 2020)","plainCitation":"(OECD/SWAC, 2020)","noteIndex":0},"citationItems":[{"id":145,"uris":["http://zotero.org/users/8906743/items/FJ76MLKP"],"itemData":{"id":145,"type":"book","event-place":"Paris","publisher":"OECD Publishing","publisher-place":"Paris","title":"Africa's Urbanization Dynamics 2020: Africapolis, Mapping a New Urban Geography, West African Studies","URL":"https://doi.org/10.1787/b6bccb81-en","author":[{"family":"OECD/SWAC","given":""}],"issued":{"date-parts":[["2020"]]}}}],"schema":"https://github.com/citation-style-language/schema/raw/master/csl-citation.json"}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szCs w:val="22"/>
          <w:lang w:bidi="ar-SA"/>
          <w14:ligatures w14:val="standardContextual"/>
        </w:rPr>
        <w:t>(OECD/SWAC, 2020)</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The WAUS also comprises a wide range of city sizes that are interconnected; and the impacts of </w:t>
      </w:r>
      <w:r w:rsidR="00A3173F">
        <w:rPr>
          <w:rFonts w:ascii="Times New Roman" w:eastAsia="Aptos" w:hAnsi="Times New Roman"/>
          <w:lang w:bidi="ar-SA"/>
          <w14:ligatures w14:val="standardContextual"/>
        </w:rPr>
        <w:t xml:space="preserve">urban </w:t>
      </w:r>
      <w:r w:rsidRPr="00103457">
        <w:rPr>
          <w:rFonts w:ascii="Times New Roman" w:eastAsia="Aptos" w:hAnsi="Times New Roman"/>
          <w:lang w:bidi="ar-SA"/>
          <w14:ligatures w14:val="standardContextual"/>
        </w:rPr>
        <w:t xml:space="preserve">changes are much broader than localized. However, previous global studies and studies in West Africa have often overlooked the many secondary cities with less than a million population and focused on few individual primary cities with over a million urban populations </w:t>
      </w:r>
      <w:r w:rsidRPr="00103457">
        <w:rPr>
          <w:rFonts w:ascii="Times New Roman" w:eastAsia="Aptos" w:hAnsi="Times New Roman"/>
          <w:lang w:bidi="ar-SA"/>
          <w14:ligatures w14:val="standardContextual"/>
        </w:rPr>
        <w:fldChar w:fldCharType="begin"/>
      </w:r>
      <w:r w:rsidRPr="00103457">
        <w:rPr>
          <w:rFonts w:ascii="Times New Roman" w:eastAsia="Aptos" w:hAnsi="Times New Roman"/>
          <w:lang w:bidi="ar-SA"/>
          <w14:ligatures w14:val="standardContextual"/>
        </w:rPr>
        <w:instrText xml:space="preserve"> ADDIN ZOTERO_ITEM CSL_CITATION {"citationID":"XbPyg3yU","properties":{"formattedCitation":"(G\\uc0\\u252{}neralp et al., 2020; Mahtta et al., 2022)","plainCitation":"(Güneralp et al., 2020; Mahtta et al., 2022)","noteIndex":0},"citationItems":[{"id":624,"uris":["http://zotero.org/users/8906743/items/RYJ3GWJE"],"itemData":{"id":624,"type":"article-journal","abstract":"Abstract\n            \n              The physical expansion of urban areas lead to lasting impacts on landscapes and livelihoods. Here, we conduct a global synthesis of trends in urban land expansion, in urban population densities, and lands converted into urban from 1970 to 2010. We find that small-medium urban areas lead their larger counterparts in both rates of urban land expansion and decreases in urban population densities. Urban population densities have consistently declined only in India, China, North America, and Europe with significant exceptions across city sizes. Over 60% of the reported urban expansion was formerly agricultural land with China, Southeast Asia, and Europe in the lead. Counterfactual analysis suggests that, due to the decrease in urban population densities, an estimated 125 000 km\n              2\n              land was converted to urban land uses that could have otherwise remained in cultivation or as natural vegetation. In particular, in India and Nigeria, with much of their populations dependent on agriculture,  85% and 30% more land, respectively, was converted to urban land due to decreasing urban population densities. With increasing urbanization, proactive management of urban land expansion, especially in small and medium cities, will be critical for saving agricultural lands in peri-urban regions while creating equitable and affordable urban landscapes.","container-title":"Environmental Research Letters","DOI":"10.1088/1748-9326/ab6669","ISSN":"1748-9326","issue":"4","journalAbbreviation":"Environ. Res. Lett.","language":"en","page":"044015","source":"DOI.org (Crossref)","title":"Trends in urban land expansion, density, and land transitions from 1970 to 2010: a global synthesis","title-short":"Trends in urban land expansion, density, and land transitions from 1970 to 2010","URL":"https://iopscience.iop.org/article/10.1088/1748-9326/ab6669","volume":"15","author":[{"family":"Güneralp","given":"Burak"},{"family":"Reba","given":"Meredith"},{"family":"Hales","given":"Billy U"},{"family":"Wentz","given":"Elizabeth A"},{"family":"Seto","given":"Karen C"}],"accessed":{"date-parts":[["2023",3,11]]},"issued":{"date-parts":[["2020",4,1]]}}},{"id":282,"uris":["http://zotero.org/users/8906743/items/94K43WA7"],"itemData":{"id":282,"type":"article-journal","abstract":"Abstract\n            Global urban populations are projected to increase by 2.5 billion over the next 30 years. Yet, there is limited understanding of how this growth will affect urban land expansion (ULE). Here, we develop a large-scale study to test explicitly the relative importance of urban population and Gross Domestic Product (GDP) growth in affecting ULE for different regions, economic development levels and governance types for 300+ cities. Our results show that population growth, more than GDP, is consistently the dominant determinant of ULE during 1970–2014. However, the effect of GDP growth on ULE increases in importance after 2000. In countries with strong governance, economic growth contributes more to ULE than population growth. We find that urban population growth and ULE are correlated but this relationship varies for countries at different developmental stages. Lastly, this study illustrates that good governance is a necessary condition for economic growth to affect ULE.","container-title":"npj Urban Sustainability","DOI":"10.1038/s42949-022-00048-y","ISSN":"2661-8001","issue":"1","journalAbbreviation":"npj Urban Sustain","language":"en","page":"5","source":"DOI.org (Crossref)","title":"Urban land expansion: the role of population and economic growth for 300+ cities","title-short":"Urban land expansion","URL":"https://www.nature.com/articles/s42949-022-00048-y","volume":"2","author":[{"family":"Mahtta","given":"Richa"},{"family":"Fragkias","given":"Michail"},{"family":"Güneralp","given":"Burak"},{"family":"Mahendra","given":"Anjali"},{"family":"Reba","given":"Meredith"},{"family":"Wentz","given":"Elizabeth A."},{"family":"Seto","given":"Karen C."}],"accessed":{"date-parts":[["2022",10,2]]},"issued":{"date-parts":[["2022",12]]}}}],"schema":"https://github.com/citation-style-language/schema/raw/master/csl-citation.json"} </w:instrText>
      </w:r>
      <w:r w:rsidRPr="00103457">
        <w:rPr>
          <w:rFonts w:ascii="Times New Roman" w:eastAsia="Aptos" w:hAnsi="Times New Roman"/>
          <w:lang w:bidi="ar-SA"/>
          <w14:ligatures w14:val="standardContextual"/>
        </w:rPr>
        <w:fldChar w:fldCharType="separate"/>
      </w:r>
      <w:r w:rsidRPr="00103457">
        <w:rPr>
          <w:rFonts w:ascii="Times New Roman" w:eastAsia="Aptos" w:hAnsi="Times New Roman"/>
          <w:szCs w:val="22"/>
          <w:lang w:bidi="ar-SA"/>
          <w14:ligatures w14:val="standardContextual"/>
        </w:rPr>
        <w:t>(Güneralp et al., 2020; Mahtta et al., 2022)</w:t>
      </w:r>
      <w:r w:rsidRPr="00103457">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xml:space="preserve">. </w:t>
      </w:r>
      <w:r w:rsidR="008200EF">
        <w:rPr>
          <w:rFonts w:ascii="Times New Roman" w:eastAsia="Aptos" w:hAnsi="Times New Roman"/>
          <w:lang w:bidi="ar-SA"/>
          <w14:ligatures w14:val="standardContextual"/>
        </w:rPr>
        <w:t>Although some</w:t>
      </w:r>
      <w:r w:rsidR="008200EF" w:rsidRPr="00103457">
        <w:rPr>
          <w:rFonts w:ascii="Times New Roman" w:eastAsia="Aptos" w:hAnsi="Times New Roman"/>
          <w:lang w:bidi="ar-SA"/>
          <w14:ligatures w14:val="standardContextual"/>
        </w:rPr>
        <w:t xml:space="preserve"> </w:t>
      </w:r>
      <w:r w:rsidRPr="00103457">
        <w:rPr>
          <w:rFonts w:ascii="Times New Roman" w:eastAsia="Aptos" w:hAnsi="Times New Roman"/>
          <w:lang w:bidi="ar-SA"/>
          <w14:ligatures w14:val="standardContextual"/>
        </w:rPr>
        <w:t xml:space="preserve">studies have focused on multiple primary and secondary cities, until this dissertation, no study has analyzed </w:t>
      </w:r>
      <w:r w:rsidR="008200EF">
        <w:rPr>
          <w:rFonts w:ascii="Times New Roman" w:eastAsia="Aptos" w:hAnsi="Times New Roman"/>
          <w:lang w:bidi="ar-SA"/>
          <w14:ligatures w14:val="standardContextual"/>
        </w:rPr>
        <w:t>patterns of urban</w:t>
      </w:r>
      <w:r w:rsidRPr="00103457">
        <w:rPr>
          <w:rFonts w:ascii="Times New Roman" w:eastAsia="Aptos" w:hAnsi="Times New Roman"/>
          <w:lang w:bidi="ar-SA"/>
          <w14:ligatures w14:val="standardContextual"/>
        </w:rPr>
        <w:t xml:space="preserve"> expansion for an entire urban system</w:t>
      </w:r>
      <w:r w:rsidR="00ED4049">
        <w:rPr>
          <w:rFonts w:ascii="Times New Roman" w:eastAsia="Aptos" w:hAnsi="Times New Roman"/>
          <w:lang w:bidi="ar-SA"/>
          <w14:ligatures w14:val="standardContextual"/>
        </w:rPr>
        <w:t xml:space="preserve"> in West Africa</w:t>
      </w:r>
      <w:r w:rsidRPr="00103457">
        <w:rPr>
          <w:rFonts w:ascii="Times New Roman" w:eastAsia="Aptos" w:hAnsi="Times New Roman"/>
          <w:lang w:bidi="ar-SA"/>
          <w14:ligatures w14:val="standardContextual"/>
        </w:rPr>
        <w:t>, including</w:t>
      </w:r>
      <w:r w:rsidRPr="00103457">
        <w:rPr>
          <w:rFonts w:ascii="Times New Roman" w:eastAsia="Aptos" w:hAnsi="Times New Roman"/>
          <w:bCs/>
          <w:color w:val="000000"/>
          <w:lang w:bidi="ar-SA"/>
          <w14:ligatures w14:val="standardContextual"/>
        </w:rPr>
        <w:t xml:space="preserve"> all cities down to a minimum population size of 10,000. The overall purpose of this dissertation was </w:t>
      </w:r>
      <w:r w:rsidRPr="00103457">
        <w:rPr>
          <w:rFonts w:ascii="Times New Roman" w:eastAsia="Aptos" w:hAnsi="Times New Roman"/>
          <w:lang w:bidi="ar-SA"/>
          <w14:ligatures w14:val="standardContextual"/>
        </w:rPr>
        <w:t xml:space="preserve">to improve understanding of historical, current, and future infill and sprawl expansion and their causes across primary and secondary cities in West Africa, an urban expansion hotpot. This </w:t>
      </w:r>
      <w:r w:rsidRPr="00103457">
        <w:rPr>
          <w:rFonts w:ascii="Times New Roman" w:eastAsia="Aptos" w:hAnsi="Times New Roman"/>
          <w:lang w:bidi="ar-SA"/>
          <w14:ligatures w14:val="standardContextual"/>
        </w:rPr>
        <w:lastRenderedPageBreak/>
        <w:t>dissertation does so in three folds: 1) quantify rates of urban expansion from 2001 – 2020 across all cities in Ghana, Togo, Benin, and Nigeria; 2) investigates the causes of sprawl and infill expansion in rapidly expanding secondary and primary cities in Ghana; and 3) simulate future urban expansion from 2020 – 2050 in Ghana, Togo, Benin, and Nigeria.</w:t>
      </w:r>
    </w:p>
    <w:p w14:paraId="35EDAF9E" w14:textId="77777777" w:rsidR="00103457" w:rsidRPr="00103457" w:rsidRDefault="00103457" w:rsidP="00022749">
      <w:pPr>
        <w:rPr>
          <w:rFonts w:ascii="Times New Roman" w:eastAsia="Aptos" w:hAnsi="Times New Roman"/>
          <w:bCs/>
          <w:color w:val="000000"/>
          <w:lang w:bidi="ar-SA"/>
          <w14:ligatures w14:val="standardContextual"/>
        </w:rPr>
      </w:pPr>
      <w:bookmarkStart w:id="178" w:name="_Hlk169875321"/>
    </w:p>
    <w:p w14:paraId="66B0F7C7" w14:textId="77777777" w:rsidR="00B9721C" w:rsidRPr="00B9721C" w:rsidRDefault="00B9721C" w:rsidP="00B9721C">
      <w:pPr>
        <w:pStyle w:val="ListParagraph"/>
        <w:keepNext/>
        <w:numPr>
          <w:ilvl w:val="0"/>
          <w:numId w:val="10"/>
        </w:numPr>
        <w:contextualSpacing w:val="0"/>
        <w:outlineLvl w:val="1"/>
        <w:rPr>
          <w:rFonts w:asciiTheme="majorHAnsi" w:eastAsia="Aptos" w:hAnsiTheme="majorHAnsi"/>
          <w:b/>
          <w:bCs/>
          <w:iCs/>
          <w:vanish/>
          <w:szCs w:val="28"/>
          <w:lang w:bidi="ar-SA"/>
        </w:rPr>
      </w:pPr>
    </w:p>
    <w:p w14:paraId="7A770BC6" w14:textId="00721E90" w:rsidR="00103457" w:rsidRPr="00103457" w:rsidRDefault="00103457" w:rsidP="00B9721C">
      <w:pPr>
        <w:pStyle w:val="Heading2"/>
        <w:rPr>
          <w:rFonts w:eastAsia="Aptos"/>
        </w:rPr>
      </w:pPr>
      <w:bookmarkStart w:id="179" w:name="_Toc172288767"/>
      <w:r w:rsidRPr="00103457">
        <w:rPr>
          <w:rFonts w:eastAsia="Aptos"/>
        </w:rPr>
        <w:t xml:space="preserve">Smaller </w:t>
      </w:r>
      <w:r w:rsidR="00866D1F">
        <w:rPr>
          <w:rFonts w:eastAsia="Aptos"/>
        </w:rPr>
        <w:t>C</w:t>
      </w:r>
      <w:r w:rsidRPr="00103457">
        <w:rPr>
          <w:rFonts w:eastAsia="Aptos"/>
        </w:rPr>
        <w:t xml:space="preserve">ities </w:t>
      </w:r>
      <w:r w:rsidR="007125D3">
        <w:rPr>
          <w:rFonts w:eastAsia="Aptos"/>
        </w:rPr>
        <w:t>H</w:t>
      </w:r>
      <w:r w:rsidRPr="00103457">
        <w:rPr>
          <w:rFonts w:eastAsia="Aptos"/>
        </w:rPr>
        <w:t xml:space="preserve">ave </w:t>
      </w:r>
      <w:r w:rsidR="00866D1F">
        <w:rPr>
          <w:rFonts w:eastAsia="Aptos"/>
        </w:rPr>
        <w:t>L</w:t>
      </w:r>
      <w:r w:rsidRPr="00103457">
        <w:rPr>
          <w:rFonts w:eastAsia="Aptos"/>
        </w:rPr>
        <w:t xml:space="preserve">arge </w:t>
      </w:r>
      <w:r w:rsidR="00866D1F">
        <w:rPr>
          <w:rFonts w:eastAsia="Aptos"/>
        </w:rPr>
        <w:t>I</w:t>
      </w:r>
      <w:r w:rsidR="00B05143">
        <w:rPr>
          <w:rFonts w:eastAsia="Aptos"/>
        </w:rPr>
        <w:t>mpact</w:t>
      </w:r>
      <w:r w:rsidR="00866D1F">
        <w:rPr>
          <w:rFonts w:eastAsia="Aptos"/>
        </w:rPr>
        <w:t>s</w:t>
      </w:r>
      <w:r w:rsidRPr="00103457">
        <w:rPr>
          <w:rFonts w:eastAsia="Aptos"/>
        </w:rPr>
        <w:t xml:space="preserve"> on West Africa's </w:t>
      </w:r>
      <w:bookmarkEnd w:id="178"/>
      <w:r w:rsidR="00866D1F">
        <w:rPr>
          <w:rFonts w:eastAsia="Aptos"/>
        </w:rPr>
        <w:t>E</w:t>
      </w:r>
      <w:r w:rsidRPr="00103457">
        <w:rPr>
          <w:rFonts w:eastAsia="Aptos"/>
        </w:rPr>
        <w:t xml:space="preserve">xpanding </w:t>
      </w:r>
      <w:r w:rsidR="00866D1F">
        <w:rPr>
          <w:rFonts w:eastAsia="Aptos"/>
        </w:rPr>
        <w:t>U</w:t>
      </w:r>
      <w:r w:rsidRPr="00103457">
        <w:rPr>
          <w:rFonts w:eastAsia="Aptos"/>
        </w:rPr>
        <w:t xml:space="preserve">rban </w:t>
      </w:r>
      <w:r w:rsidR="00866D1F">
        <w:rPr>
          <w:rFonts w:eastAsia="Aptos"/>
        </w:rPr>
        <w:t>S</w:t>
      </w:r>
      <w:r w:rsidRPr="00103457">
        <w:rPr>
          <w:rFonts w:eastAsia="Aptos"/>
        </w:rPr>
        <w:t>ystem</w:t>
      </w:r>
      <w:bookmarkEnd w:id="179"/>
    </w:p>
    <w:p w14:paraId="049EF593" w14:textId="2F52134A" w:rsidR="00BD6B85" w:rsidRDefault="00103457" w:rsidP="00BD6B85">
      <w:pPr>
        <w:ind w:firstLine="360"/>
        <w:rPr>
          <w:rFonts w:ascii="Times New Roman" w:eastAsia="Aptos" w:hAnsi="Times New Roman"/>
          <w:color w:val="000000"/>
          <w:lang w:bidi="ar-SA"/>
          <w14:ligatures w14:val="standardContextual"/>
        </w:rPr>
      </w:pPr>
      <w:r w:rsidRPr="00103457">
        <w:rPr>
          <w:rFonts w:ascii="Times New Roman" w:eastAsia="Aptos" w:hAnsi="Times New Roman"/>
          <w:lang w:bidi="ar-SA"/>
          <w14:ligatures w14:val="standardContextual"/>
        </w:rPr>
        <w:t xml:space="preserve">Previous urban expansion studies have often used global impervious datasets, including </w:t>
      </w:r>
      <w:r w:rsidRPr="00103457">
        <w:rPr>
          <w:rFonts w:ascii="Times New Roman" w:eastAsia="Aptos" w:hAnsi="Times New Roman"/>
          <w:color w:val="000000"/>
          <w:lang w:bidi="ar-SA"/>
          <w14:ligatures w14:val="standardContextual"/>
        </w:rPr>
        <w:t xml:space="preserve">Global Human Settlement Layers </w:t>
      </w:r>
      <w:r w:rsidRPr="00103457">
        <w:rPr>
          <w:rFonts w:ascii="Times New Roman" w:eastAsia="Aptos" w:hAnsi="Times New Roman"/>
          <w:color w:val="000000"/>
          <w:lang w:bidi="ar-SA"/>
          <w14:ligatures w14:val="standardContextual"/>
        </w:rPr>
        <w:fldChar w:fldCharType="begin"/>
      </w:r>
      <w:r w:rsidRPr="00103457">
        <w:rPr>
          <w:rFonts w:ascii="Times New Roman" w:eastAsia="Aptos" w:hAnsi="Times New Roman"/>
          <w:color w:val="000000"/>
          <w:lang w:bidi="ar-SA"/>
          <w14:ligatures w14:val="standardContextual"/>
        </w:rPr>
        <w:instrText xml:space="preserve"> ADDIN ZOTERO_ITEM CSL_CITATION {"citationID":"ZDOUqEZm","properties":{"formattedCitation":"(Pesaresi et al., 2015)","plainCitation":"(Pesaresi et al., 2015)","noteIndex":0},"citationItems":[{"id":701,"uris":["http://zotero.org/users/8906743/items/H2YA38NF"],"itemData":{"id":701,"type":"article-journal","language":"en","note":"publisher: European Commission, Joint Research Centre (JRC)","source":"data.jrc.ec.europa.eu","title":"GHS-BUILT R2015B - GHS built-up grid, derived from Landsat, multitemporal (1975, 1990, 2000, 2014) - OBSOLETE RELEASE","URL":"http://data.europa.eu/89h/jrc-ghsl-ghs_built_ldsmt_globe_r2015b","author":[{"family":"Pesaresi","given":"Martino"},{"family":"Ehrlich","given":"Daniele"},{"family":"Florczyk","given":"Aneta"},{"family":"Freire","given":"Sergio"},{"family":"Julea","given":"Andreea"},{"family":"Kemper","given":"Thomas"},{"family":"Soille","given":"Pierre"},{"family":"Syrris","given":"Vasileios"}],"accessed":{"date-parts":[["2023",9,13]]},"issued":{"date-parts":[["2015",1,12]]}}}],"schema":"https://github.com/citation-style-language/schema/raw/master/csl-citation.json"} </w:instrText>
      </w:r>
      <w:r w:rsidRPr="00103457">
        <w:rPr>
          <w:rFonts w:ascii="Times New Roman" w:eastAsia="Aptos" w:hAnsi="Times New Roman"/>
          <w:color w:val="000000"/>
          <w:lang w:bidi="ar-SA"/>
          <w14:ligatures w14:val="standardContextual"/>
        </w:rPr>
        <w:fldChar w:fldCharType="separate"/>
      </w:r>
      <w:r w:rsidRPr="00103457">
        <w:rPr>
          <w:rFonts w:ascii="Times New Roman" w:eastAsia="Aptos" w:hAnsi="Times New Roman"/>
          <w:color w:val="000000"/>
          <w:szCs w:val="22"/>
          <w:lang w:bidi="ar-SA"/>
          <w14:ligatures w14:val="standardContextual"/>
        </w:rPr>
        <w:t>(Pesaresi et al., 2015)</w:t>
      </w:r>
      <w:r w:rsidRPr="00103457">
        <w:rPr>
          <w:rFonts w:ascii="Times New Roman" w:eastAsia="Aptos" w:hAnsi="Times New Roman"/>
          <w:color w:val="000000"/>
          <w:lang w:bidi="ar-SA"/>
          <w14:ligatures w14:val="standardContextual"/>
        </w:rPr>
        <w:fldChar w:fldCharType="end"/>
      </w:r>
      <w:r w:rsidRPr="00103457">
        <w:rPr>
          <w:rFonts w:ascii="Times New Roman" w:eastAsia="Aptos" w:hAnsi="Times New Roman"/>
          <w:color w:val="000000"/>
          <w:lang w:bidi="ar-SA"/>
          <w14:ligatures w14:val="standardContextual"/>
        </w:rPr>
        <w:t xml:space="preserve">, Global Human Built-up and Settlement Extent </w:t>
      </w:r>
      <w:r w:rsidRPr="00103457">
        <w:rPr>
          <w:rFonts w:ascii="Times New Roman" w:eastAsia="Aptos" w:hAnsi="Times New Roman"/>
          <w:color w:val="000000"/>
          <w:lang w:bidi="ar-SA"/>
          <w14:ligatures w14:val="standardContextual"/>
        </w:rPr>
        <w:fldChar w:fldCharType="begin"/>
      </w:r>
      <w:r w:rsidRPr="00103457">
        <w:rPr>
          <w:rFonts w:ascii="Times New Roman" w:eastAsia="Aptos" w:hAnsi="Times New Roman"/>
          <w:color w:val="000000"/>
          <w:lang w:bidi="ar-SA"/>
          <w14:ligatures w14:val="standardContextual"/>
        </w:rPr>
        <w:instrText xml:space="preserve"> ADDIN ZOTERO_ITEM CSL_CITATION {"citationID":"bVToqKlz","properties":{"formattedCitation":"(Wang et al., 2017)","plainCitation":"(Wang et al., 2017)","noteIndex":0},"citationItems":[{"id":393,"uris":["http://zotero.org/users/8906743/items/WDDYTK4S"],"itemData":{"id":393,"type":"document","publisher":"NASA Socioeconomic Data and Applications Center (SEDAC)","title":"Global Human Built-up And Settlement Extent (HBASE) Dataset From Landsat","URL":"https://doi.org/10.7927/H4DN434S","author":[{"family":"Wang","given":"P"},{"family":"Huang","given":"C"},{"family":"Brown de Colstoun","given":"E. C"},{"family":"Tilton","given":"J. C"},{"family":"Tan","given":"B"}],"issued":{"date-parts":[["2017"]]}}}],"schema":"https://github.com/citation-style-language/schema/raw/master/csl-citation.json"} </w:instrText>
      </w:r>
      <w:r w:rsidRPr="00103457">
        <w:rPr>
          <w:rFonts w:ascii="Times New Roman" w:eastAsia="Aptos" w:hAnsi="Times New Roman"/>
          <w:color w:val="000000"/>
          <w:lang w:bidi="ar-SA"/>
          <w14:ligatures w14:val="standardContextual"/>
        </w:rPr>
        <w:fldChar w:fldCharType="separate"/>
      </w:r>
      <w:r w:rsidRPr="00103457">
        <w:rPr>
          <w:rFonts w:ascii="Times New Roman" w:eastAsia="Aptos" w:hAnsi="Times New Roman"/>
          <w:color w:val="000000"/>
          <w:szCs w:val="22"/>
          <w:lang w:bidi="ar-SA"/>
          <w14:ligatures w14:val="standardContextual"/>
        </w:rPr>
        <w:t>(Wang et al., 2017)</w:t>
      </w:r>
      <w:r w:rsidRPr="00103457">
        <w:rPr>
          <w:rFonts w:ascii="Times New Roman" w:eastAsia="Aptos" w:hAnsi="Times New Roman"/>
          <w:color w:val="000000"/>
          <w:lang w:bidi="ar-SA"/>
          <w14:ligatures w14:val="standardContextual"/>
        </w:rPr>
        <w:fldChar w:fldCharType="end"/>
      </w:r>
      <w:r w:rsidRPr="00103457">
        <w:rPr>
          <w:rFonts w:ascii="Times New Roman" w:eastAsia="Aptos" w:hAnsi="Times New Roman"/>
          <w:color w:val="000000"/>
          <w:lang w:bidi="ar-SA"/>
          <w14:ligatures w14:val="standardContextual"/>
        </w:rPr>
        <w:t xml:space="preserve">, Global Man-Made Impervious Surface </w:t>
      </w:r>
      <w:r w:rsidRPr="00103457">
        <w:rPr>
          <w:rFonts w:ascii="Times New Roman" w:eastAsia="Aptos" w:hAnsi="Times New Roman"/>
          <w:color w:val="000000"/>
          <w:lang w:bidi="ar-SA"/>
          <w14:ligatures w14:val="standardContextual"/>
        </w:rPr>
        <w:fldChar w:fldCharType="begin"/>
      </w:r>
      <w:r w:rsidRPr="00103457">
        <w:rPr>
          <w:rFonts w:ascii="Times New Roman" w:eastAsia="Aptos" w:hAnsi="Times New Roman"/>
          <w:color w:val="000000"/>
          <w:lang w:bidi="ar-SA"/>
          <w14:ligatures w14:val="standardContextual"/>
        </w:rPr>
        <w:instrText xml:space="preserve"> ADDIN ZOTERO_ITEM CSL_CITATION {"citationID":"CYNmo5QA","properties":{"formattedCitation":"(Brown de Colstoun et al., 2017)","plainCitation":"(Brown de Colstoun et al., 2017)","noteIndex":0},"citationItems":[{"id":394,"uris":["http://zotero.org/users/8906743/items/TWZUD9QB"],"itemData":{"id":394,"type":"document","publisher":"NASA Socioeconomic Data and Applications Center (SEDAC)","title":"Global Man-made Impervious Surface (GMIS) Dataset From Landsat","URL":"https://doi.org/10.7927/H4P55KKF","author":[{"family":"Brown de Colstoun","given":"E. C."},{"family":"Huang","given":"C"},{"family":"Wang","given":"P"},{"family":"Tilton","given":"J. C"},{"family":"Tan","given":"B"},{"family":"Phillips","given":"J"},{"family":"Niemczura","given":"S"},{"family":"Ling","given":"P.-Y"},{"family":"Wolfe","given":"R. E."}],"issued":{"date-parts":[["2017"]]}}}],"schema":"https://github.com/citation-style-language/schema/raw/master/csl-citation.json"} </w:instrText>
      </w:r>
      <w:r w:rsidRPr="00103457">
        <w:rPr>
          <w:rFonts w:ascii="Times New Roman" w:eastAsia="Aptos" w:hAnsi="Times New Roman"/>
          <w:color w:val="000000"/>
          <w:lang w:bidi="ar-SA"/>
          <w14:ligatures w14:val="standardContextual"/>
        </w:rPr>
        <w:fldChar w:fldCharType="separate"/>
      </w:r>
      <w:r w:rsidRPr="00103457">
        <w:rPr>
          <w:rFonts w:ascii="Times New Roman" w:eastAsia="Aptos" w:hAnsi="Times New Roman"/>
          <w:color w:val="000000"/>
          <w:szCs w:val="22"/>
          <w:lang w:bidi="ar-SA"/>
          <w14:ligatures w14:val="standardContextual"/>
        </w:rPr>
        <w:t>(Brown de Colstoun et al., 2017)</w:t>
      </w:r>
      <w:r w:rsidRPr="00103457">
        <w:rPr>
          <w:rFonts w:ascii="Times New Roman" w:eastAsia="Aptos" w:hAnsi="Times New Roman"/>
          <w:color w:val="000000"/>
          <w:lang w:bidi="ar-SA"/>
          <w14:ligatures w14:val="standardContextual"/>
        </w:rPr>
        <w:fldChar w:fldCharType="end"/>
      </w:r>
      <w:r w:rsidRPr="00103457">
        <w:rPr>
          <w:rFonts w:ascii="Times New Roman" w:eastAsia="Aptos" w:hAnsi="Times New Roman"/>
          <w:color w:val="000000"/>
          <w:lang w:bidi="ar-SA"/>
          <w14:ligatures w14:val="standardContextual"/>
        </w:rPr>
        <w:t xml:space="preserve">, and the Global Impervious Area </w:t>
      </w:r>
      <w:r w:rsidRPr="00103457">
        <w:rPr>
          <w:rFonts w:ascii="Times New Roman" w:eastAsia="Aptos" w:hAnsi="Times New Roman"/>
          <w:color w:val="000000"/>
          <w:lang w:bidi="ar-SA"/>
          <w14:ligatures w14:val="standardContextual"/>
        </w:rPr>
        <w:fldChar w:fldCharType="begin"/>
      </w:r>
      <w:r w:rsidRPr="00103457">
        <w:rPr>
          <w:rFonts w:ascii="Times New Roman" w:eastAsia="Aptos" w:hAnsi="Times New Roman"/>
          <w:color w:val="000000"/>
          <w:lang w:bidi="ar-SA"/>
          <w14:ligatures w14:val="standardContextual"/>
        </w:rPr>
        <w:instrText xml:space="preserve"> ADDIN ZOTERO_ITEM CSL_CITATION {"citationID":"rh4ohqTl","properties":{"formattedCitation":"(Gong et al., 2020)","plainCitation":"(Gong et al., 2020)","noteIndex":0},"citationItems":[{"id":626,"uris":["http://zotero.org/users/8906743/items/P4P428TH"],"itemData":{"id":626,"type":"article-journal","abstract":"Artiﬁcial impervious areas are predominant indicators of human settlements. Timely, accurate, and frequent information on artiﬁcial impervious areas is critical to understanding the process of urbanization and land use/ cover change, as well as of their impacts on the environment and biodiversity. Despite their importance, there still lack annual maps of high-resolution Global Artiﬁcial Impervious Areas (GAIA) with longer than 30-year records, due to the high demand of high performance computation and the lack of eﬀective mapping algorithms. In this paper, we mapped annual GAIA from 1985 to 2018 using the full archive of 30-m resolution Landsat images on the Google Earth Engine platform. With ancillary datasets, including the nighttime light data and the Sentinel-1 Synthetic Aperture Radar data, we improved the performance of our previously developed algorithm in arid areas. We evaluated the GAIA data for 1985, 1990, 1995, 2000, 2005, 2010, and 2015, and the mean overall accuracy is higher than 90%. A cross-product comparison indicates the GAIA data are the only dataset spanning over 30 years. The temporal trend in GAIA agrees well with other datasets at the local, regional, and global scales. Our results indicate that the GAIA reached 797,076 km2 in 2018, which is 1.5 times more than that in 1990. China and the United States (US) rank among the top two in artiﬁcial impervious area, accounting for approximately 50% of the world's total in 2018. The artiﬁcial impervious area of China surpassed that of the US in 2015. By 2018, the remaining eight among the top ten countries are India, Russia, Brazil, France, Italy, Germany, Japan, and Canada. The GAIA dataset can be freely downloaded from http://data.ess.tsinghua.edu.cn.","container-title":"Remote Sensing of Environment","DOI":"10.1016/j.rse.2019.111510","ISSN":"00344257","journalAbbreviation":"Remote Sensing of Environment","language":"en","page":"111510","source":"DOI.org (Crossref)","title":"Annual maps of global artificial impervious area (GAIA) between 1985 and 2018","URL":"https://linkinghub.elsevier.com/retrieve/pii/S0034425719305292","volume":"236","author":[{"family":"Gong","given":"Peng"},{"family":"Li","given":"Xuecao"},{"family":"Wang","given":"Jie"},{"family":"Bai","given":"Yuqi"},{"family":"Chen","given":"Bin"},{"family":"Hu","given":"Tengyun"},{"family":"Liu","given":"Xiaoping"},{"family":"Xu","given":"Bing"},{"family":"Yang","given":"Jun"},{"family":"Zhang","given":"Wei"},{"family":"Zhou","given":"Yuyu"}],"accessed":{"date-parts":[["2021",5,3]]},"issued":{"date-parts":[["2020",1]]}}}],"schema":"https://github.com/citation-style-language/schema/raw/master/csl-citation.json"} </w:instrText>
      </w:r>
      <w:r w:rsidRPr="00103457">
        <w:rPr>
          <w:rFonts w:ascii="Times New Roman" w:eastAsia="Aptos" w:hAnsi="Times New Roman"/>
          <w:color w:val="000000"/>
          <w:lang w:bidi="ar-SA"/>
          <w14:ligatures w14:val="standardContextual"/>
        </w:rPr>
        <w:fldChar w:fldCharType="separate"/>
      </w:r>
      <w:r w:rsidRPr="00103457">
        <w:rPr>
          <w:rFonts w:ascii="Times New Roman" w:eastAsia="Aptos" w:hAnsi="Times New Roman"/>
          <w:color w:val="000000"/>
          <w:szCs w:val="22"/>
          <w:lang w:bidi="ar-SA"/>
          <w14:ligatures w14:val="standardContextual"/>
        </w:rPr>
        <w:t>(Gong et al., 2020)</w:t>
      </w:r>
      <w:r w:rsidRPr="00103457">
        <w:rPr>
          <w:rFonts w:ascii="Times New Roman" w:eastAsia="Aptos" w:hAnsi="Times New Roman"/>
          <w:color w:val="000000"/>
          <w:lang w:bidi="ar-SA"/>
          <w14:ligatures w14:val="standardContextual"/>
        </w:rPr>
        <w:fldChar w:fldCharType="end"/>
      </w:r>
      <w:r w:rsidRPr="00103457">
        <w:rPr>
          <w:rFonts w:ascii="Times New Roman" w:eastAsia="Aptos" w:hAnsi="Times New Roman"/>
          <w:color w:val="000000"/>
          <w:lang w:bidi="ar-SA"/>
          <w14:ligatures w14:val="standardContextual"/>
        </w:rPr>
        <w:t>.</w:t>
      </w:r>
      <w:r w:rsidRPr="00103457">
        <w:rPr>
          <w:rFonts w:ascii="Times New Roman" w:eastAsia="Aptos" w:hAnsi="Times New Roman"/>
          <w:lang w:bidi="ar-SA"/>
          <w14:ligatures w14:val="standardContextual"/>
        </w:rPr>
        <w:t xml:space="preserve"> These </w:t>
      </w:r>
      <w:r w:rsidRPr="00103457">
        <w:rPr>
          <w:rFonts w:ascii="Times New Roman" w:eastAsia="Aptos" w:hAnsi="Times New Roman"/>
          <w:color w:val="000000"/>
          <w:lang w:bidi="ar-SA"/>
          <w14:ligatures w14:val="standardContextual"/>
        </w:rPr>
        <w:t xml:space="preserve">globally calibrated </w:t>
      </w:r>
      <w:r w:rsidR="008200EF">
        <w:rPr>
          <w:rFonts w:ascii="Times New Roman" w:eastAsia="Aptos" w:hAnsi="Times New Roman"/>
          <w:color w:val="000000"/>
          <w:lang w:bidi="ar-SA"/>
          <w14:ligatures w14:val="standardContextual"/>
        </w:rPr>
        <w:t xml:space="preserve">datasets </w:t>
      </w:r>
      <w:r w:rsidRPr="00103457">
        <w:rPr>
          <w:rFonts w:ascii="Times New Roman" w:eastAsia="Aptos" w:hAnsi="Times New Roman"/>
          <w:color w:val="000000"/>
          <w:lang w:bidi="ar-SA"/>
          <w14:ligatures w14:val="standardContextual"/>
        </w:rPr>
        <w:t xml:space="preserve">are not necessarily suitable for regional analysis of entire urban systems since they overestimate or underestimate urban extent in some study areas and mostly </w:t>
      </w:r>
      <w:r w:rsidRPr="00103457">
        <w:rPr>
          <w:rFonts w:ascii="Times New Roman" w:eastAsia="Aptos" w:hAnsi="Times New Roman"/>
          <w:lang w:bidi="ar-SA"/>
          <w14:ligatures w14:val="standardContextual"/>
        </w:rPr>
        <w:t>provide data for relatively larger cities</w:t>
      </w:r>
      <w:r w:rsidRPr="00103457">
        <w:rPr>
          <w:rFonts w:ascii="Times New Roman" w:eastAsia="Aptos" w:hAnsi="Times New Roman"/>
          <w:color w:val="000000"/>
          <w:lang w:bidi="ar-SA"/>
          <w14:ligatures w14:val="standardContextual"/>
        </w:rPr>
        <w:t xml:space="preserve"> </w:t>
      </w:r>
      <w:r w:rsidRPr="00103457">
        <w:rPr>
          <w:rFonts w:ascii="Times New Roman" w:eastAsia="Aptos" w:hAnsi="Times New Roman"/>
          <w:color w:val="000000"/>
          <w:lang w:bidi="ar-SA"/>
          <w14:ligatures w14:val="standardContextual"/>
        </w:rPr>
        <w:fldChar w:fldCharType="begin"/>
      </w:r>
      <w:r w:rsidRPr="00103457">
        <w:rPr>
          <w:rFonts w:ascii="Times New Roman" w:eastAsia="Aptos" w:hAnsi="Times New Roman"/>
          <w:color w:val="000000"/>
          <w:lang w:bidi="ar-SA"/>
          <w14:ligatures w14:val="standardContextual"/>
        </w:rPr>
        <w:instrText xml:space="preserve"> ADDIN ZOTERO_ITEM CSL_CITATION {"citationID":"2cPke33F","properties":{"formattedCitation":"(Tulbure et al., 2022)","plainCitation":"(Tulbure et al., 2022)","noteIndex":0},"citationItems":[{"id":"AfXXxLkF/2cDXYeeu","uris":["http://zotero.org/users/8906743/items/AYTVCY2C"],"itemData":{"id":1070,"type":"article-journal","journalAbbreviation":"REmote Sensing in Ecology and Conservation","title":"Regional matters: On the usefulness of regional land-cover datasets in times of global change","author":[{"family":"Tulbure","given":"Mirela. G."},{"family":"Hostert","given":"Patrick"},{"family":"Kuemmerle","given":"Tobias"},{"family":"Broich","given":"Mark"}],"issued":{"date-parts":[["2022"]]}}}],"schema":"https://github.com/citation-style-language/schema/raw/master/csl-citation.json"} </w:instrText>
      </w:r>
      <w:r w:rsidRPr="00103457">
        <w:rPr>
          <w:rFonts w:ascii="Times New Roman" w:eastAsia="Aptos" w:hAnsi="Times New Roman"/>
          <w:color w:val="000000"/>
          <w:lang w:bidi="ar-SA"/>
          <w14:ligatures w14:val="standardContextual"/>
        </w:rPr>
        <w:fldChar w:fldCharType="separate"/>
      </w:r>
      <w:r w:rsidRPr="00103457">
        <w:rPr>
          <w:rFonts w:ascii="Times New Roman" w:eastAsia="Aptos" w:hAnsi="Times New Roman"/>
          <w:color w:val="000000"/>
          <w:szCs w:val="22"/>
          <w:lang w:bidi="ar-SA"/>
          <w14:ligatures w14:val="standardContextual"/>
        </w:rPr>
        <w:t>(Tulbure et al., 2022)</w:t>
      </w:r>
      <w:r w:rsidRPr="00103457">
        <w:rPr>
          <w:rFonts w:ascii="Times New Roman" w:eastAsia="Aptos" w:hAnsi="Times New Roman"/>
          <w:color w:val="000000"/>
          <w:lang w:bidi="ar-SA"/>
          <w14:ligatures w14:val="standardContextual"/>
        </w:rPr>
        <w:fldChar w:fldCharType="end"/>
      </w:r>
      <w:r w:rsidRPr="00103457">
        <w:rPr>
          <w:rFonts w:ascii="Times New Roman" w:eastAsia="Aptos" w:hAnsi="Times New Roman"/>
          <w:color w:val="000000"/>
          <w:lang w:bidi="ar-SA"/>
          <w14:ligatures w14:val="standardContextual"/>
        </w:rPr>
        <w:t xml:space="preserve">. This study combined LandTrendr and Random Forest algorithms and developed the first regionally calibrated 30 m resolution impervious dataset for rapidly urbanizing West African countries. </w:t>
      </w:r>
      <w:r w:rsidR="00746E58">
        <w:rPr>
          <w:rFonts w:ascii="Times New Roman" w:eastAsia="Aptos" w:hAnsi="Times New Roman"/>
          <w:color w:val="000000"/>
          <w:lang w:bidi="ar-SA"/>
          <w14:ligatures w14:val="standardContextual"/>
        </w:rPr>
        <w:t>The</w:t>
      </w:r>
      <w:r w:rsidR="000E037C">
        <w:rPr>
          <w:rFonts w:ascii="Times New Roman" w:eastAsia="Aptos" w:hAnsi="Times New Roman"/>
          <w:color w:val="000000"/>
          <w:lang w:bidi="ar-SA"/>
          <w14:ligatures w14:val="standardContextual"/>
        </w:rPr>
        <w:t xml:space="preserve"> name</w:t>
      </w:r>
      <w:r w:rsidR="00746E58">
        <w:rPr>
          <w:rFonts w:ascii="Times New Roman" w:eastAsia="Aptos" w:hAnsi="Times New Roman"/>
          <w:color w:val="000000"/>
          <w:lang w:bidi="ar-SA"/>
          <w14:ligatures w14:val="standardContextual"/>
        </w:rPr>
        <w:t xml:space="preserve"> is</w:t>
      </w:r>
      <w:r w:rsidR="000E037C">
        <w:rPr>
          <w:rFonts w:ascii="Times New Roman" w:eastAsia="Aptos" w:hAnsi="Times New Roman"/>
          <w:color w:val="000000"/>
          <w:lang w:bidi="ar-SA"/>
          <w14:ligatures w14:val="standardContextual"/>
        </w:rPr>
        <w:t xml:space="preserve"> </w:t>
      </w:r>
      <w:r w:rsidR="000E037C" w:rsidRPr="003A5019">
        <w:rPr>
          <w:rFonts w:ascii="Times New Roman" w:eastAsia="Aptos" w:hAnsi="Times New Roman"/>
          <w:color w:val="000000"/>
          <w:lang w:bidi="ar-SA"/>
          <w14:ligatures w14:val="standardContextual"/>
        </w:rPr>
        <w:t>WADISC: annual</w:t>
      </w:r>
      <w:r w:rsidR="002020CD" w:rsidRPr="003A5019">
        <w:rPr>
          <w:rFonts w:ascii="Times New Roman" w:eastAsia="Aptos" w:hAnsi="Times New Roman"/>
          <w:color w:val="000000"/>
          <w:lang w:bidi="ar-SA"/>
          <w14:ligatures w14:val="standardContextual"/>
        </w:rPr>
        <w:t xml:space="preserve"> impervious </w:t>
      </w:r>
      <w:r w:rsidR="00C56F43" w:rsidRPr="003A5019">
        <w:rPr>
          <w:rFonts w:ascii="Times New Roman" w:eastAsia="Aptos" w:hAnsi="Times New Roman"/>
          <w:color w:val="000000"/>
          <w:lang w:bidi="ar-SA"/>
          <w14:ligatures w14:val="standardContextual"/>
        </w:rPr>
        <w:t>surface data</w:t>
      </w:r>
      <w:r w:rsidR="000E01A5" w:rsidRPr="003A5019">
        <w:rPr>
          <w:rFonts w:ascii="Times New Roman" w:eastAsia="Aptos" w:hAnsi="Times New Roman"/>
          <w:color w:val="000000"/>
          <w:lang w:bidi="ar-SA"/>
          <w14:ligatures w14:val="standardContextual"/>
        </w:rPr>
        <w:t xml:space="preserve"> for Ghana, Togo, Benin, and Nigeria from 2001-202</w:t>
      </w:r>
      <w:r w:rsidR="003A5019" w:rsidRPr="006E292A">
        <w:rPr>
          <w:rFonts w:ascii="Times New Roman" w:eastAsia="Aptos" w:hAnsi="Times New Roman"/>
          <w:color w:val="000000"/>
        </w:rPr>
        <w:t>0</w:t>
      </w:r>
      <w:r w:rsidR="00310B6D">
        <w:rPr>
          <w:rFonts w:ascii="Times New Roman" w:eastAsia="Aptos" w:hAnsi="Times New Roman"/>
          <w:color w:val="000000"/>
        </w:rPr>
        <w:t xml:space="preserve"> </w:t>
      </w:r>
      <w:r w:rsidR="00310B6D" w:rsidRPr="00096F30">
        <w:rPr>
          <w:rFonts w:ascii="Times New Roman" w:hAnsi="Times New Roman"/>
          <w:color w:val="000000"/>
          <w:shd w:val="clear" w:color="auto" w:fill="FFFFFF"/>
        </w:rPr>
        <w:fldChar w:fldCharType="begin"/>
      </w:r>
      <w:r w:rsidR="00310B6D" w:rsidRPr="00096F30">
        <w:rPr>
          <w:rFonts w:ascii="Times New Roman" w:hAnsi="Times New Roman"/>
          <w:color w:val="000000"/>
          <w:shd w:val="clear" w:color="auto" w:fill="FFFFFF"/>
        </w:rPr>
        <w:instrText xml:space="preserve"> ADDIN ZOTERO_ITEM CSL_CITATION {"citationID":"aVnQVqEN","properties":{"formattedCitation":"(Korah &amp; Wimberly, 2024a, 2024b)","plainCitation":"(Korah &amp; Wimberly, 2024a, 2024b)","noteIndex":0},"citationItems":[{"id":2032,"uris":["http://zotero.org/users/8906743/items/QJMXD7GI"],"itemData":{"id":2032,"type":"dataset","DOI":"10.6084/m9.figshare.24716481.v3","genre":"Dataset","publisher":"figshare","source":"figshare.com","title":"WADISC: Annual Impervious Surface Data for Ghana, Togo, Benin, and Nigeria from 2001 – 2020","URL":"https://doi.org/10.6084/m9.figshare.24716481.v3","author":[{"family":"Korah","given":"Andrews"},{"family":"Wimberly","given":"Michael"}],"issued":{"date-parts":[["2024"]]}}},{"id":2091,"uris":["http://zotero.org/users/8906743/items/ZYYWM79L"],"itemData":{"id":2091,"type":"article-journal","abstract":"Impervious surface data are increasingly important for research and planning. Despite the availability of global and local urban land cover maps, regional data are lacking in Africa. We generated annual 30 m impervious cover data from 2001–2020 for Ghana, Togo, Benin, and Nigeria using the Landsat archive. We used random forest to predict impervious cover using 11 spectral indices and applied pixel-level temporal segmentation with the LandTrendr algorithm. Processing with LandTrendr improved the accuracy of the random forest predictions, with higher predicted-observed r2 (0.81), and lower mean error (−0.03), mean absolute error (5.73%), and root mean squared error (9.93%). We classified pixels &gt;20% impervious as developed and &lt; = 20% impervious as undeveloped. This classification had 93% overall accuracy and similar producer’s (79%) and user’s (80%) accuracies for developed area. Our maps had higher accuracy and captured more developed areas than comparable global datasets. This is the first regionally calibrated 30 m resolution impervious dataset in West Africa, which can support research on drivers and impacts of urban expansion and planning for future growth.","container-title":"Scientific Data","DOI":"10.1038/s41597-024-03610-8","ISSN":"2052-4463","issue":"1","journalAbbreviation":"Sci Data","language":"en","license":"2024 The Author(s)","note":"publisher: Nature Publishing Group","page":"791","source":"www.nature.com","title":"Annual Impervious Surface Data from 2001–2020 for West African Countries: Ghana, Togo, Benin and Nigeria","title-short":"Annual Impervious Surface Data from 2001–2020 for West African Countries","URL":"https://www.nature.com/articles/s41597-024-03610-8","volume":"11","author":[{"family":"Korah","given":"Andrews"},{"family":"Wimberly","given":"Michael C."}],"accessed":{"date-parts":[["2024",7,18]]},"issued":{"date-parts":[["2024",7,18]]}}}],"schema":"https://github.com/citation-style-language/schema/raw/master/csl-citation.json"} </w:instrText>
      </w:r>
      <w:r w:rsidR="00310B6D" w:rsidRPr="00096F30">
        <w:rPr>
          <w:rFonts w:ascii="Times New Roman" w:hAnsi="Times New Roman"/>
          <w:color w:val="000000"/>
          <w:shd w:val="clear" w:color="auto" w:fill="FFFFFF"/>
        </w:rPr>
        <w:fldChar w:fldCharType="separate"/>
      </w:r>
      <w:r w:rsidR="00310B6D" w:rsidRPr="00096F30">
        <w:rPr>
          <w:rFonts w:ascii="Times New Roman" w:hAnsi="Times New Roman"/>
        </w:rPr>
        <w:t>(Korah &amp; Wimberly, 2024a, 2024b)</w:t>
      </w:r>
      <w:r w:rsidR="00310B6D" w:rsidRPr="00096F30">
        <w:rPr>
          <w:rFonts w:ascii="Times New Roman" w:hAnsi="Times New Roman"/>
          <w:color w:val="000000"/>
          <w:shd w:val="clear" w:color="auto" w:fill="FFFFFF"/>
        </w:rPr>
        <w:fldChar w:fldCharType="end"/>
      </w:r>
      <w:r w:rsidR="00310B6D" w:rsidRPr="00096F30">
        <w:rPr>
          <w:rFonts w:ascii="Times New Roman" w:hAnsi="Times New Roman"/>
          <w:color w:val="000000"/>
          <w:shd w:val="clear" w:color="auto" w:fill="FFFFFF"/>
        </w:rPr>
        <w:t>.</w:t>
      </w:r>
      <w:r w:rsidR="003A5019" w:rsidRPr="006E292A">
        <w:rPr>
          <w:rFonts w:ascii="Times New Roman" w:eastAsia="Aptos" w:hAnsi="Times New Roman"/>
          <w:color w:val="000000"/>
        </w:rPr>
        <w:t xml:space="preserve"> </w:t>
      </w:r>
      <w:r w:rsidRPr="00103457">
        <w:rPr>
          <w:rFonts w:ascii="Times New Roman" w:eastAsia="Aptos" w:hAnsi="Times New Roman"/>
          <w:color w:val="000000"/>
          <w:lang w:bidi="ar-SA"/>
          <w14:ligatures w14:val="standardContextual"/>
        </w:rPr>
        <w:t>This regional impervious data generation was necessary as it allows for consistent analysis of urban expansion across cities of varying sizes. These data can support large-scale analysis and projection of urban growth and its impacts and help decision-making and regional planning efforts</w:t>
      </w:r>
      <w:r w:rsidR="00E24405">
        <w:rPr>
          <w:rFonts w:ascii="Times New Roman" w:eastAsia="Aptos" w:hAnsi="Times New Roman"/>
          <w:color w:val="000000"/>
          <w:lang w:bidi="ar-SA"/>
          <w14:ligatures w14:val="standardContextual"/>
        </w:rPr>
        <w:t xml:space="preserve"> in West Africa</w:t>
      </w:r>
      <w:r w:rsidRPr="00103457">
        <w:rPr>
          <w:rFonts w:ascii="Times New Roman" w:eastAsia="Aptos" w:hAnsi="Times New Roman"/>
          <w:color w:val="000000"/>
          <w:lang w:bidi="ar-SA"/>
          <w14:ligatures w14:val="standardContextual"/>
        </w:rPr>
        <w:t>.</w:t>
      </w:r>
    </w:p>
    <w:p w14:paraId="0D245AF3" w14:textId="7FB5C558" w:rsidR="00103457" w:rsidRPr="00103457" w:rsidRDefault="00103457" w:rsidP="00BD6B85">
      <w:pPr>
        <w:ind w:firstLine="360"/>
        <w:rPr>
          <w:rFonts w:ascii="Times New Roman" w:eastAsia="Aptos" w:hAnsi="Times New Roman"/>
          <w:color w:val="000000"/>
          <w:lang w:bidi="ar-SA"/>
          <w14:ligatures w14:val="standardContextual"/>
        </w:rPr>
      </w:pPr>
      <w:r w:rsidRPr="00103457">
        <w:rPr>
          <w:rFonts w:ascii="Times New Roman" w:eastAsia="Aptos" w:hAnsi="Times New Roman"/>
          <w:color w:val="000000"/>
          <w:lang w:bidi="ar-SA"/>
          <w14:ligatures w14:val="standardContextual"/>
        </w:rPr>
        <w:t xml:space="preserve">Chapter </w:t>
      </w:r>
      <w:r w:rsidR="00954D92">
        <w:rPr>
          <w:rFonts w:ascii="Times New Roman" w:eastAsia="Aptos" w:hAnsi="Times New Roman"/>
          <w:color w:val="000000"/>
          <w:lang w:bidi="ar-SA"/>
          <w14:ligatures w14:val="standardContextual"/>
        </w:rPr>
        <w:t>two</w:t>
      </w:r>
      <w:r w:rsidRPr="00103457">
        <w:rPr>
          <w:rFonts w:ascii="Times New Roman" w:eastAsia="Aptos" w:hAnsi="Times New Roman"/>
          <w:color w:val="000000"/>
          <w:lang w:bidi="ar-SA"/>
          <w14:ligatures w14:val="standardContextual"/>
        </w:rPr>
        <w:t xml:space="preserve"> uses WADISC and quantifies the rates of urban expansion from 2001 - 2020 across all the 1603 cities, including 16 large, 282 medium, and 1305 small cities in the study area.</w:t>
      </w:r>
      <w:r w:rsidR="00765EAB">
        <w:rPr>
          <w:rFonts w:ascii="Times New Roman" w:eastAsia="Aptos" w:hAnsi="Times New Roman"/>
          <w:color w:val="000000"/>
          <w:lang w:bidi="ar-SA"/>
          <w14:ligatures w14:val="standardContextual"/>
        </w:rPr>
        <w:t xml:space="preserve"> I</w:t>
      </w:r>
      <w:r w:rsidRPr="00103457">
        <w:rPr>
          <w:rFonts w:ascii="Times New Roman" w:eastAsia="Aptos" w:hAnsi="Times New Roman"/>
          <w:color w:val="000000"/>
          <w:lang w:bidi="ar-SA"/>
          <w14:ligatures w14:val="standardContextual"/>
        </w:rPr>
        <w:t xml:space="preserve"> found that developed areas more than doubled across the study area, with over 54% of the </w:t>
      </w:r>
      <w:r w:rsidRPr="00103457">
        <w:rPr>
          <w:rFonts w:ascii="Times New Roman" w:eastAsia="Aptos" w:hAnsi="Times New Roman"/>
          <w:color w:val="000000"/>
          <w:lang w:bidi="ar-SA"/>
          <w14:ligatures w14:val="standardContextual"/>
        </w:rPr>
        <w:lastRenderedPageBreak/>
        <w:t>increase in small and medium cities</w:t>
      </w:r>
      <w:r w:rsidR="00CA33D5">
        <w:rPr>
          <w:rFonts w:ascii="Times New Roman" w:eastAsia="Aptos" w:hAnsi="Times New Roman"/>
          <w:color w:val="000000"/>
          <w:lang w:bidi="ar-SA"/>
          <w14:ligatures w14:val="standardContextual"/>
        </w:rPr>
        <w:t xml:space="preserve"> </w:t>
      </w:r>
      <w:r w:rsidR="00CA33D5" w:rsidRPr="00096F30">
        <w:rPr>
          <w:rFonts w:ascii="Times New Roman" w:hAnsi="Times New Roman"/>
          <w:color w:val="000000"/>
          <w:shd w:val="clear" w:color="auto" w:fill="FFFFFF"/>
        </w:rPr>
        <w:fldChar w:fldCharType="begin"/>
      </w:r>
      <w:r w:rsidR="00CA33D5" w:rsidRPr="00096F30">
        <w:rPr>
          <w:rFonts w:ascii="Times New Roman" w:hAnsi="Times New Roman"/>
          <w:color w:val="000000"/>
          <w:shd w:val="clear" w:color="auto" w:fill="FFFFFF"/>
        </w:rPr>
        <w:instrText xml:space="preserve"> ADDIN ZOTERO_ITEM CSL_CITATION {"citationID":"YeeqYadE","properties":{"formattedCitation":"(Korah &amp; Wimberly, 2024c)","plainCitation":"(Korah &amp; Wimberly, 2024c)","noteIndex":0},"citationItems":[{"id":1977,"uris":["http://zotero.org/users/8906743/items/889NZRIP"],"itemData":{"id":1977,"type":"article-journal","abstract":"Urban expansion studies are often biased toward large cities with populations greater than 1 million, while small and medium cities with smaller populations are overlooked. We mapped and assessed the expansion of 1603 cities across Ghana, Togo, Benin, and Nigeria using impervious surface data generated from Landsat from 2001 to 2020. We classified pixels with &gt;20 % impervious as developed with 93 % overall accuracy. Total developed area increased 2.3-fold from 4001 km² in 2001 to 9402 km² in 2020. Of the expanded area, more than half (54 %) occurred in small and medium cities, and 73 % was sprawl. The mean annual expansion rate was 4.6 %.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Benin and Togo. Although much attention is focused on large megacities, these results show that smaller and more numerous cities contribute substantially to urban expansion and need to be incorporated into regional assessments of urban growth and its impacts.","container-title":"Sustainable Cities and Society","DOI":"10.1016/j.scs.2024.105381","ISSN":"2210-6707","journalAbbreviation":"Sustainable Cities and Society","page":"105381","source":"ScienceDirect","title":"Smaller cities have large impacts on West Africa's expanding urban system","URL":"https://www.sciencedirect.com/science/article/pii/S2210670724002099","volume":"106","author":[{"family":"Korah","given":"Andrews"},{"family":"Wimberly","given":"Michael C."}],"accessed":{"date-parts":[["2024",4,8]]},"issued":{"date-parts":[["2024",7,1]]}}}],"schema":"https://github.com/citation-style-language/schema/raw/master/csl-citation.json"} </w:instrText>
      </w:r>
      <w:r w:rsidR="00CA33D5" w:rsidRPr="00096F30">
        <w:rPr>
          <w:rFonts w:ascii="Times New Roman" w:hAnsi="Times New Roman"/>
          <w:color w:val="000000"/>
          <w:shd w:val="clear" w:color="auto" w:fill="FFFFFF"/>
        </w:rPr>
        <w:fldChar w:fldCharType="separate"/>
      </w:r>
      <w:r w:rsidR="00CA33D5" w:rsidRPr="00096F30">
        <w:rPr>
          <w:rFonts w:ascii="Times New Roman" w:hAnsi="Times New Roman"/>
        </w:rPr>
        <w:t>(Korah &amp; Wimberly, 2024c)</w:t>
      </w:r>
      <w:r w:rsidR="00CA33D5" w:rsidRPr="00096F30">
        <w:rPr>
          <w:rFonts w:ascii="Times New Roman" w:hAnsi="Times New Roman"/>
          <w:color w:val="000000"/>
          <w:shd w:val="clear" w:color="auto" w:fill="FFFFFF"/>
        </w:rPr>
        <w:fldChar w:fldCharType="end"/>
      </w:r>
      <w:r w:rsidRPr="00103457">
        <w:rPr>
          <w:rFonts w:ascii="Times New Roman" w:eastAsia="Aptos" w:hAnsi="Times New Roman"/>
          <w:color w:val="000000"/>
          <w:lang w:bidi="ar-SA"/>
          <w14:ligatures w14:val="standardContextual"/>
        </w:rPr>
        <w:t>. The annual urban expansion rates decreased in the large cities but increased or were stable in the smaller cities, and the sprawl-to-infill ratio was also higher in the smaller cities. A global synthesis of urban expansion and a study of 130 cities in China found that</w:t>
      </w:r>
      <w:r w:rsidRPr="00103457">
        <w:rPr>
          <w:rFonts w:ascii="Times New Roman" w:eastAsia="Aptos" w:hAnsi="Times New Roman"/>
          <w:bCs/>
          <w:color w:val="000000"/>
          <w:lang w:bidi="ar-SA"/>
          <w14:ligatures w14:val="standardContextual"/>
        </w:rPr>
        <w:t xml:space="preserve"> cities with populations below 1 million have faster growth rates than more populous cities </w:t>
      </w:r>
      <w:r w:rsidRPr="00103457">
        <w:rPr>
          <w:rFonts w:ascii="Times New Roman" w:eastAsia="Aptos" w:hAnsi="Times New Roman"/>
          <w:bCs/>
          <w:color w:val="000000"/>
          <w:lang w:bidi="ar-SA"/>
          <w14:ligatures w14:val="standardContextual"/>
        </w:rPr>
        <w:fldChar w:fldCharType="begin"/>
      </w:r>
      <w:r w:rsidRPr="00103457">
        <w:rPr>
          <w:rFonts w:ascii="Times New Roman" w:eastAsia="Aptos" w:hAnsi="Times New Roman"/>
          <w:bCs/>
          <w:color w:val="000000"/>
          <w:lang w:bidi="ar-SA"/>
          <w14:ligatures w14:val="standardContextual"/>
        </w:rPr>
        <w:instrText xml:space="preserve"> ADDIN ZOTERO_ITEM CSL_CITATION {"citationID":"XNf3Ng7I","properties":{"formattedCitation":"(G\\uc0\\u252{}neralp et al., 2020; Schneider &amp; Mertes, 2014)","plainCitation":"(Güneralp et al., 2020; Schneider &amp; Mertes, 2014)","noteIndex":0},"citationItems":[{"id":624,"uris":["http://zotero.org/users/8906743/items/RYJ3GWJE"],"itemData":{"id":624,"type":"article-journal","abstract":"Abstract\n            \n              The physical expansion of urban areas lead to lasting impacts on landscapes and livelihoods. Here, we conduct a global synthesis of trends in urban land expansion, in urban population densities, and lands converted into urban from 1970 to 2010. We find that small-medium urban areas lead their larger counterparts in both rates of urban land expansion and decreases in urban population densities. Urban population densities have consistently declined only in India, China, North America, and Europe with significant exceptions across city sizes. Over 60% of the reported urban expansion was formerly agricultural land with China, Southeast Asia, and Europe in the lead. Counterfactual analysis suggests that, due to the decrease in urban population densities, an estimated 125 000 km\n              2\n              land was converted to urban land uses that could have otherwise remained in cultivation or as natural vegetation. In particular, in India and Nigeria, with much of their populations dependent on agriculture,  85% and 30% more land, respectively, was converted to urban land due to decreasing urban population densities. With increasing urbanization, proactive management of urban land expansion, especially in small and medium cities, will be critical for saving agricultural lands in peri-urban regions while creating equitable and affordable urban landscapes.","container-title":"Environmental Research Letters","DOI":"10.1088/1748-9326/ab6669","ISSN":"1748-9326","issue":"4","journalAbbreviation":"Environ. Res. Lett.","language":"en","page":"044015","source":"DOI.org (Crossref)","title":"Trends in urban land expansion, density, and land transitions from 1970 to 2010: a global synthesis","title-short":"Trends in urban land expansion, density, and land transitions from 1970 to 2010","URL":"https://iopscience.iop.org/article/10.1088/1748-9326/ab6669","volume":"15","author":[{"family":"Güneralp","given":"Burak"},{"family":"Reba","given":"Meredith"},{"family":"Hales","given":"Billy U"},{"family":"Wentz","given":"Elizabeth A"},{"family":"Seto","given":"Karen C"}],"accessed":{"date-parts":[["2023",3,11]]},"issued":{"date-parts":[["2020",4,1]]}}},{"id":367,"uris":["http://zotero.org/users/8906743/items/X2UWUX6T"],"itemData":{"id":367,"type":"article-journal","abstract":"It has long been recognized that compact versus more sprawling urban forms can have very different environmental impacts. As the Chinese population continues to rapidly urbanize, the size, shape, and conﬁguration of cities in China will undoubtedly change to accommodate expansion of housing, industry, and commerce, causing direct and indirect environmental impacts at multiple scales. It is therefore imperative to understand how urban areas are evolving as socio-economic reforms in China are implemented across different regions. This paper compares trends in 142 Chinese cities (including 17 agglomerations) to understand urban expansion and population growth following reforms, 1978–2010. The results show that cities tripled in size, while doubling in population over the same period. In coastal areas targeted by early policies, urban land increased 4–5 times since 1978, for all city sizes. Large agglomerations are the primary consumers of land in coastal and western regions, each adding an average of 450 km2 during the study period, while small-medium cities consumed an average 20 km2. Although populations in these agglomerations increased an average 1.3 million, 2000–2010, cities within 100 km of each agglomeration grew &gt;1.8 million collectively. Proximity to large agglomerations contributed to the growth of small-medium cities, especially in western regions.","container-title":"Environmental Research Letters","DOI":"10.1088/1748-9326/9/2/024008","ISSN":"1748-9326","issue":"2","journalAbbreviation":"Environ. Res. Lett.","language":"en","page":"024008","source":"DOI.org (Crossref)","title":"Expansion and growth in Chinese cities, 1978–2010","URL":"https://iopscience.iop.org/article/10.1088/1748-9326/9/2/024008","volume":"9","author":[{"family":"Schneider","given":"A"},{"family":"Mertes","given":"C M"}],"accessed":{"date-parts":[["2022",1,30]]},"issued":{"date-parts":[["2014",1,1]]}}}],"schema":"https://github.com/citation-style-language/schema/raw/master/csl-citation.json"} </w:instrText>
      </w:r>
      <w:r w:rsidRPr="00103457">
        <w:rPr>
          <w:rFonts w:ascii="Times New Roman" w:eastAsia="Aptos" w:hAnsi="Times New Roman"/>
          <w:bCs/>
          <w:color w:val="000000"/>
          <w:lang w:bidi="ar-SA"/>
          <w14:ligatures w14:val="standardContextual"/>
        </w:rPr>
        <w:fldChar w:fldCharType="separate"/>
      </w:r>
      <w:r w:rsidRPr="00103457">
        <w:rPr>
          <w:rFonts w:ascii="Times New Roman" w:eastAsia="Aptos" w:hAnsi="Times New Roman"/>
          <w:color w:val="000000"/>
          <w:lang w:bidi="ar-SA"/>
          <w14:ligatures w14:val="standardContextual"/>
        </w:rPr>
        <w:t>(Güneralp et al., 2020; Schneider &amp; Mertes, 2014)</w:t>
      </w:r>
      <w:r w:rsidRPr="00103457">
        <w:rPr>
          <w:rFonts w:ascii="Times New Roman" w:eastAsia="Aptos" w:hAnsi="Times New Roman"/>
          <w:bCs/>
          <w:color w:val="000000"/>
          <w:lang w:bidi="ar-SA"/>
          <w14:ligatures w14:val="standardContextual"/>
        </w:rPr>
        <w:fldChar w:fldCharType="end"/>
      </w:r>
      <w:r w:rsidRPr="00103457">
        <w:rPr>
          <w:rFonts w:ascii="Times New Roman" w:eastAsia="Aptos" w:hAnsi="Times New Roman"/>
          <w:bCs/>
          <w:color w:val="000000"/>
          <w:lang w:bidi="ar-SA"/>
          <w14:ligatures w14:val="standardContextual"/>
        </w:rPr>
        <w:t xml:space="preserve">. In contrast, a study of 200 global cities, including 25 African cities, found larger cities grew faster between 1990 and 2014 than smaller cities  </w:t>
      </w:r>
      <w:r w:rsidRPr="00103457">
        <w:rPr>
          <w:rFonts w:ascii="Times New Roman" w:eastAsia="Aptos" w:hAnsi="Times New Roman"/>
          <w:bCs/>
          <w:color w:val="000000"/>
          <w:lang w:bidi="ar-SA"/>
          <w14:ligatures w14:val="standardContextual"/>
        </w:rPr>
        <w:fldChar w:fldCharType="begin"/>
      </w:r>
      <w:r w:rsidRPr="00103457">
        <w:rPr>
          <w:rFonts w:ascii="Times New Roman" w:eastAsia="Aptos" w:hAnsi="Times New Roman"/>
          <w:bCs/>
          <w:color w:val="000000"/>
          <w:lang w:bidi="ar-SA"/>
          <w14:ligatures w14:val="standardContextual"/>
        </w:rPr>
        <w:instrText xml:space="preserve"> ADDIN ZOTERO_ITEM CSL_CITATION {"citationID":"TBwcHKsq","properties":{"formattedCitation":"(Xu et al., 2019)","plainCitation":"(Xu et al., 2019)","noteIndex":0},"citationItems":[{"id":60,"uris":["http://zotero.org/users/8906743/items/GN2WL2FH"],"itemData":{"id":60,"type":"article-journal","abstract":"Africa has been experiencing rapid urbanization, yet limited studies have systematically investigated urban growth dynamics across African cities. Using 25 cities as cases, we quantiﬁed urban growth and form changes in Africa via spatiotemporal analysis of urban land densities in concentric rings over three time points (1990, 2000, and 2014). The results show that African cities have rapidly grown both in population and built-up areas, which increased by about 4% and more than 5% per annum, respectively. Urban land density (deﬁned as the proportion of the built-up area to the buildable area) in each concentric ring decreases from the city center to the urban periphery with diverse patterns among cities. Comparatively, small cities have a lower urban land density and a more dispersed urban form than medium-sized and large cities in Africa. The international comparisons between cities with over one million population in Africa, Asia (e.g., China and India), Europe, and North America (i.e., the United States) reveal that African cities have a relatively less compact urban form. Implications of these ﬁndings for the future of African cities are further proffered.","container-title":"Journal of Cleaner Production","DOI":"10.1016/j.jclepro.2019.03.276","ISSN":"09596526","journalAbbreviation":"Journal of Cleaner Production","language":"en","page":"802-810","source":"DOI.org (Crossref)","title":"Urban expansion and form changes across African cities with a global outlook: Spatiotemporal analysis of urban land densities","title-short":"Urban expansion and form changes across African cities with a global outlook","URL":"https://linkinghub.elsevier.com/retrieve/pii/S0959652619309862","volume":"224","author":[{"family":"Xu","given":"Gang"},{"family":"Dong","given":"Ting"},{"family":"Cobbinah","given":"Patrick Brandful"},{"family":"Jiao","given":"Limin"},{"family":"Sumari","given":"Neema S."},{"family":"Chai","given":"Baohui"},{"family":"Liu","given":"Yaolin"}],"accessed":{"date-parts":[["2020",4,12]]},"issued":{"date-parts":[["2019",7]]}}}],"schema":"https://github.com/citation-style-language/schema/raw/master/csl-citation.json"} </w:instrText>
      </w:r>
      <w:r w:rsidRPr="00103457">
        <w:rPr>
          <w:rFonts w:ascii="Times New Roman" w:eastAsia="Aptos" w:hAnsi="Times New Roman"/>
          <w:bCs/>
          <w:color w:val="000000"/>
          <w:lang w:bidi="ar-SA"/>
          <w14:ligatures w14:val="standardContextual"/>
        </w:rPr>
        <w:fldChar w:fldCharType="separate"/>
      </w:r>
      <w:r w:rsidRPr="00103457">
        <w:rPr>
          <w:rFonts w:ascii="Times New Roman" w:eastAsia="Aptos" w:hAnsi="Times New Roman"/>
          <w:color w:val="000000"/>
          <w:szCs w:val="22"/>
          <w:lang w:bidi="ar-SA"/>
          <w14:ligatures w14:val="standardContextual"/>
        </w:rPr>
        <w:t>(Xu et al., 2019)</w:t>
      </w:r>
      <w:r w:rsidRPr="00103457">
        <w:rPr>
          <w:rFonts w:ascii="Times New Roman" w:eastAsia="Aptos" w:hAnsi="Times New Roman"/>
          <w:bCs/>
          <w:color w:val="000000"/>
          <w:lang w:bidi="ar-SA"/>
          <w14:ligatures w14:val="standardContextual"/>
        </w:rPr>
        <w:fldChar w:fldCharType="end"/>
      </w:r>
      <w:r w:rsidRPr="00103457">
        <w:rPr>
          <w:rFonts w:ascii="Times New Roman" w:eastAsia="Aptos" w:hAnsi="Times New Roman"/>
          <w:bCs/>
          <w:color w:val="000000"/>
          <w:lang w:bidi="ar-SA"/>
          <w14:ligatures w14:val="standardContextual"/>
        </w:rPr>
        <w:t xml:space="preserve">. This dissertation research is distinctive from these previous studies in that it focused on urbanization hotpots in </w:t>
      </w:r>
      <w:r w:rsidR="00FD545C">
        <w:rPr>
          <w:rFonts w:ascii="Times New Roman" w:eastAsia="Aptos" w:hAnsi="Times New Roman"/>
          <w:bCs/>
          <w:color w:val="000000"/>
          <w:lang w:bidi="ar-SA"/>
          <w14:ligatures w14:val="standardContextual"/>
        </w:rPr>
        <w:t xml:space="preserve">four </w:t>
      </w:r>
      <w:r w:rsidRPr="00103457">
        <w:rPr>
          <w:rFonts w:ascii="Times New Roman" w:eastAsia="Aptos" w:hAnsi="Times New Roman"/>
          <w:bCs/>
          <w:color w:val="000000"/>
          <w:lang w:bidi="ar-SA"/>
          <w14:ligatures w14:val="standardContextual"/>
        </w:rPr>
        <w:t>West Africa</w:t>
      </w:r>
      <w:r w:rsidR="00CA5E6F">
        <w:rPr>
          <w:rFonts w:ascii="Times New Roman" w:eastAsia="Aptos" w:hAnsi="Times New Roman"/>
          <w:bCs/>
          <w:color w:val="000000"/>
          <w:lang w:bidi="ar-SA"/>
          <w14:ligatures w14:val="standardContextual"/>
        </w:rPr>
        <w:t>n countries</w:t>
      </w:r>
      <w:r w:rsidRPr="00103457">
        <w:rPr>
          <w:rFonts w:ascii="Times New Roman" w:eastAsia="Aptos" w:hAnsi="Times New Roman"/>
          <w:bCs/>
          <w:color w:val="000000"/>
          <w:lang w:bidi="ar-SA"/>
          <w14:ligatures w14:val="standardContextual"/>
        </w:rPr>
        <w:t xml:space="preserve"> with a high density of cities and included all cities down to a minimum population size of 10,000. </w:t>
      </w:r>
      <w:r w:rsidRPr="00103457">
        <w:rPr>
          <w:rFonts w:ascii="Times New Roman" w:eastAsia="Aptos" w:hAnsi="Times New Roman"/>
          <w:color w:val="000000"/>
          <w:lang w:bidi="ar-SA"/>
          <w14:ligatures w14:val="standardContextual"/>
        </w:rPr>
        <w:t xml:space="preserve">This research also explored how changes in one or more cities influence the expansion of other cities. </w:t>
      </w:r>
      <w:r w:rsidR="008E7B2F">
        <w:rPr>
          <w:rFonts w:ascii="Times New Roman" w:eastAsia="Aptos" w:hAnsi="Times New Roman"/>
          <w:color w:val="000000"/>
          <w:lang w:bidi="ar-SA"/>
          <w14:ligatures w14:val="standardContextual"/>
        </w:rPr>
        <w:t>I</w:t>
      </w:r>
      <w:r w:rsidRPr="00103457">
        <w:rPr>
          <w:rFonts w:ascii="Times New Roman" w:eastAsia="Aptos" w:hAnsi="Times New Roman"/>
          <w:color w:val="000000"/>
          <w:lang w:bidi="ar-SA"/>
          <w14:ligatures w14:val="standardContextual"/>
        </w:rPr>
        <w:t xml:space="preserve"> found that smaller cities near large cities grew faster in Nigeria, while more remote cities expanded faster in Ghana, Togo, and Benin. </w:t>
      </w:r>
      <w:r w:rsidRPr="00103457">
        <w:rPr>
          <w:rFonts w:ascii="Times New Roman" w:eastAsia="Aptos" w:hAnsi="Times New Roman"/>
          <w:bCs/>
          <w:color w:val="000000"/>
          <w:lang w:bidi="ar-SA"/>
          <w14:ligatures w14:val="standardContextual"/>
        </w:rPr>
        <w:t xml:space="preserve">These comprehensive analyses of urban expansion are needed to capture the numerous smaller cities and their networks that contribute substantially to national and regional urban expansion trends. </w:t>
      </w:r>
      <w:r w:rsidR="00B0196D">
        <w:rPr>
          <w:rFonts w:ascii="Times New Roman" w:eastAsia="Aptos" w:hAnsi="Times New Roman"/>
          <w:bCs/>
          <w:color w:val="000000"/>
          <w:lang w:bidi="ar-SA"/>
          <w14:ligatures w14:val="standardContextual"/>
        </w:rPr>
        <w:t xml:space="preserve">Overall, this chapter </w:t>
      </w:r>
      <w:r w:rsidR="00D97268">
        <w:rPr>
          <w:rFonts w:ascii="Times New Roman" w:eastAsia="Aptos" w:hAnsi="Times New Roman"/>
          <w:bCs/>
          <w:color w:val="000000"/>
          <w:lang w:bidi="ar-SA"/>
          <w14:ligatures w14:val="standardContextual"/>
        </w:rPr>
        <w:t>lays the foundation for improving our</w:t>
      </w:r>
      <w:r w:rsidR="003B0481">
        <w:rPr>
          <w:rFonts w:ascii="Times New Roman" w:eastAsia="Aptos" w:hAnsi="Times New Roman"/>
          <w:bCs/>
          <w:color w:val="000000"/>
          <w:lang w:bidi="ar-SA"/>
          <w14:ligatures w14:val="standardContextual"/>
        </w:rPr>
        <w:t xml:space="preserve"> understanding of urban expansion, </w:t>
      </w:r>
      <w:r w:rsidR="004F3724">
        <w:rPr>
          <w:rFonts w:ascii="Times New Roman" w:eastAsia="Aptos" w:hAnsi="Times New Roman"/>
          <w:bCs/>
          <w:color w:val="000000"/>
          <w:lang w:bidi="ar-SA"/>
          <w14:ligatures w14:val="standardContextual"/>
        </w:rPr>
        <w:t xml:space="preserve">and </w:t>
      </w:r>
      <w:r w:rsidR="00244F30">
        <w:rPr>
          <w:rFonts w:ascii="Times New Roman" w:eastAsia="Aptos" w:hAnsi="Times New Roman"/>
          <w:bCs/>
          <w:color w:val="000000"/>
          <w:lang w:bidi="ar-SA"/>
          <w14:ligatures w14:val="standardContextual"/>
        </w:rPr>
        <w:t xml:space="preserve">chapter </w:t>
      </w:r>
      <w:r w:rsidR="00D814EC">
        <w:rPr>
          <w:rFonts w:ascii="Times New Roman" w:eastAsia="Aptos" w:hAnsi="Times New Roman"/>
          <w:bCs/>
          <w:color w:val="000000"/>
          <w:lang w:bidi="ar-SA"/>
          <w14:ligatures w14:val="standardContextual"/>
        </w:rPr>
        <w:t xml:space="preserve">three </w:t>
      </w:r>
      <w:r w:rsidR="002B56A5">
        <w:rPr>
          <w:rFonts w:ascii="Times New Roman" w:eastAsia="Aptos" w:hAnsi="Times New Roman"/>
          <w:bCs/>
          <w:color w:val="000000"/>
          <w:lang w:bidi="ar-SA"/>
          <w14:ligatures w14:val="standardContextual"/>
        </w:rPr>
        <w:t>draws from</w:t>
      </w:r>
      <w:r w:rsidR="00244F30">
        <w:rPr>
          <w:rFonts w:ascii="Times New Roman" w:eastAsia="Aptos" w:hAnsi="Times New Roman"/>
          <w:bCs/>
          <w:color w:val="000000"/>
          <w:lang w:bidi="ar-SA"/>
          <w14:ligatures w14:val="standardContextual"/>
        </w:rPr>
        <w:t xml:space="preserve"> </w:t>
      </w:r>
      <w:r w:rsidR="00905A7C">
        <w:rPr>
          <w:rFonts w:ascii="Times New Roman" w:eastAsia="Aptos" w:hAnsi="Times New Roman"/>
          <w:bCs/>
          <w:color w:val="000000"/>
          <w:lang w:bidi="ar-SA"/>
          <w14:ligatures w14:val="standardContextual"/>
        </w:rPr>
        <w:t xml:space="preserve">it to explain the causes of expansion, while chapter </w:t>
      </w:r>
      <w:r w:rsidR="001733EA">
        <w:rPr>
          <w:rFonts w:ascii="Times New Roman" w:eastAsia="Aptos" w:hAnsi="Times New Roman"/>
          <w:bCs/>
          <w:color w:val="000000"/>
          <w:lang w:bidi="ar-SA"/>
          <w14:ligatures w14:val="standardContextual"/>
        </w:rPr>
        <w:t>four</w:t>
      </w:r>
      <w:r w:rsidR="00905A7C">
        <w:rPr>
          <w:rFonts w:ascii="Times New Roman" w:eastAsia="Aptos" w:hAnsi="Times New Roman"/>
          <w:bCs/>
          <w:color w:val="000000"/>
          <w:lang w:bidi="ar-SA"/>
          <w14:ligatures w14:val="standardContextual"/>
        </w:rPr>
        <w:t xml:space="preserve"> uses WADISC data </w:t>
      </w:r>
      <w:r w:rsidR="00236DFF">
        <w:rPr>
          <w:rFonts w:ascii="Times New Roman" w:eastAsia="Aptos" w:hAnsi="Times New Roman"/>
          <w:bCs/>
          <w:color w:val="000000"/>
          <w:lang w:bidi="ar-SA"/>
          <w14:ligatures w14:val="standardContextual"/>
        </w:rPr>
        <w:t xml:space="preserve">as </w:t>
      </w:r>
      <w:r w:rsidR="007B33E8">
        <w:rPr>
          <w:rFonts w:ascii="Times New Roman" w:eastAsia="Aptos" w:hAnsi="Times New Roman"/>
          <w:bCs/>
          <w:color w:val="000000"/>
          <w:lang w:bidi="ar-SA"/>
          <w14:ligatures w14:val="standardContextual"/>
        </w:rPr>
        <w:t xml:space="preserve">the </w:t>
      </w:r>
      <w:r w:rsidR="00236DFF">
        <w:rPr>
          <w:rFonts w:ascii="Times New Roman" w:eastAsia="Aptos" w:hAnsi="Times New Roman"/>
          <w:bCs/>
          <w:color w:val="000000"/>
          <w:lang w:bidi="ar-SA"/>
          <w14:ligatures w14:val="standardContextual"/>
        </w:rPr>
        <w:t xml:space="preserve">dependent variable </w:t>
      </w:r>
      <w:r w:rsidR="00905A7C">
        <w:rPr>
          <w:rFonts w:ascii="Times New Roman" w:eastAsia="Aptos" w:hAnsi="Times New Roman"/>
          <w:bCs/>
          <w:color w:val="000000"/>
          <w:lang w:bidi="ar-SA"/>
          <w14:ligatures w14:val="standardContextual"/>
        </w:rPr>
        <w:t>to simulate future expansion.</w:t>
      </w:r>
    </w:p>
    <w:p w14:paraId="46C1CF87" w14:textId="77777777" w:rsidR="00103457" w:rsidRPr="00103457" w:rsidRDefault="00103457" w:rsidP="00022749">
      <w:pPr>
        <w:rPr>
          <w:rFonts w:ascii="Times New Roman" w:eastAsia="Aptos" w:hAnsi="Times New Roman"/>
          <w:lang w:bidi="ar-SA"/>
          <w14:ligatures w14:val="standardContextual"/>
        </w:rPr>
      </w:pPr>
      <w:bookmarkStart w:id="180" w:name="_Hlk169875350"/>
    </w:p>
    <w:p w14:paraId="1443512D" w14:textId="6FAF6810" w:rsidR="00103457" w:rsidRPr="00103457" w:rsidRDefault="00103457" w:rsidP="00B9721C">
      <w:pPr>
        <w:pStyle w:val="Heading2"/>
        <w:rPr>
          <w:rFonts w:eastAsia="Aptos"/>
        </w:rPr>
      </w:pPr>
      <w:bookmarkStart w:id="181" w:name="_Toc172288768"/>
      <w:r w:rsidRPr="00103457">
        <w:rPr>
          <w:rFonts w:eastAsia="Aptos"/>
        </w:rPr>
        <w:t xml:space="preserve">Understanding the </w:t>
      </w:r>
      <w:r w:rsidR="00866D1F">
        <w:rPr>
          <w:rFonts w:eastAsia="Aptos"/>
        </w:rPr>
        <w:t>C</w:t>
      </w:r>
      <w:r w:rsidRPr="00103457">
        <w:rPr>
          <w:rFonts w:eastAsia="Aptos"/>
        </w:rPr>
        <w:t xml:space="preserve">auses of </w:t>
      </w:r>
      <w:r w:rsidR="00866D1F">
        <w:rPr>
          <w:rFonts w:eastAsia="Aptos"/>
        </w:rPr>
        <w:t>U</w:t>
      </w:r>
      <w:r w:rsidRPr="00103457">
        <w:rPr>
          <w:rFonts w:eastAsia="Aptos"/>
        </w:rPr>
        <w:t xml:space="preserve">rban </w:t>
      </w:r>
      <w:r w:rsidR="00866D1F">
        <w:rPr>
          <w:rFonts w:eastAsia="Aptos"/>
        </w:rPr>
        <w:t>E</w:t>
      </w:r>
      <w:r w:rsidRPr="00103457">
        <w:rPr>
          <w:rFonts w:eastAsia="Aptos"/>
        </w:rPr>
        <w:t xml:space="preserve">xpansion </w:t>
      </w:r>
      <w:r w:rsidR="00866D1F">
        <w:rPr>
          <w:rFonts w:eastAsia="Aptos"/>
        </w:rPr>
        <w:t>A</w:t>
      </w:r>
      <w:r w:rsidRPr="00103457">
        <w:rPr>
          <w:rFonts w:eastAsia="Aptos"/>
        </w:rPr>
        <w:t xml:space="preserve">cross </w:t>
      </w:r>
      <w:r w:rsidR="00866D1F">
        <w:rPr>
          <w:rFonts w:eastAsia="Aptos"/>
        </w:rPr>
        <w:t>P</w:t>
      </w:r>
      <w:r w:rsidRPr="00103457">
        <w:rPr>
          <w:rFonts w:eastAsia="Aptos"/>
        </w:rPr>
        <w:t xml:space="preserve">rimary and </w:t>
      </w:r>
      <w:r w:rsidR="00866D1F">
        <w:rPr>
          <w:rFonts w:eastAsia="Aptos"/>
        </w:rPr>
        <w:t>S</w:t>
      </w:r>
      <w:r w:rsidRPr="00103457">
        <w:rPr>
          <w:rFonts w:eastAsia="Aptos"/>
        </w:rPr>
        <w:t xml:space="preserve">econdary </w:t>
      </w:r>
      <w:r w:rsidR="00866D1F">
        <w:rPr>
          <w:rFonts w:eastAsia="Aptos"/>
        </w:rPr>
        <w:t>C</w:t>
      </w:r>
      <w:r w:rsidRPr="00103457">
        <w:rPr>
          <w:rFonts w:eastAsia="Aptos"/>
        </w:rPr>
        <w:t>ities in Ghana</w:t>
      </w:r>
      <w:bookmarkEnd w:id="181"/>
      <w:r w:rsidRPr="00103457">
        <w:rPr>
          <w:rFonts w:eastAsia="Aptos"/>
        </w:rPr>
        <w:t xml:space="preserve"> </w:t>
      </w:r>
    </w:p>
    <w:bookmarkEnd w:id="180"/>
    <w:p w14:paraId="758DEABC" w14:textId="401C2FBC" w:rsidR="00103457" w:rsidRPr="00373B88" w:rsidRDefault="00103457" w:rsidP="00373B88">
      <w:pPr>
        <w:rPr>
          <w:rFonts w:ascii="Times New Roman" w:hAnsi="Times New Roman"/>
          <w:color w:val="000000"/>
          <w:shd w:val="clear" w:color="auto" w:fill="FFFFFF"/>
        </w:rPr>
      </w:pPr>
      <w:r w:rsidRPr="00103457">
        <w:rPr>
          <w:rFonts w:ascii="Times New Roman" w:eastAsia="Aptos" w:hAnsi="Times New Roman"/>
          <w:lang w:bidi="ar-SA"/>
          <w14:ligatures w14:val="standardContextual"/>
        </w:rPr>
        <w:t xml:space="preserve">Several studies in West Africa have investigated the causes of urban expansion and found that </w:t>
      </w:r>
      <w:r w:rsidRPr="00103457">
        <w:rPr>
          <w:rFonts w:ascii="Times New Roman" w:eastAsia="Aptos" w:hAnsi="Times New Roman"/>
          <w:shd w:val="clear" w:color="auto" w:fill="FFFFFF"/>
          <w:lang w:bidi="ar-SA"/>
          <w14:ligatures w14:val="standardContextual"/>
        </w:rPr>
        <w:t>ri</w:t>
      </w:r>
      <w:r w:rsidRPr="00103457">
        <w:rPr>
          <w:rFonts w:ascii="Times New Roman" w:eastAsia="Aptos" w:hAnsi="Times New Roman"/>
          <w:lang w:bidi="ar-SA"/>
          <w14:ligatures w14:val="standardContextual"/>
        </w:rPr>
        <w:t xml:space="preserve">sing income levels, global real estate investment, </w:t>
      </w:r>
      <w:r w:rsidRPr="00103457">
        <w:rPr>
          <w:rFonts w:ascii="Times New Roman" w:eastAsia="Aptos" w:hAnsi="Times New Roman"/>
          <w:shd w:val="clear" w:color="auto" w:fill="FFFFFF"/>
          <w:lang w:bidi="ar-SA"/>
          <w14:ligatures w14:val="standardContextual"/>
        </w:rPr>
        <w:t xml:space="preserve">individual preferences, crime rates, land accessibility, and speculation generally influence expansion </w:t>
      </w:r>
      <w:r w:rsidRPr="00103457">
        <w:rPr>
          <w:rFonts w:ascii="Times New Roman" w:eastAsia="Aptos" w:hAnsi="Times New Roman"/>
          <w:shd w:val="clear" w:color="auto" w:fill="FFFFFF"/>
          <w:lang w:bidi="ar-SA"/>
          <w14:ligatures w14:val="standardContextual"/>
        </w:rPr>
        <w:fldChar w:fldCharType="begin"/>
      </w:r>
      <w:r w:rsidRPr="00103457">
        <w:rPr>
          <w:rFonts w:ascii="Times New Roman" w:eastAsia="Aptos" w:hAnsi="Times New Roman"/>
          <w:shd w:val="clear" w:color="auto" w:fill="FFFFFF"/>
          <w:lang w:bidi="ar-SA"/>
          <w14:ligatures w14:val="standardContextual"/>
        </w:rPr>
        <w:instrText xml:space="preserve"> ADDIN ZOTERO_ITEM CSL_CITATION {"citationID":"dSU2JruO","properties":{"formattedCitation":"(Bibri et al., 2020; Mbiba, 2017; Tagnan et al., 2022; Yang et al., 2021)","plainCitation":"(Bibri et al., 2020; Mbiba, 2017; Tagnan et al., 2022; Yang et al., 2021)","noteIndex":0},"citationItems":[{"id":1968,"uris":["http://zotero.org/users/8906743/items/XNMACERY"],"itemData":{"id":1968,"type":"article-journal","abstract":"The compact city is one of the leading paradigms of sustainable urbanism. Compact city planning and development has, over the last 30 years or so, been the preferred response to the challenges of sustainable development. It is strongly promoted by global and local policies due to its positive outcomes in terms of contributing to the economic, environmental, and social goals of sustainability. This paper examines how the compact city model is practiced and justified in urban planning and development with respect to the three dimensions of sustainability, and whether any progress has been made in this regard. To illuminate this urban phenomenon accordingly, a descriptive case study is adopted as a qualitative research methodology where the empirical basis is mainly formed by the official plans and documents of two Swedish cities: Gothenburg and Helsingborg, in combination with qualitative interview data and secondary data. This study shows that compactness, density, diversity, mixed land use, sustainable transportation, and green space are the core design strategies of compact city planning and development, with the latter being contextually linked to the concept of green structure, an institutional setup under which the two cities operate. Moreover, at the core of the compact city model is the clear synergy between the underlying strategies in terms of their cooperation to produce combined effects greater than the sum of their separate effects with respect to the benefits of sustainability as to its tripartite composition. Further, this study demonstrates that the compact city model as practiced by the two cities is justified by its ability to contribute to the economic, environmental, and social goals of sustainability. However, the economic goals dominate over the environmental and social goals, notwithstanding the claim about the three dimensions of sustainability being equally important at the discursive level. Nevertheless, new measures are being developed and implemented to strengthen their influence over urban planning and development practices towards balancing the three goals of sustainability.","container-title":"Developments in the Built Environment","DOI":"10.1016/j.dibe.2020.100021","ISSN":"2666-1659","journalAbbreviation":"Developments in the Built Environment","page":"100021","source":"ScienceDirect","title":"Compact city planning and development: Emerging practices and strategies for achieving the goals of sustainability","title-short":"Compact city planning and development","URL":"https://www.sciencedirect.com/science/article/pii/S266616592030017X","volume":"4","author":[{"family":"Bibri","given":"Simon Elias"},{"family":"Krogstie","given":"John"},{"family":"Kärrholm","given":"Mattias"}],"accessed":{"date-parts":[["2024",3,26]]},"issued":{"date-parts":[["2020",11,1]]}}},{"id":460,"uris":["http://zotero.org/users/8906743/items/65URAYU6"],"itemData":{"id":460,"type":"article-journal","abstract":"AbstractDavid Harvey's notion of ‘accumulation by dispossession' has inspired a wide range of studies in different places. But it has hardly registered in the area of urban land grabbing in Africa and what the role of local capital has been in these processes. In this article, I use archival data, field observations and insights from key informant interviews in Harare to examine how the 1990s neoliberalism and the post-1999 Zimbabwe crisis created new opportunities for accumulation of wealth through the irregular and fraudulent transfer of public urban land into private hands, including those of reputable corporate institutions. I provide a summary of the literature on contemporary land grabbing, raising questions about and providing new insights for a comparative understanding of the transformative role and nature of the state, postcolonial African cities, anti-capitalist struggles, and the status and meaning of planning in different settings.","container-title":"International Journal of Urban and Regional Research","DOI":"10.1111/1468-2427.12468","ISSN":"1468-2427","issue":"2","language":"en","note":"_eprint: https://onlinelibrary.wiley.com/doi/pdf/10.1111/1468-2427.12468","page":"213-234","source":"Wiley Online Library","title":"Idioms of Accumulation: Corporate Accumulation by Dispossession in Urban Zimbabwe","title-short":"Idioms of Accumulation","URL":"https://onlinelibrary.wiley.com/doi/abs/10.1111/1468-2427.12468","volume":"41","author":[{"family":"Mbiba","given":"Beacon"}],"accessed":{"date-parts":[["2022",8,23]]},"issued":{"date-parts":[["2017"]]}}},{"id":1948,"uris":["http://zotero.org/users/8906743/items/MJV8ENJ5"],"itemData":{"id":1948,"type":"article-journal","abstract":"The authorities of cities in Sub-Saharan Africa (SSA) are struggling to contain urban sprawl. The region's rapid population growth is expected to exacerbate the situation. Diagnoses of the problem identify rapid population growth, improved transportation network and surface condition, improved utility service distribution and high household incomes as the combination of factors that drive urban sprawl although the drivers are not the same across all regions and within countries. Scholars observe that the nuclearisation of the family system in Ghana creates a need for more houses and living spaces. Given this context, the proposition of current study is that the nuclearisation of the family system in urban Ghana is a major driver of urban sprawl. Accordingly, a comparative case study research design was adopted to assess the effects of family nuclearisation on sprawl. Data were obtained by interviewing 236 household heads from three carefully selected settlements in Kumasi, Ghana's second largest city. Housing density data were also obtained from satellite images. The data analysis revealed that the dominant compound housing vernacular of the 19th - 20th Centuries in Ghana was informed by the need to accommodate extended family members. However, in the 21st Century, the nuclear family system has usurped the influence of the extended family system on housing supply. Desirous of privacy, pristine environmental conditions and low-cost land, the nuclear family members acquire land at the peripheries of the cities for the construction of low-density housing. Their affinity for low-density housing units expands the boundaries of the cities, which the satellite images confirmed. The overall implication is that the nuclearisation of families in Kumasi is an important driver for urban sprawl. The paper concludes with recommendations for addressing these intractable urban planning issues.","container-title":"Habitat International","DOI":"10.1016/j.habitatint.2022.102555","ISSN":"0197-3975","journalAbbreviation":"Habitat International","page":"102555","source":"ScienceDirect","title":"A view of urban sprawl through the lens of family nuclearisation","URL":"https://www.sciencedirect.com/science/article/pii/S0197397522000522","volume":"123","author":[{"family":"Tagnan","given":"Jacob Nchagmado"},{"family":"Amponsah","given":"Owusu"},{"family":"Takyi","given":"Stephen Appiah"},{"family":"Azunre","given":"Gideon Abagna"},{"family":"Braimah","given":"Imoro"}],"accessed":{"date-parts":[["2024",2,21]]},"issued":{"date-parts":[["2022",5,1]]}}},{"id":1966,"uris":["http://zotero.org/users/8906743/items/CIPFRIAM"],"itemData":{"id":1966,"type":"article-journal","abstract":"Landscape preference (LP) studies highlight one of the most important issues of human-environment relationship, and their related publications have increased rapidly over the last two decades. However, there is no systematic review with a holistic understanding of this field.   here we applied a bibliometric approach to examine the evolution of LP research and identify its status and future prospects. We obtained 7,637 LP research publications from Web of Science core collection from 1968 to 2019 and analyzed the characteristics of publication outputs as well as performances in various countries and institutions. Besides, content keywords analysis was conducted to discover the drivers, focus, motivation, and trends of LP research. We found that 1) publications, subject categories, and active jo</w:instrText>
      </w:r>
      <w:r w:rsidRPr="00103457">
        <w:rPr>
          <w:rFonts w:ascii="Times New Roman" w:eastAsia="Aptos" w:hAnsi="Times New Roman"/>
          <w:shd w:val="clear" w:color="auto" w:fill="FFFFFF"/>
          <w:lang w:val="fr-FR" w:bidi="ar-SA"/>
          <w14:ligatures w14:val="standardContextual"/>
        </w:rPr>
        <w:instrText xml:space="preserve">urnals increased rapidly since the 2000s ; 2) the USA, England, and Australia are the leading countries in LP research, while China is starting to have some influence; 3) LP research is most closely linked to ecological and environmental studies, being developed by objective drivers, i.e., interactions with landscape change, and subjective motivations ; and 4) LP research is advancing the landscape sustainability science, integrating natural and social science together through ecosystem services. By comprehensively reviewing the evolution and prospect of LP research, we provide insights for further research in this field.","container-title":"Ecosystem Health and Sustainability","DOI":"10.1080/20964129.2021.1948355","ISSN":"2096-4129","issue":"1","note":"publisher: Taylor &amp; Francis\n_eprint: https://doi.org/10.1080/20964129.2021.1948355","page":"1948355","source":"Taylor and Francis+NEJM","title":"From preference to landscape sustainability: a bibliometric review of landscape preference research from 1968 to 2019","title-short":"From preference to landscape sustainability","URL":"https://doi.org/10.1080/20964129.2021.1948355","volume":"7","author":[{"family":"Yang","given":"Gaoyuan"},{"family":"Yu","given":"Zhaowu"},{"family":"Zhang","given":"Jinguang"},{"family":"Søderkvist Kristensen","given":"Lone"}],"accessed":{"date-parts":[["2024",3,26]]},"issued":{"date-parts":[["2021",1,1]]}}}],"schema":"https://github.com/citation-style-language/schema/raw/master/csl-citation.json"} </w:instrText>
      </w:r>
      <w:r w:rsidRPr="00103457">
        <w:rPr>
          <w:rFonts w:ascii="Times New Roman" w:eastAsia="Aptos" w:hAnsi="Times New Roman"/>
          <w:shd w:val="clear" w:color="auto" w:fill="FFFFFF"/>
          <w:lang w:bidi="ar-SA"/>
          <w14:ligatures w14:val="standardContextual"/>
        </w:rPr>
        <w:fldChar w:fldCharType="separate"/>
      </w:r>
      <w:r w:rsidRPr="00103457">
        <w:rPr>
          <w:rFonts w:ascii="Times New Roman" w:eastAsia="Aptos" w:hAnsi="Times New Roman"/>
          <w:szCs w:val="22"/>
          <w:lang w:val="fr-FR" w:bidi="ar-SA"/>
          <w14:ligatures w14:val="standardContextual"/>
        </w:rPr>
        <w:t xml:space="preserve">(Bibri et al., 2020; Mbiba, 2017; </w:t>
      </w:r>
      <w:r w:rsidRPr="00103457">
        <w:rPr>
          <w:rFonts w:ascii="Times New Roman" w:eastAsia="Aptos" w:hAnsi="Times New Roman"/>
          <w:szCs w:val="22"/>
          <w:lang w:val="fr-FR" w:bidi="ar-SA"/>
          <w14:ligatures w14:val="standardContextual"/>
        </w:rPr>
        <w:lastRenderedPageBreak/>
        <w:t>Tagnan et al., 2022; Yang et al., 2021)</w:t>
      </w:r>
      <w:r w:rsidRPr="00103457">
        <w:rPr>
          <w:rFonts w:ascii="Times New Roman" w:eastAsia="Aptos" w:hAnsi="Times New Roman"/>
          <w:shd w:val="clear" w:color="auto" w:fill="FFFFFF"/>
          <w:lang w:bidi="ar-SA"/>
          <w14:ligatures w14:val="standardContextual"/>
        </w:rPr>
        <w:fldChar w:fldCharType="end"/>
      </w:r>
      <w:r w:rsidRPr="00103457">
        <w:rPr>
          <w:rFonts w:ascii="Times New Roman" w:eastAsia="Aptos" w:hAnsi="Times New Roman"/>
          <w:shd w:val="clear" w:color="auto" w:fill="FFFFFF"/>
          <w:lang w:val="fr-FR" w:bidi="ar-SA"/>
          <w14:ligatures w14:val="standardContextual"/>
        </w:rPr>
        <w:t>.</w:t>
      </w:r>
      <w:r w:rsidRPr="00103457">
        <w:rPr>
          <w:rFonts w:ascii="Times New Roman" w:eastAsia="Aptos" w:hAnsi="Times New Roman"/>
          <w:lang w:val="fr-FR" w:bidi="ar-SA"/>
          <w14:ligatures w14:val="standardContextual"/>
        </w:rPr>
        <w:t xml:space="preserve"> </w:t>
      </w:r>
      <w:r w:rsidRPr="00103457">
        <w:rPr>
          <w:rFonts w:ascii="Times New Roman" w:eastAsia="Aptos" w:hAnsi="Times New Roman"/>
          <w:lang w:bidi="ar-SA"/>
          <w14:ligatures w14:val="standardContextual"/>
        </w:rPr>
        <w:t xml:space="preserve">These causes are similar to findings from multiple studies in Ghana's primary cities: Accra and Kumasi </w:t>
      </w:r>
      <w:r w:rsidR="005E33ED" w:rsidRPr="00BE5CC0">
        <w:rPr>
          <w:rFonts w:ascii="Times New Roman" w:eastAsia="Aptos" w:hAnsi="Times New Roman"/>
          <w:lang w:bidi="ar-SA"/>
          <w14:ligatures w14:val="standardContextual"/>
        </w:rPr>
        <w:fldChar w:fldCharType="begin"/>
      </w:r>
      <w:r w:rsidR="005E33ED">
        <w:rPr>
          <w:rFonts w:ascii="Times New Roman" w:eastAsia="Aptos" w:hAnsi="Times New Roman"/>
        </w:rPr>
        <w:instrText xml:space="preserve"> ADDIN ZOTERO_ITEM CSL_CITATION {"citationID":"cADroJXF","properties":{"formattedCitation":"(Cobbinah &amp; Aboagye, 2017; A. Korah, 2020; P. I. Korah et al., 2019; Yeboah et al., 2020)","plainCitation":"(Cobbinah &amp; Aboagye, 2017; A. Korah, 2020; P. I. Korah et al., 2019; Yeboah et al., 2020)","noteIndex":0},"citationItems":[{"id":72,"uris":["http://zotero.org/users/8906743/items/FL33N53L"],"itemData":{"id":72,"type":"article-journal","container-title":"Land Use Policy","DOI":"10.1016/j.landusepol.2016.10.047","ISSN":"02648377","journalAbbreviation":"Land Use Policy","language":"en","page":"231-241","source":"DOI.org (Crossref)","title":"A Ghanaian twist to urban sprawl","URL":"https://linkinghub.elsevier.com/retrieve/pii/S0264837715300065","volume":"61","author":[{"family":"Cobbinah","given":"Patrick Brandful"},{"family":"Aboagye","given":"Honorata Nsomah"}],"accessed":{"date-parts":[["2022",2,9]]},"issued":{"date-parts":[["2017",2]]}}},{"id":1933,"uris":["http://zotero.org/users/8906743/items/SSSHMC48"],"itemData":{"id":1933,"type":"thesis","event-place":"Oxford, Ohio","genre":"Master's thesis","language":"en","publisher":"Miami University","publisher-place":"Oxford, Ohio","source":"etd.ohiolink.edu","title":"Frontier Urbanization and Affirmative Action in Urban Ghana: A Case of Airport City, Accra","title-short":"Frontier Urbanization and Affirmative Action in Urban Ghana","URL":"https://etd.ohiolink.edu/acprod/odb_etd/etd/r/1501/10?clear=10&amp;p10_accession_num=miami1595878309570218","author":[{"family":"Korah","given":"Andrews"}],"accessed":{"date-parts":[["2024",2,7]]},"issued":{"date-parts":[["2020"]]}}},{"id":389,"uris":["http://zotero.org/users/8906743/items/9P3RP7Q7",["http://zotero.org/users/8906743/items/9P3RP7Q7"]],"itemData":{"id":389,"type":"article-journal","abstract":"Rapid urbanisation and globalisation are creating relentless spatial transformation across the globe. There is a growing interest in understanding and conceptualising the emergent and often contested spatial morphologies and typologies in cities as they mediate the competing demands of global and local forces. This paper examines spatial and temporal development patterns in a Sub-Saharan Africa context using Accra, the capital and rapidly growing city of Ghana, as case study and explores the emerging urban form. By classifying Landsat satellite images (1986–2017) and using landscape/spatial metrics to characterise Accra’s spatial development along four concentric rings, we find growing complexity and fragmented spatial growth patterns in Accra. Despite the spatial fragmentation, a Contiguity Index of 0.64, 0.49 and 0.56 for 1986, 2000, and 2017 respectively show that Accra’s urban form is not amorphous nor polycentric but monocentric. The study demonstrates that using landscape metrics to characterise spatial development patterns under buffer zones leads to better understanding of the temporal and changing form of the city under various conditions. We reflect on the implications of these findings for urban policy and planning in Accra and other similar Sub-Saharan African cities.","container-title":"Land Use Policy","DOI":"10.1016/j.landusepol.2019.104049","ISSN":"02648377","journalAbbreviation":"Land Use Policy","language":"en","page":"104049","source":"DOI.org (Crossref)","title":"Characterising spatial and temporal patterns of urban evolution in Sub-Saharan Africa: The case of Accra, Ghana","title-short":"Characterising spatial and temporal patterns of urban evolution in Sub-Saharan Africa","URL":"https://linkinghub.elsevier.com/retrieve/pii/S0264837719300389","volume":"87","author":[{"family":"Korah","given":"Prosper Issahaku"},{"family":"Matthews","given":"Tony"},{"family":"Tomerini","given":"Deanna"}],"accessed":{"date-parts":[["2022",2,9]]},"issued":{"date-parts":[["2019",9]]}}},{"id":350,"uris":["http://zotero.org/users/8906743/items/WBJKUQ9V"],"itemData":{"id":350,"type":"article-journal","container-title":"African Geographical Review","DOI":"10.1080/19376812.2020.1755323","ISSN":"1937-6812, 2163-2642","issue":"1","journalAbbreviation":"African Geographical Review","language":"en","page":"19-32","source":"DOI.org (Crossref)","title":"‘World Trade Center, Accra’: production of urban space for the continued peripheral linkage of Ghana under globalization","title-short":"‘World Trade Center, Accra’","URL":"https://www.tandfonline.com/doi/full/10.1080/19376812.2020.1755323","volume":"40","author":[{"family":"Yeboah","given":"Ian E. A."},{"family":"Maingi","given":"John K."},{"family":"Arku","given":"Godwin"}],"accessed":{"date-parts":[["2022",8,23]]},"issued":{"date-parts":[["2020"]]}}}],"schema":"https://github.com/citation-style-language/schema/raw/master/csl-citation.json"} </w:instrText>
      </w:r>
      <w:r w:rsidR="005E33ED" w:rsidRPr="00BE5CC0">
        <w:rPr>
          <w:rFonts w:ascii="Times New Roman" w:eastAsia="Aptos" w:hAnsi="Times New Roman"/>
          <w:lang w:bidi="ar-SA"/>
          <w14:ligatures w14:val="standardContextual"/>
        </w:rPr>
        <w:fldChar w:fldCharType="separate"/>
      </w:r>
      <w:r w:rsidR="005E33ED" w:rsidRPr="00BE5CC0">
        <w:rPr>
          <w:rFonts w:ascii="Times New Roman" w:hAnsi="Times New Roman"/>
        </w:rPr>
        <w:t>(Cobbinah &amp; Aboagye, 2017; Korah, 2020; Korah et al., 2019; Yeboah et al., 2020)</w:t>
      </w:r>
      <w:r w:rsidR="005E33ED" w:rsidRPr="00BE5CC0">
        <w:rPr>
          <w:rFonts w:ascii="Times New Roman" w:eastAsia="Aptos" w:hAnsi="Times New Roman"/>
          <w:lang w:bidi="ar-SA"/>
          <w14:ligatures w14:val="standardContextual"/>
        </w:rPr>
        <w:fldChar w:fldCharType="end"/>
      </w:r>
      <w:r w:rsidRPr="00103457">
        <w:rPr>
          <w:rFonts w:ascii="Times New Roman" w:eastAsia="Aptos" w:hAnsi="Times New Roman"/>
          <w:lang w:bidi="ar-SA"/>
          <w14:ligatures w14:val="standardContextual"/>
        </w:rPr>
        <w:t>. These studies in Ghana and other West African countries provide a broad understanding of the socio-economic</w:t>
      </w:r>
      <w:r w:rsidR="003F0298">
        <w:rPr>
          <w:rFonts w:ascii="Times New Roman" w:eastAsia="Aptos" w:hAnsi="Times New Roman"/>
          <w:lang w:bidi="ar-SA"/>
          <w14:ligatures w14:val="standardContextual"/>
        </w:rPr>
        <w:t xml:space="preserve"> and cultural</w:t>
      </w:r>
      <w:r w:rsidRPr="00103457">
        <w:rPr>
          <w:rFonts w:ascii="Times New Roman" w:eastAsia="Aptos" w:hAnsi="Times New Roman"/>
          <w:lang w:bidi="ar-SA"/>
          <w14:ligatures w14:val="standardContextual"/>
        </w:rPr>
        <w:t xml:space="preserve"> causes of urban expansion in </w:t>
      </w:r>
      <w:r w:rsidR="005061DC">
        <w:rPr>
          <w:rFonts w:ascii="Times New Roman" w:eastAsia="Aptos" w:hAnsi="Times New Roman"/>
          <w:lang w:bidi="ar-SA"/>
          <w14:ligatures w14:val="standardContextual"/>
        </w:rPr>
        <w:t>cities of different siz</w:t>
      </w:r>
      <w:r w:rsidRPr="00103457">
        <w:rPr>
          <w:rFonts w:ascii="Times New Roman" w:eastAsia="Aptos" w:hAnsi="Times New Roman"/>
          <w:lang w:bidi="ar-SA"/>
          <w14:ligatures w14:val="standardContextual"/>
        </w:rPr>
        <w:t>es.</w:t>
      </w:r>
      <w:r w:rsidR="00830756">
        <w:rPr>
          <w:rFonts w:ascii="Times New Roman" w:eastAsia="Aptos" w:hAnsi="Times New Roman"/>
          <w:lang w:bidi="ar-SA"/>
          <w14:ligatures w14:val="standardContextual"/>
        </w:rPr>
        <w:t xml:space="preserve"> </w:t>
      </w:r>
    </w:p>
    <w:p w14:paraId="32A9E287" w14:textId="3D37AE39" w:rsidR="00CB7D49" w:rsidRDefault="00103457" w:rsidP="00CB7D49">
      <w:pPr>
        <w:ind w:firstLine="360"/>
        <w:rPr>
          <w:rFonts w:ascii="Times New Roman" w:eastAsia="Aptos" w:hAnsi="Times New Roman"/>
          <w:bCs/>
          <w:color w:val="0D0D0D"/>
          <w:lang w:bidi="ar-SA"/>
          <w14:ligatures w14:val="standardContextual"/>
        </w:rPr>
      </w:pPr>
      <w:r w:rsidRPr="00103457">
        <w:rPr>
          <w:rFonts w:ascii="Times New Roman" w:eastAsia="Aptos" w:hAnsi="Times New Roman"/>
          <w:lang w:bidi="ar-SA"/>
          <w14:ligatures w14:val="standardContextual"/>
        </w:rPr>
        <w:t>Chapter t</w:t>
      </w:r>
      <w:r w:rsidR="0040360A">
        <w:rPr>
          <w:rFonts w:ascii="Times New Roman" w:eastAsia="Aptos" w:hAnsi="Times New Roman"/>
          <w:lang w:bidi="ar-SA"/>
          <w14:ligatures w14:val="standardContextual"/>
        </w:rPr>
        <w:t>hree</w:t>
      </w:r>
      <w:r w:rsidRPr="00103457">
        <w:rPr>
          <w:rFonts w:ascii="Times New Roman" w:eastAsia="Aptos" w:hAnsi="Times New Roman"/>
          <w:lang w:bidi="ar-SA"/>
          <w14:ligatures w14:val="standardContextual"/>
        </w:rPr>
        <w:t xml:space="preserve"> is distinc</w:t>
      </w:r>
      <w:r w:rsidR="00CA5E6F">
        <w:rPr>
          <w:rFonts w:ascii="Times New Roman" w:eastAsia="Aptos" w:hAnsi="Times New Roman"/>
          <w:lang w:bidi="ar-SA"/>
          <w14:ligatures w14:val="standardContextual"/>
        </w:rPr>
        <w:t>t</w:t>
      </w:r>
      <w:r w:rsidRPr="00103457">
        <w:rPr>
          <w:rFonts w:ascii="Times New Roman" w:eastAsia="Aptos" w:hAnsi="Times New Roman"/>
          <w:lang w:bidi="ar-SA"/>
          <w14:ligatures w14:val="standardContextual"/>
        </w:rPr>
        <w:t xml:space="preserve"> from previous studies because it explored the causes of sprawl and infill expansion across multiple secondary cities compared with primary cities. </w:t>
      </w:r>
      <w:r w:rsidR="00E12096">
        <w:rPr>
          <w:rFonts w:ascii="Times New Roman" w:eastAsia="Aptos" w:hAnsi="Times New Roman"/>
          <w:lang w:bidi="ar-SA"/>
          <w14:ligatures w14:val="standardContextual"/>
        </w:rPr>
        <w:t>The relevance of this research to the current and future urban development in</w:t>
      </w:r>
      <w:r w:rsidR="003C223D">
        <w:rPr>
          <w:rFonts w:ascii="Times New Roman" w:eastAsia="Aptos" w:hAnsi="Times New Roman"/>
          <w:lang w:bidi="ar-SA"/>
          <w14:ligatures w14:val="standardContextual"/>
        </w:rPr>
        <w:t xml:space="preserve"> Ghana and </w:t>
      </w:r>
      <w:r w:rsidR="005D7492">
        <w:rPr>
          <w:rFonts w:ascii="Times New Roman" w:eastAsia="Aptos" w:hAnsi="Times New Roman"/>
          <w:lang w:bidi="ar-SA"/>
          <w14:ligatures w14:val="standardContextual"/>
        </w:rPr>
        <w:t xml:space="preserve">most </w:t>
      </w:r>
      <w:r w:rsidR="00E12096">
        <w:rPr>
          <w:rFonts w:ascii="Times New Roman" w:eastAsia="Aptos" w:hAnsi="Times New Roman"/>
          <w:lang w:bidi="ar-SA"/>
          <w14:ligatures w14:val="standardContextual"/>
        </w:rPr>
        <w:t>West Africa</w:t>
      </w:r>
      <w:r w:rsidR="005D7492">
        <w:rPr>
          <w:rFonts w:ascii="Times New Roman" w:eastAsia="Aptos" w:hAnsi="Times New Roman"/>
          <w:lang w:bidi="ar-SA"/>
          <w14:ligatures w14:val="standardContextual"/>
        </w:rPr>
        <w:t>n countries</w:t>
      </w:r>
      <w:r w:rsidR="00E12096">
        <w:rPr>
          <w:rFonts w:ascii="Times New Roman" w:eastAsia="Aptos" w:hAnsi="Times New Roman"/>
          <w:lang w:bidi="ar-SA"/>
          <w14:ligatures w14:val="standardContextual"/>
        </w:rPr>
        <w:t xml:space="preserve"> cannot be overstated, as it provides a solid foundation for understanding and managing the </w:t>
      </w:r>
      <w:r w:rsidR="00EA4C5B">
        <w:rPr>
          <w:rFonts w:ascii="Times New Roman" w:eastAsia="Aptos" w:hAnsi="Times New Roman"/>
          <w:lang w:bidi="ar-SA"/>
          <w14:ligatures w14:val="standardContextual"/>
        </w:rPr>
        <w:t xml:space="preserve">socio-economic and cultural </w:t>
      </w:r>
      <w:r w:rsidR="00E12096">
        <w:rPr>
          <w:rFonts w:ascii="Times New Roman" w:eastAsia="Aptos" w:hAnsi="Times New Roman"/>
          <w:lang w:bidi="ar-SA"/>
          <w14:ligatures w14:val="standardContextual"/>
        </w:rPr>
        <w:t>processes of urban expansion</w:t>
      </w:r>
      <w:r w:rsidR="003C223D">
        <w:rPr>
          <w:rFonts w:ascii="Times New Roman" w:eastAsia="Aptos" w:hAnsi="Times New Roman"/>
          <w:lang w:bidi="ar-SA"/>
          <w14:ligatures w14:val="standardContextual"/>
        </w:rPr>
        <w:t xml:space="preserve"> </w:t>
      </w:r>
      <w:r w:rsidR="00D4194F">
        <w:rPr>
          <w:rFonts w:ascii="Times New Roman" w:eastAsia="Aptos" w:hAnsi="Times New Roman"/>
          <w:lang w:bidi="ar-SA"/>
          <w14:ligatures w14:val="standardContextual"/>
        </w:rPr>
        <w:t>across multiple cities</w:t>
      </w:r>
      <w:r w:rsidR="00A51773">
        <w:rPr>
          <w:rFonts w:ascii="Times New Roman" w:eastAsia="Aptos" w:hAnsi="Times New Roman"/>
          <w:lang w:bidi="ar-SA"/>
          <w14:ligatures w14:val="standardContextual"/>
        </w:rPr>
        <w:t xml:space="preserve"> growing under similar conditions</w:t>
      </w:r>
      <w:r w:rsidR="00E12096">
        <w:rPr>
          <w:rFonts w:ascii="Times New Roman" w:eastAsia="Aptos" w:hAnsi="Times New Roman"/>
          <w:lang w:bidi="ar-SA"/>
          <w14:ligatures w14:val="standardContextual"/>
        </w:rPr>
        <w:t>.</w:t>
      </w:r>
      <w:r w:rsidR="00E12096" w:rsidRPr="00103457">
        <w:rPr>
          <w:rFonts w:ascii="Times New Roman" w:eastAsia="Aptos" w:hAnsi="Times New Roman"/>
          <w:lang w:bidi="ar-SA"/>
          <w14:ligatures w14:val="standardContextual"/>
        </w:rPr>
        <w:t xml:space="preserve"> </w:t>
      </w:r>
      <w:r w:rsidRPr="00103457">
        <w:rPr>
          <w:rFonts w:ascii="Times New Roman" w:eastAsia="Aptos" w:hAnsi="Times New Roman"/>
          <w:lang w:bidi="ar-SA"/>
          <w14:ligatures w14:val="standardContextual"/>
        </w:rPr>
        <w:t xml:space="preserve">This </w:t>
      </w:r>
      <w:r w:rsidR="00A51773">
        <w:rPr>
          <w:rFonts w:ascii="Times New Roman" w:eastAsia="Aptos" w:hAnsi="Times New Roman"/>
          <w:lang w:bidi="ar-SA"/>
          <w14:ligatures w14:val="standardContextual"/>
        </w:rPr>
        <w:t xml:space="preserve">research </w:t>
      </w:r>
      <w:r w:rsidR="00D571BD">
        <w:rPr>
          <w:rFonts w:ascii="Times New Roman" w:eastAsia="Aptos" w:hAnsi="Times New Roman"/>
          <w:lang w:bidi="ar-SA"/>
          <w14:ligatures w14:val="standardContextual"/>
        </w:rPr>
        <w:t>used</w:t>
      </w:r>
      <w:r w:rsidRPr="00103457">
        <w:rPr>
          <w:rFonts w:ascii="Times New Roman" w:eastAsia="Aptos" w:hAnsi="Times New Roman"/>
          <w:lang w:bidi="ar-SA"/>
          <w14:ligatures w14:val="standardContextual"/>
        </w:rPr>
        <w:t xml:space="preserve"> a mixed-method approach involving urban expansion rates and </w:t>
      </w:r>
      <w:r w:rsidR="00D571BD">
        <w:rPr>
          <w:rFonts w:ascii="Times New Roman" w:eastAsia="Aptos" w:hAnsi="Times New Roman"/>
          <w:lang w:bidi="ar-SA"/>
          <w14:ligatures w14:val="standardContextual"/>
        </w:rPr>
        <w:t xml:space="preserve">was </w:t>
      </w:r>
      <w:r w:rsidRPr="00103457">
        <w:rPr>
          <w:rFonts w:ascii="Times New Roman" w:eastAsia="Aptos" w:hAnsi="Times New Roman"/>
          <w:lang w:bidi="ar-SA"/>
          <w14:ligatures w14:val="standardContextual"/>
        </w:rPr>
        <w:t xml:space="preserve">complemented </w:t>
      </w:r>
      <w:r w:rsidR="00D571BD">
        <w:rPr>
          <w:rFonts w:ascii="Times New Roman" w:eastAsia="Aptos" w:hAnsi="Times New Roman"/>
          <w:lang w:bidi="ar-SA"/>
          <w14:ligatures w14:val="standardContextual"/>
        </w:rPr>
        <w:t>by</w:t>
      </w:r>
      <w:r w:rsidRPr="00103457">
        <w:rPr>
          <w:rFonts w:ascii="Times New Roman" w:eastAsia="Aptos" w:hAnsi="Times New Roman"/>
          <w:lang w:bidi="ar-SA"/>
          <w14:ligatures w14:val="standardContextual"/>
        </w:rPr>
        <w:t xml:space="preserve"> semi-structured interviews with knowledge-rich urban stakeholders. This </w:t>
      </w:r>
      <w:r w:rsidR="008200EF">
        <w:rPr>
          <w:rFonts w:ascii="Times New Roman" w:eastAsia="Aptos" w:hAnsi="Times New Roman"/>
          <w:lang w:bidi="ar-SA"/>
          <w14:ligatures w14:val="standardContextual"/>
        </w:rPr>
        <w:t xml:space="preserve">approach </w:t>
      </w:r>
      <w:r w:rsidRPr="00103457">
        <w:rPr>
          <w:rFonts w:ascii="Times New Roman" w:eastAsia="Aptos" w:hAnsi="Times New Roman"/>
          <w:lang w:bidi="ar-SA"/>
          <w14:ligatures w14:val="standardContextual"/>
        </w:rPr>
        <w:t xml:space="preserve">enabled </w:t>
      </w:r>
      <w:r w:rsidR="00954D92">
        <w:rPr>
          <w:rFonts w:ascii="Times New Roman" w:eastAsia="Aptos" w:hAnsi="Times New Roman"/>
          <w:lang w:bidi="ar-SA"/>
          <w14:ligatures w14:val="standardContextual"/>
        </w:rPr>
        <w:t>me</w:t>
      </w:r>
      <w:r w:rsidRPr="00103457">
        <w:rPr>
          <w:rFonts w:ascii="Times New Roman" w:eastAsia="Aptos" w:hAnsi="Times New Roman"/>
          <w:lang w:bidi="ar-SA"/>
          <w14:ligatures w14:val="standardContextual"/>
        </w:rPr>
        <w:t xml:space="preserve"> to understand the difference</w:t>
      </w:r>
      <w:r w:rsidR="00CA5E6F">
        <w:rPr>
          <w:rFonts w:ascii="Times New Roman" w:eastAsia="Aptos" w:hAnsi="Times New Roman"/>
          <w:lang w:bidi="ar-SA"/>
          <w14:ligatures w14:val="standardContextual"/>
        </w:rPr>
        <w:t>s</w:t>
      </w:r>
      <w:r w:rsidRPr="00103457">
        <w:rPr>
          <w:rFonts w:ascii="Times New Roman" w:eastAsia="Aptos" w:hAnsi="Times New Roman"/>
          <w:lang w:bidi="ar-SA"/>
          <w14:ligatures w14:val="standardContextual"/>
        </w:rPr>
        <w:t xml:space="preserve"> in patterns of urban expansion and how multiple factors and actors influence urban expansion across primary and secondary cities. </w:t>
      </w:r>
      <w:r w:rsidRPr="00103457">
        <w:rPr>
          <w:rFonts w:ascii="Times New Roman" w:eastAsia="Aptos" w:hAnsi="Times New Roman"/>
          <w:bCs/>
          <w:color w:val="0D0D0D"/>
          <w:lang w:bidi="ar-SA"/>
          <w14:ligatures w14:val="standardContextual"/>
        </w:rPr>
        <w:t>In primary cities, the high cost of land and rent, travel costs, and fewer land allocation regimes were important considerations, whereas</w:t>
      </w:r>
      <w:r w:rsidR="00580FC2">
        <w:rPr>
          <w:rFonts w:ascii="Times New Roman" w:eastAsia="Aptos" w:hAnsi="Times New Roman"/>
          <w:bCs/>
          <w:color w:val="0D0D0D"/>
          <w:lang w:bidi="ar-SA"/>
          <w14:ligatures w14:val="standardContextual"/>
        </w:rPr>
        <w:t>,</w:t>
      </w:r>
      <w:r w:rsidRPr="00103457">
        <w:rPr>
          <w:rFonts w:ascii="Times New Roman" w:eastAsia="Aptos" w:hAnsi="Times New Roman"/>
          <w:bCs/>
          <w:color w:val="0D0D0D"/>
          <w:lang w:bidi="ar-SA"/>
          <w14:ligatures w14:val="standardContextual"/>
        </w:rPr>
        <w:t xml:space="preserve"> in secondary cities, lower</w:t>
      </w:r>
      <w:r w:rsidR="001654FC">
        <w:rPr>
          <w:rFonts w:ascii="Times New Roman" w:eastAsia="Aptos" w:hAnsi="Times New Roman"/>
          <w:bCs/>
          <w:color w:val="0D0D0D"/>
          <w:lang w:bidi="ar-SA"/>
          <w14:ligatures w14:val="standardContextual"/>
        </w:rPr>
        <w:t xml:space="preserve"> land, rent, and transportation costs</w:t>
      </w:r>
      <w:r w:rsidRPr="00103457">
        <w:rPr>
          <w:rFonts w:ascii="Times New Roman" w:eastAsia="Aptos" w:hAnsi="Times New Roman"/>
          <w:bCs/>
          <w:color w:val="0D0D0D"/>
          <w:lang w:bidi="ar-SA"/>
          <w14:ligatures w14:val="standardContextual"/>
        </w:rPr>
        <w:t xml:space="preserve"> and more diverse land allocation were important concerns among participants. Most of the new developments </w:t>
      </w:r>
      <w:r w:rsidR="00CA5E6F">
        <w:rPr>
          <w:rFonts w:ascii="Times New Roman" w:eastAsia="Aptos" w:hAnsi="Times New Roman"/>
          <w:bCs/>
          <w:color w:val="0D0D0D"/>
          <w:lang w:bidi="ar-SA"/>
          <w14:ligatures w14:val="standardContextual"/>
        </w:rPr>
        <w:t xml:space="preserve">in primary cities </w:t>
      </w:r>
      <w:r w:rsidRPr="00103457">
        <w:rPr>
          <w:rFonts w:ascii="Times New Roman" w:eastAsia="Aptos" w:hAnsi="Times New Roman"/>
          <w:bCs/>
          <w:color w:val="0D0D0D"/>
          <w:lang w:bidi="ar-SA"/>
          <w14:ligatures w14:val="standardContextual"/>
        </w:rPr>
        <w:t>reflected the aims of the powerful urban stakeholders, especially the landowners (the chiefs in particular), who mostly dictated the allocation regimes, and the political elite used their connections to access lands. Access to lands for urban development was less difficult in the periphery of secondary cities due to lands mostly owned and allocated by multiple individuals.</w:t>
      </w:r>
      <w:r w:rsidR="00CB7D49">
        <w:rPr>
          <w:rFonts w:ascii="Times New Roman" w:eastAsia="Aptos" w:hAnsi="Times New Roman"/>
          <w:bCs/>
          <w:color w:val="0D0D0D"/>
          <w:lang w:bidi="ar-SA"/>
          <w14:ligatures w14:val="standardContextual"/>
        </w:rPr>
        <w:t xml:space="preserve"> </w:t>
      </w:r>
    </w:p>
    <w:p w14:paraId="555F361E" w14:textId="48BBB8DC" w:rsidR="002E263A" w:rsidRDefault="00CB7D49" w:rsidP="002E263A">
      <w:pPr>
        <w:ind w:firstLine="360"/>
        <w:rPr>
          <w:rFonts w:ascii="Times New Roman" w:eastAsia="Aptos" w:hAnsi="Times New Roman"/>
          <w:bCs/>
          <w:color w:val="0D0D0D"/>
          <w:lang w:bidi="ar-SA"/>
          <w14:ligatures w14:val="standardContextual"/>
        </w:rPr>
      </w:pPr>
      <w:r>
        <w:rPr>
          <w:rFonts w:ascii="Times New Roman" w:eastAsia="Aptos" w:hAnsi="Times New Roman"/>
          <w:bCs/>
          <w:color w:val="0D0D0D"/>
          <w:lang w:bidi="ar-SA"/>
          <w14:ligatures w14:val="standardContextual"/>
        </w:rPr>
        <w:lastRenderedPageBreak/>
        <w:t xml:space="preserve">In the previous </w:t>
      </w:r>
      <w:r w:rsidR="002A556E">
        <w:rPr>
          <w:rFonts w:ascii="Times New Roman" w:eastAsia="Aptos" w:hAnsi="Times New Roman"/>
          <w:bCs/>
          <w:color w:val="0D0D0D"/>
          <w:lang w:bidi="ar-SA"/>
          <w14:ligatures w14:val="standardContextual"/>
        </w:rPr>
        <w:t>chapter (</w:t>
      </w:r>
      <w:r w:rsidR="002E263A">
        <w:rPr>
          <w:rFonts w:ascii="Times New Roman" w:eastAsia="Aptos" w:hAnsi="Times New Roman"/>
          <w:bCs/>
          <w:color w:val="0D0D0D"/>
          <w:lang w:bidi="ar-SA"/>
          <w14:ligatures w14:val="standardContextual"/>
        </w:rPr>
        <w:t>t</w:t>
      </w:r>
      <w:r w:rsidR="00800FD8">
        <w:rPr>
          <w:rFonts w:ascii="Times New Roman" w:eastAsia="Aptos" w:hAnsi="Times New Roman"/>
          <w:bCs/>
          <w:color w:val="0D0D0D"/>
          <w:lang w:bidi="ar-SA"/>
          <w14:ligatures w14:val="standardContextual"/>
        </w:rPr>
        <w:t>wo</w:t>
      </w:r>
      <w:r w:rsidR="002A556E">
        <w:rPr>
          <w:rFonts w:ascii="Times New Roman" w:eastAsia="Aptos" w:hAnsi="Times New Roman"/>
          <w:bCs/>
          <w:color w:val="0D0D0D"/>
          <w:lang w:bidi="ar-SA"/>
          <w14:ligatures w14:val="standardContextual"/>
        </w:rPr>
        <w:t xml:space="preserve">), </w:t>
      </w:r>
      <w:r w:rsidR="00EA4C5B">
        <w:rPr>
          <w:rFonts w:ascii="Times New Roman" w:eastAsia="Aptos" w:hAnsi="Times New Roman"/>
          <w:bCs/>
          <w:color w:val="0D0D0D"/>
          <w:lang w:bidi="ar-SA"/>
          <w14:ligatures w14:val="standardContextual"/>
        </w:rPr>
        <w:t>I</w:t>
      </w:r>
      <w:r>
        <w:rPr>
          <w:rFonts w:ascii="Times New Roman" w:eastAsia="Aptos" w:hAnsi="Times New Roman"/>
          <w:bCs/>
          <w:color w:val="0D0D0D"/>
          <w:lang w:bidi="ar-SA"/>
          <w14:ligatures w14:val="standardContextual"/>
        </w:rPr>
        <w:t xml:space="preserve"> found smaller </w:t>
      </w:r>
      <w:r w:rsidR="002A556E">
        <w:rPr>
          <w:rFonts w:ascii="Times New Roman" w:eastAsia="Aptos" w:hAnsi="Times New Roman"/>
          <w:bCs/>
          <w:color w:val="0D0D0D"/>
          <w:lang w:bidi="ar-SA"/>
          <w14:ligatures w14:val="standardContextual"/>
        </w:rPr>
        <w:t xml:space="preserve">cities </w:t>
      </w:r>
      <w:r w:rsidR="00D321AB">
        <w:rPr>
          <w:rFonts w:ascii="Times New Roman" w:eastAsia="Aptos" w:hAnsi="Times New Roman"/>
          <w:bCs/>
          <w:color w:val="0D0D0D"/>
          <w:lang w:bidi="ar-SA"/>
          <w14:ligatures w14:val="standardContextual"/>
        </w:rPr>
        <w:t xml:space="preserve">expanded </w:t>
      </w:r>
      <w:r w:rsidR="00E9040B">
        <w:rPr>
          <w:rFonts w:ascii="Times New Roman" w:eastAsia="Aptos" w:hAnsi="Times New Roman"/>
          <w:bCs/>
          <w:color w:val="0D0D0D"/>
          <w:lang w:bidi="ar-SA"/>
          <w14:ligatures w14:val="standardContextual"/>
        </w:rPr>
        <w:t>faster, with a higher sprawl-to-infill ratio compared to the larger ones</w:t>
      </w:r>
      <w:r w:rsidR="00A42BC6">
        <w:rPr>
          <w:rFonts w:ascii="Times New Roman" w:eastAsia="Aptos" w:hAnsi="Times New Roman"/>
          <w:bCs/>
          <w:color w:val="0D0D0D"/>
          <w:lang w:bidi="ar-SA"/>
          <w14:ligatures w14:val="standardContextual"/>
        </w:rPr>
        <w:t xml:space="preserve"> </w:t>
      </w:r>
      <w:r w:rsidR="00CA33D5" w:rsidRPr="00096F30">
        <w:rPr>
          <w:rFonts w:ascii="Times New Roman" w:hAnsi="Times New Roman"/>
          <w:color w:val="000000"/>
          <w:shd w:val="clear" w:color="auto" w:fill="FFFFFF"/>
        </w:rPr>
        <w:fldChar w:fldCharType="begin"/>
      </w:r>
      <w:r w:rsidR="00CA33D5" w:rsidRPr="00096F30">
        <w:rPr>
          <w:rFonts w:ascii="Times New Roman" w:hAnsi="Times New Roman"/>
          <w:color w:val="000000"/>
          <w:shd w:val="clear" w:color="auto" w:fill="FFFFFF"/>
        </w:rPr>
        <w:instrText xml:space="preserve"> ADDIN ZOTERO_ITEM CSL_CITATION {"citationID":"YeeqYadE","properties":{"formattedCitation":"(Korah &amp; Wimberly, 2024c)","plainCitation":"(Korah &amp; Wimberly, 2024c)","noteIndex":0},"citationItems":[{"id":1977,"uris":["http://zotero.org/users/8906743/items/889NZRIP"],"itemData":{"id":1977,"type":"article-journal","abstract":"Urban expansion studies are often biased toward large cities with populations greater than 1 million, while small and medium cities with smaller populations are overlooked. We mapped and assessed the expansion of 1603 cities across Ghana, Togo, Benin, and Nigeria using impervious surface data generated from Landsat from 2001 to 2020. We classified pixels with &gt;20 % impervious as developed with 93 % overall accuracy. Total developed area increased 2.3-fold from 4001 km² in 2001 to 9402 km² in 2020. Of the expanded area, more than half (54 %) occurred in small and medium cities, and 73 % was sprawl. The mean annual expansion rate was 4.6 %. Expansion rates and sprawl-to-infill ratios were higher in small and medium cities than in large cities, and the annual expansion rates of large cities decreased over time while those in small and medium cities were stable or increased. Proximity to large cities also increased smaller cities' expansion rates in Nigeria, but more remote cities had higher expansion rates in Benin and Togo. Although much attention is focused on large megacities, these results show that smaller and more numerous cities contribute substantially to urban expansion and need to be incorporated into regional assessments of urban growth and its impacts.","container-title":"Sustainable Cities and Society","DOI":"10.1016/j.scs.2024.105381","ISSN":"2210-6707","journalAbbreviation":"Sustainable Cities and Society","page":"105381","source":"ScienceDirect","title":"Smaller cities have large impacts on West Africa's expanding urban system","URL":"https://www.sciencedirect.com/science/article/pii/S2210670724002099","volume":"106","author":[{"family":"Korah","given":"Andrews"},{"family":"Wimberly","given":"Michael C."}],"accessed":{"date-parts":[["2024",4,8]]},"issued":{"date-parts":[["2024",7,1]]}}}],"schema":"https://github.com/citation-style-language/schema/raw/master/csl-citation.json"} </w:instrText>
      </w:r>
      <w:r w:rsidR="00CA33D5" w:rsidRPr="00096F30">
        <w:rPr>
          <w:rFonts w:ascii="Times New Roman" w:hAnsi="Times New Roman"/>
          <w:color w:val="000000"/>
          <w:shd w:val="clear" w:color="auto" w:fill="FFFFFF"/>
        </w:rPr>
        <w:fldChar w:fldCharType="separate"/>
      </w:r>
      <w:r w:rsidR="00CA33D5" w:rsidRPr="00096F30">
        <w:rPr>
          <w:rFonts w:ascii="Times New Roman" w:hAnsi="Times New Roman"/>
        </w:rPr>
        <w:t>(Korah &amp; Wimberly, 2024c)</w:t>
      </w:r>
      <w:r w:rsidR="00CA33D5" w:rsidRPr="00096F30">
        <w:rPr>
          <w:rFonts w:ascii="Times New Roman" w:hAnsi="Times New Roman"/>
          <w:color w:val="000000"/>
          <w:shd w:val="clear" w:color="auto" w:fill="FFFFFF"/>
        </w:rPr>
        <w:fldChar w:fldCharType="end"/>
      </w:r>
      <w:r w:rsidR="00E9040B">
        <w:rPr>
          <w:rFonts w:ascii="Times New Roman" w:eastAsia="Aptos" w:hAnsi="Times New Roman"/>
          <w:bCs/>
          <w:color w:val="0D0D0D"/>
          <w:lang w:bidi="ar-SA"/>
          <w14:ligatures w14:val="standardContextual"/>
        </w:rPr>
        <w:t xml:space="preserve">. </w:t>
      </w:r>
      <w:r w:rsidR="00E27378">
        <w:rPr>
          <w:rFonts w:ascii="Times New Roman" w:eastAsia="Aptos" w:hAnsi="Times New Roman"/>
          <w:bCs/>
          <w:color w:val="0D0D0D"/>
          <w:lang w:bidi="ar-SA"/>
          <w14:ligatures w14:val="standardContextual"/>
        </w:rPr>
        <w:t>T</w:t>
      </w:r>
      <w:r w:rsidR="00576199">
        <w:rPr>
          <w:rFonts w:ascii="Times New Roman" w:eastAsia="Aptos" w:hAnsi="Times New Roman"/>
          <w:bCs/>
          <w:color w:val="0D0D0D"/>
          <w:lang w:bidi="ar-SA"/>
          <w14:ligatures w14:val="standardContextual"/>
        </w:rPr>
        <w:t>he results</w:t>
      </w:r>
      <w:r w:rsidR="00375FA7">
        <w:rPr>
          <w:rFonts w:ascii="Times New Roman" w:eastAsia="Aptos" w:hAnsi="Times New Roman"/>
          <w:bCs/>
          <w:color w:val="0D0D0D"/>
          <w:lang w:bidi="ar-SA"/>
          <w14:ligatures w14:val="standardContextual"/>
        </w:rPr>
        <w:t xml:space="preserve"> of the mixed-method </w:t>
      </w:r>
      <w:r w:rsidR="0032474E">
        <w:rPr>
          <w:rFonts w:ascii="Times New Roman" w:eastAsia="Aptos" w:hAnsi="Times New Roman"/>
          <w:bCs/>
          <w:color w:val="0D0D0D"/>
          <w:lang w:bidi="ar-SA"/>
          <w14:ligatures w14:val="standardContextual"/>
        </w:rPr>
        <w:t xml:space="preserve">analysis in </w:t>
      </w:r>
      <w:r w:rsidR="00E24405">
        <w:rPr>
          <w:rFonts w:ascii="Times New Roman" w:eastAsia="Aptos" w:hAnsi="Times New Roman"/>
          <w:bCs/>
          <w:color w:val="0D0D0D"/>
          <w:lang w:bidi="ar-SA"/>
          <w14:ligatures w14:val="standardContextual"/>
        </w:rPr>
        <w:t>chapter three</w:t>
      </w:r>
      <w:r w:rsidR="00966CEA">
        <w:rPr>
          <w:rFonts w:ascii="Times New Roman" w:eastAsia="Aptos" w:hAnsi="Times New Roman"/>
          <w:bCs/>
          <w:color w:val="0D0D0D"/>
          <w:lang w:bidi="ar-SA"/>
          <w14:ligatures w14:val="standardContextual"/>
        </w:rPr>
        <w:t xml:space="preserve"> helped </w:t>
      </w:r>
      <w:r w:rsidR="00193DBE">
        <w:rPr>
          <w:rFonts w:ascii="Times New Roman" w:eastAsia="Aptos" w:hAnsi="Times New Roman"/>
          <w:bCs/>
          <w:color w:val="0D0D0D"/>
          <w:lang w:bidi="ar-SA"/>
          <w14:ligatures w14:val="standardContextual"/>
        </w:rPr>
        <w:t>to explain</w:t>
      </w:r>
      <w:r w:rsidR="00107AFE">
        <w:rPr>
          <w:rFonts w:ascii="Times New Roman" w:eastAsia="Aptos" w:hAnsi="Times New Roman"/>
          <w:bCs/>
          <w:color w:val="0D0D0D"/>
          <w:lang w:bidi="ar-SA"/>
          <w14:ligatures w14:val="standardContextual"/>
        </w:rPr>
        <w:t xml:space="preserve"> </w:t>
      </w:r>
      <w:r w:rsidR="00E24405">
        <w:rPr>
          <w:rFonts w:ascii="Times New Roman" w:eastAsia="Aptos" w:hAnsi="Times New Roman"/>
          <w:bCs/>
          <w:color w:val="0D0D0D"/>
          <w:lang w:bidi="ar-SA"/>
          <w14:ligatures w14:val="standardContextual"/>
        </w:rPr>
        <w:t xml:space="preserve">the </w:t>
      </w:r>
      <w:r w:rsidR="002E263A">
        <w:rPr>
          <w:rFonts w:ascii="Times New Roman" w:eastAsia="Aptos" w:hAnsi="Times New Roman"/>
          <w:bCs/>
          <w:color w:val="0D0D0D"/>
          <w:lang w:bidi="ar-SA"/>
          <w14:ligatures w14:val="standardContextual"/>
        </w:rPr>
        <w:t>socio</w:t>
      </w:r>
      <w:r w:rsidR="00EB1CA1">
        <w:rPr>
          <w:rFonts w:ascii="Times New Roman" w:eastAsia="Aptos" w:hAnsi="Times New Roman"/>
          <w:bCs/>
          <w:color w:val="0D0D0D"/>
          <w:lang w:bidi="ar-SA"/>
          <w14:ligatures w14:val="standardContextual"/>
        </w:rPr>
        <w:t>-</w:t>
      </w:r>
      <w:r w:rsidR="002E263A">
        <w:rPr>
          <w:rFonts w:ascii="Times New Roman" w:eastAsia="Aptos" w:hAnsi="Times New Roman"/>
          <w:bCs/>
          <w:color w:val="0D0D0D"/>
          <w:lang w:bidi="ar-SA"/>
          <w14:ligatures w14:val="standardContextual"/>
        </w:rPr>
        <w:t xml:space="preserve">economic and cultural factors and urban stakeholders that </w:t>
      </w:r>
      <w:r w:rsidR="00EB1CA1">
        <w:rPr>
          <w:rFonts w:ascii="Times New Roman" w:eastAsia="Aptos" w:hAnsi="Times New Roman"/>
          <w:bCs/>
          <w:color w:val="0D0D0D"/>
          <w:lang w:bidi="ar-SA"/>
          <w14:ligatures w14:val="standardContextual"/>
        </w:rPr>
        <w:t>sh</w:t>
      </w:r>
      <w:r w:rsidR="008A2323">
        <w:rPr>
          <w:rFonts w:ascii="Times New Roman" w:eastAsia="Aptos" w:hAnsi="Times New Roman"/>
          <w:bCs/>
          <w:color w:val="0D0D0D"/>
          <w:lang w:bidi="ar-SA"/>
          <w14:ligatures w14:val="standardContextual"/>
        </w:rPr>
        <w:t>aped</w:t>
      </w:r>
      <w:r w:rsidR="002E263A">
        <w:rPr>
          <w:rFonts w:ascii="Times New Roman" w:eastAsia="Aptos" w:hAnsi="Times New Roman"/>
          <w:bCs/>
          <w:color w:val="0D0D0D"/>
          <w:lang w:bidi="ar-SA"/>
          <w14:ligatures w14:val="standardContextual"/>
        </w:rPr>
        <w:t xml:space="preserve"> the differences in urban expansion patterns across cities of varying populations that </w:t>
      </w:r>
      <w:r w:rsidR="00C04489">
        <w:rPr>
          <w:rFonts w:ascii="Times New Roman" w:eastAsia="Aptos" w:hAnsi="Times New Roman"/>
          <w:bCs/>
          <w:color w:val="0D0D0D"/>
          <w:lang w:bidi="ar-SA"/>
          <w14:ligatures w14:val="standardContextual"/>
        </w:rPr>
        <w:t>I</w:t>
      </w:r>
      <w:r w:rsidR="002E263A">
        <w:rPr>
          <w:rFonts w:ascii="Times New Roman" w:eastAsia="Aptos" w:hAnsi="Times New Roman"/>
          <w:bCs/>
          <w:color w:val="0D0D0D"/>
          <w:lang w:bidi="ar-SA"/>
          <w14:ligatures w14:val="standardContextual"/>
        </w:rPr>
        <w:t xml:space="preserve"> observed in chapter two</w:t>
      </w:r>
      <w:r w:rsidR="008860E4">
        <w:rPr>
          <w:rFonts w:ascii="Times New Roman" w:eastAsia="Aptos" w:hAnsi="Times New Roman"/>
          <w:bCs/>
          <w:color w:val="0D0D0D"/>
          <w:lang w:bidi="ar-SA"/>
          <w14:ligatures w14:val="standardContextual"/>
        </w:rPr>
        <w:t>.</w:t>
      </w:r>
      <w:r w:rsidR="002E263A">
        <w:rPr>
          <w:rFonts w:ascii="Times New Roman" w:eastAsia="Aptos" w:hAnsi="Times New Roman"/>
          <w:bCs/>
          <w:color w:val="0D0D0D"/>
          <w:lang w:bidi="ar-SA"/>
          <w14:ligatures w14:val="standardContextual"/>
        </w:rPr>
        <w:t xml:space="preserve"> </w:t>
      </w:r>
      <w:r w:rsidR="002E263A" w:rsidRPr="00103457">
        <w:rPr>
          <w:rFonts w:ascii="Times New Roman" w:eastAsia="Aptos" w:hAnsi="Times New Roman"/>
          <w:bCs/>
          <w:color w:val="0D0D0D"/>
          <w:lang w:bidi="ar-SA"/>
          <w14:ligatures w14:val="standardContextual"/>
        </w:rPr>
        <w:t>This context-specific understanding of urban expansion and associated actors is helpful for decision-making and implementing regulatory policies such as taxes, subsidies, and penalties to control unplanned expansion.</w:t>
      </w:r>
      <w:r w:rsidR="002E263A">
        <w:rPr>
          <w:rFonts w:ascii="Times New Roman" w:eastAsia="Aptos" w:hAnsi="Times New Roman"/>
          <w:bCs/>
          <w:color w:val="0D0D0D"/>
          <w:lang w:bidi="ar-SA"/>
          <w14:ligatures w14:val="standardContextual"/>
        </w:rPr>
        <w:t xml:space="preserve"> </w:t>
      </w:r>
      <w:r w:rsidR="00644607">
        <w:rPr>
          <w:rFonts w:ascii="Times New Roman" w:eastAsia="Aptos" w:hAnsi="Times New Roman"/>
          <w:bCs/>
          <w:color w:val="0D0D0D"/>
          <w:lang w:bidi="ar-SA"/>
          <w14:ligatures w14:val="standardContextual"/>
        </w:rPr>
        <w:t xml:space="preserve">Thus, </w:t>
      </w:r>
      <w:r w:rsidR="005223C3">
        <w:rPr>
          <w:rFonts w:ascii="Times New Roman" w:eastAsia="Aptos" w:hAnsi="Times New Roman"/>
          <w:bCs/>
          <w:color w:val="0D0D0D"/>
          <w:lang w:bidi="ar-SA"/>
          <w14:ligatures w14:val="standardContextual"/>
        </w:rPr>
        <w:t>chapters two and three improved</w:t>
      </w:r>
      <w:r w:rsidR="00E96EC3">
        <w:rPr>
          <w:rFonts w:ascii="Times New Roman" w:eastAsia="Aptos" w:hAnsi="Times New Roman"/>
          <w:bCs/>
          <w:color w:val="0D0D0D"/>
          <w:lang w:bidi="ar-SA"/>
          <w14:ligatures w14:val="standardContextual"/>
        </w:rPr>
        <w:t xml:space="preserve"> </w:t>
      </w:r>
      <w:r w:rsidR="002A1F5E">
        <w:rPr>
          <w:rFonts w:ascii="Times New Roman" w:eastAsia="Aptos" w:hAnsi="Times New Roman"/>
          <w:bCs/>
          <w:color w:val="0D0D0D"/>
          <w:lang w:bidi="ar-SA"/>
          <w14:ligatures w14:val="standardContextual"/>
        </w:rPr>
        <w:t xml:space="preserve">historical and current </w:t>
      </w:r>
      <w:r w:rsidR="00E96EC3">
        <w:rPr>
          <w:rFonts w:ascii="Times New Roman" w:eastAsia="Aptos" w:hAnsi="Times New Roman"/>
          <w:bCs/>
          <w:color w:val="0D0D0D"/>
          <w:lang w:bidi="ar-SA"/>
          <w14:ligatures w14:val="standardContextual"/>
        </w:rPr>
        <w:t>understanding of urban expansion using satellite data and qualitative interviews</w:t>
      </w:r>
      <w:r w:rsidR="00A51773">
        <w:rPr>
          <w:rFonts w:ascii="Times New Roman" w:eastAsia="Aptos" w:hAnsi="Times New Roman"/>
          <w:bCs/>
          <w:color w:val="0D0D0D"/>
          <w:lang w:bidi="ar-SA"/>
          <w14:ligatures w14:val="standardContextual"/>
        </w:rPr>
        <w:t>. G</w:t>
      </w:r>
      <w:r w:rsidR="00E96EC3">
        <w:rPr>
          <w:rFonts w:ascii="Times New Roman" w:eastAsia="Aptos" w:hAnsi="Times New Roman"/>
          <w:bCs/>
          <w:color w:val="0D0D0D"/>
          <w:lang w:bidi="ar-SA"/>
          <w14:ligatures w14:val="standardContextual"/>
        </w:rPr>
        <w:t>iven that cities in West Africa are expected to grow rapidly, it is important to stimulate their future expansion</w:t>
      </w:r>
      <w:r w:rsidR="003340B2">
        <w:rPr>
          <w:rFonts w:ascii="Times New Roman" w:eastAsia="Aptos" w:hAnsi="Times New Roman"/>
          <w:bCs/>
          <w:color w:val="0D0D0D"/>
          <w:lang w:bidi="ar-SA"/>
          <w14:ligatures w14:val="standardContextual"/>
        </w:rPr>
        <w:t xml:space="preserve"> using models</w:t>
      </w:r>
      <w:r w:rsidR="00E96EC3">
        <w:rPr>
          <w:rFonts w:ascii="Times New Roman" w:eastAsia="Aptos" w:hAnsi="Times New Roman"/>
          <w:bCs/>
          <w:color w:val="0D0D0D"/>
          <w:lang w:bidi="ar-SA"/>
          <w14:ligatures w14:val="standardContextual"/>
        </w:rPr>
        <w:t xml:space="preserve">. </w:t>
      </w:r>
    </w:p>
    <w:p w14:paraId="69FA83FC" w14:textId="77777777" w:rsidR="00E96EC3" w:rsidRDefault="00E96EC3" w:rsidP="002E263A">
      <w:pPr>
        <w:ind w:firstLine="360"/>
        <w:rPr>
          <w:rFonts w:ascii="Times New Roman" w:eastAsia="Aptos" w:hAnsi="Times New Roman"/>
          <w:bCs/>
          <w:color w:val="0D0D0D"/>
          <w:lang w:bidi="ar-SA"/>
          <w14:ligatures w14:val="standardContextual"/>
        </w:rPr>
      </w:pPr>
    </w:p>
    <w:p w14:paraId="10591DD6" w14:textId="5E64EAB0" w:rsidR="00103457" w:rsidRPr="00103457" w:rsidRDefault="00103457" w:rsidP="00022749">
      <w:pPr>
        <w:pStyle w:val="Heading2"/>
        <w:rPr>
          <w:rFonts w:eastAsia="Aptos"/>
        </w:rPr>
      </w:pPr>
      <w:bookmarkStart w:id="182" w:name="_Toc172288769"/>
      <w:r w:rsidRPr="00103457">
        <w:rPr>
          <w:rFonts w:eastAsia="Aptos"/>
        </w:rPr>
        <w:t xml:space="preserve">Projecting </w:t>
      </w:r>
      <w:r w:rsidR="00866D1F">
        <w:rPr>
          <w:rFonts w:eastAsia="Aptos"/>
        </w:rPr>
        <w:t>U</w:t>
      </w:r>
      <w:r w:rsidRPr="00103457">
        <w:rPr>
          <w:rFonts w:eastAsia="Aptos"/>
        </w:rPr>
        <w:t xml:space="preserve">rban </w:t>
      </w:r>
      <w:r w:rsidR="00866D1F">
        <w:rPr>
          <w:rFonts w:eastAsia="Aptos"/>
        </w:rPr>
        <w:t>E</w:t>
      </w:r>
      <w:r w:rsidRPr="00103457">
        <w:rPr>
          <w:rFonts w:eastAsia="Aptos"/>
        </w:rPr>
        <w:t xml:space="preserve">xpansion </w:t>
      </w:r>
      <w:r w:rsidR="00866D1F">
        <w:rPr>
          <w:rFonts w:eastAsia="Aptos"/>
        </w:rPr>
        <w:t>A</w:t>
      </w:r>
      <w:r w:rsidRPr="00103457">
        <w:rPr>
          <w:rFonts w:eastAsia="Aptos"/>
        </w:rPr>
        <w:t>cross the West Africa</w:t>
      </w:r>
      <w:r w:rsidR="000A4C6F">
        <w:rPr>
          <w:rFonts w:eastAsia="Aptos"/>
        </w:rPr>
        <w:t>’s</w:t>
      </w:r>
      <w:r w:rsidRPr="00103457">
        <w:rPr>
          <w:rFonts w:eastAsia="Aptos"/>
        </w:rPr>
        <w:t xml:space="preserve"> </w:t>
      </w:r>
      <w:r w:rsidR="00866D1F">
        <w:rPr>
          <w:rFonts w:eastAsia="Aptos"/>
        </w:rPr>
        <w:t>U</w:t>
      </w:r>
      <w:r w:rsidRPr="00103457">
        <w:rPr>
          <w:rFonts w:eastAsia="Aptos"/>
        </w:rPr>
        <w:t xml:space="preserve">rban </w:t>
      </w:r>
      <w:r w:rsidR="00866D1F">
        <w:rPr>
          <w:rFonts w:eastAsia="Aptos"/>
        </w:rPr>
        <w:t>S</w:t>
      </w:r>
      <w:r w:rsidRPr="00103457">
        <w:rPr>
          <w:rFonts w:eastAsia="Aptos"/>
        </w:rPr>
        <w:t>ystem</w:t>
      </w:r>
      <w:bookmarkEnd w:id="182"/>
    </w:p>
    <w:p w14:paraId="3E650EFA" w14:textId="25FBE188" w:rsidR="00EF5356" w:rsidRPr="006E292A" w:rsidRDefault="00EF5356" w:rsidP="00EF5356">
      <w:pPr>
        <w:ind w:firstLine="360"/>
        <w:rPr>
          <w:rFonts w:ascii="Times New Roman" w:eastAsia="Aptos" w:hAnsi="Times New Roman"/>
          <w:bCs/>
          <w:color w:val="0D0D0D"/>
          <w:lang w:val="fr-FR"/>
        </w:rPr>
      </w:pPr>
      <w:r w:rsidRPr="006E292A">
        <w:rPr>
          <w:rFonts w:ascii="Times New Roman" w:eastAsia="Aptos" w:hAnsi="Times New Roman"/>
          <w:bCs/>
          <w:color w:val="0D0D0D"/>
        </w:rPr>
        <w:t xml:space="preserve">Most urban simulation models are developed and implemented in Europe, North America and recently in Asia </w:t>
      </w:r>
      <w:r w:rsidRPr="006E292A">
        <w:rPr>
          <w:rFonts w:ascii="Times New Roman" w:eastAsia="Aptos" w:hAnsi="Times New Roman"/>
          <w:color w:val="000000"/>
          <w:shd w:val="clear" w:color="auto" w:fill="FFFFFF"/>
        </w:rPr>
        <w:fldChar w:fldCharType="begin"/>
      </w:r>
      <w:r w:rsidRPr="006E292A">
        <w:rPr>
          <w:rFonts w:ascii="Times New Roman" w:eastAsia="Aptos" w:hAnsi="Times New Roman"/>
          <w:color w:val="000000"/>
          <w:shd w:val="clear" w:color="auto" w:fill="FFFFFF"/>
        </w:rPr>
        <w:instrText xml:space="preserve"> ADDIN ZOTERO_ITEM CSL_CITATION {"citationID":"lp9S0wGH","properties":{"formattedCitation":"(Clarke, 2018; Liu et al., 2017; Meentemeyer et al., 2013)","plainCitation":"(Clarke, 2018; Liu et al., 2017; Meentemeyer et al., 2013)","noteIndex":0},"citationItems":[{"id":73,"uris":["http://zotero.org/users/8906743/items/MQLKKBJE"],"itemData":{"id":73,"type":"chapter","container-title":"Geomatic Approaches for Modeling Land Change Scenarios","event-place":"Cham","ISBN":"978-3-319-60800-6","language":"en","note":"collection-title: Lecture Notes in Geoinformation and Cartography\nDOI: 10.1007/978-3-319-60801-3_8","page":"139-161","publisher":"Springer International Publishing","publisher-place":"Cham","source":"DOI.org (Crossref)","title":"Land Use Change Modeling with SLEUTH: Improving Calibration with a Genetic Algorithm","title-short":"Land Use Change Modeling with SLEUTH","URL":"http://link.springer.com/10.1007/978-3-319-60801-3_8","editor":[{"family":"Camacho Olmedo","given":"María Teresa"},{"family":"Paegelow","given":"Martin"},{"family":"Mas","given":"Jean-François"},{"family":"Escobar","given":"Francisco"}],"author":[{"family":"Clarke","given":"K. C."}],"accessed":{"date-parts":[["2022",2,4]]},"issued":{"date-parts":[["2018"]]}}},{"id":20,"uris":["http://zotero.org/users/8906743/items/QSGZPQ48"],"itemData":{"id":20,"type":"article-journal","abstract":"Land use and land cover change (LUCC) simulation models are eﬀective and reproducible tools for analyzing both the causes and consequences of future landscape dynamics under various scenarios. Current simulation models primarily focus on the evolution of speciﬁc land use types under the inﬂuence of human activities, but they rarely consider background climatic eﬀects. However, these background climate changes signiﬁcantly aﬀect the landscape dynamics and should be incorporated into long-term LUCC simulations under various humanclimate-included scenarios. In this paper, we propose a future land use simulation (FLUS) model that explicitly simulates the long-term spatial trajectories of multiple LUCCs. The top-down system dynamics and bottom-up cellular automata were interactively coupled during the projection period, which improved the model’s ability to accurately simulate future land use patterns. A self-adaptive inertia and competition mechanism was developed within the CA model to process the complex competitions and interactions between the diﬀerent land use types. The proposed model was applied to an LUCC simulation in China from 2000 to 2010. The results show promising grid-to-grid agreement compared to actual land use, and the simulation accuracy is higher than other wellaccepted models, such as CLUE-S and CA models. The model was further applied to the simulation of four scenarios from 2010 to 2050 that depict diﬀerent development strategies by considering various socio-economic and natural climatic factors. The simulation results and ﬁndings demonstrate that the proposed model is effective for future LUCC simulation under variously designed scenarios. FLUS is available for free download at http://www.geosimulation.cn/FLUS.html.","container-title":"Landscape and Urban Planning","DOI":"10.1016/j.landurbplan.2017.09.019","ISSN":"01692046","journalAbbreviation":"Landscape and Urban Planning","language":"en","page":"94-116","source":"DOI.org (Crossref)","title":"A future land use simulation model (FLUS) for simulating multiple land use scenarios by coupling human and natural effects","URL":"https://linkinghub.elsevier.com/retrieve/pii/S0169204617302396","volume":"168","author":[{"family":"Liu","given":"Xiaoping"},{"family":"Liang","given":"Xun"},{"family":"Li","given":"Xia"},{"family":"Xu","given":"Xiaocong"},{"family":"Ou","given":"Jinpei"},{"family":"Chen","given":"Yimin"},{"family":"Li","given":"Shaoying"},{"family":"Wang","given":"Shaojian"},{"family":"Pei","given":"Fengsong"}],"accessed":{"date-parts":[["2022",3,7]]},"issued":{"date-parts":[["2017",12]]}}},{"id":15,"uris":["http://zotero.org/users/8906743/items/NJBSXY9D"],"itemData":{"id":15,"type":"article-journal","container-title":"Annals of the Association of American Geographers","DOI":"10.1080/00045608.2012.707591","ISSN":"0004-5608, 1467-8306","issue":"4","journalAbbreviation":"Annals of the Association of American Geographers","language":"en","page":"785-807","source":"DOI.org (Crossref)","title":"FUTURES: Multilevel Simulations of Emerging Urban–Rural Landscape Structure Using a Stochastic Patch-Growing Algorithm","title-short":"FUTURES","URL":"http://www.tandfonline.com/doi/abs/10.1080/00045608.2012.707591","volume":"103","author":[{"family":"Meentemeyer","given":"Ross K."},{"family":"Tang","given":"Wenwu"},{"family":"Dorning","given":"Monica A."},{"family":"Vogler","given":"John B."},{"family":"Cunniffe","given":"Nik J."},{"family":"Shoemaker","given":"Douglas A."}],"accessed":{"date-parts":[["2021",3,27]]},"issued":{"date-parts":[["2013",7]]}}}],"schema":"https://github.com/citation-style-language/schema/raw/master/csl-citation.json"} </w:instrText>
      </w:r>
      <w:r w:rsidRPr="006E292A">
        <w:rPr>
          <w:rFonts w:ascii="Times New Roman" w:eastAsia="Aptos" w:hAnsi="Times New Roman"/>
          <w:color w:val="000000"/>
          <w:shd w:val="clear" w:color="auto" w:fill="FFFFFF"/>
        </w:rPr>
        <w:fldChar w:fldCharType="separate"/>
      </w:r>
      <w:r w:rsidRPr="006E292A">
        <w:rPr>
          <w:rFonts w:ascii="Times New Roman" w:eastAsia="Aptos" w:hAnsi="Times New Roman"/>
        </w:rPr>
        <w:t>(Clarke, 2018; Liu et al., 2017; Meentemeyer et al., 2013)</w:t>
      </w:r>
      <w:r w:rsidRPr="006E292A">
        <w:rPr>
          <w:rFonts w:ascii="Times New Roman" w:eastAsia="Aptos" w:hAnsi="Times New Roman"/>
          <w:color w:val="000000"/>
          <w:shd w:val="clear" w:color="auto" w:fill="FFFFFF"/>
        </w:rPr>
        <w:fldChar w:fldCharType="end"/>
      </w:r>
      <w:r w:rsidRPr="006E292A">
        <w:rPr>
          <w:rFonts w:ascii="Times New Roman" w:eastAsia="Aptos" w:hAnsi="Times New Roman"/>
          <w:bCs/>
          <w:color w:val="0D0D0D"/>
        </w:rPr>
        <w:t xml:space="preserve">. There are also multiple applications of urban simulation models in Africa, and a scoping review </w:t>
      </w:r>
      <w:r w:rsidR="005527B1">
        <w:rPr>
          <w:rFonts w:ascii="Times New Roman" w:eastAsia="Aptos" w:hAnsi="Times New Roman"/>
          <w:bCs/>
          <w:color w:val="0D0D0D"/>
        </w:rPr>
        <w:t xml:space="preserve">of urban </w:t>
      </w:r>
      <w:r w:rsidR="00501B93">
        <w:rPr>
          <w:rFonts w:ascii="Times New Roman" w:eastAsia="Aptos" w:hAnsi="Times New Roman"/>
          <w:bCs/>
          <w:color w:val="0D0D0D"/>
        </w:rPr>
        <w:t xml:space="preserve">growth models across Africa </w:t>
      </w:r>
      <w:r w:rsidRPr="006E292A">
        <w:rPr>
          <w:rFonts w:ascii="Times New Roman" w:eastAsia="Aptos" w:hAnsi="Times New Roman"/>
          <w:bCs/>
          <w:color w:val="0D0D0D"/>
        </w:rPr>
        <w:t xml:space="preserve">reveals that 87.5% </w:t>
      </w:r>
      <w:r w:rsidR="002A35E2">
        <w:rPr>
          <w:rFonts w:ascii="Times New Roman" w:eastAsia="Aptos" w:hAnsi="Times New Roman"/>
          <w:bCs/>
          <w:color w:val="0D0D0D"/>
        </w:rPr>
        <w:t>o</w:t>
      </w:r>
      <w:r w:rsidR="0063334D">
        <w:rPr>
          <w:rFonts w:ascii="Times New Roman" w:eastAsia="Aptos" w:hAnsi="Times New Roman"/>
          <w:bCs/>
          <w:color w:val="0D0D0D"/>
        </w:rPr>
        <w:t xml:space="preserve">f the studies </w:t>
      </w:r>
      <w:r w:rsidRPr="006E292A">
        <w:rPr>
          <w:rFonts w:ascii="Times New Roman" w:eastAsia="Aptos" w:hAnsi="Times New Roman"/>
          <w:bCs/>
          <w:color w:val="0D0D0D"/>
        </w:rPr>
        <w:t xml:space="preserve">focused on individual cities </w:t>
      </w:r>
      <w:r w:rsidRPr="00EF5356">
        <w:rPr>
          <w:rFonts w:ascii="Times New Roman" w:eastAsia="Aptos" w:hAnsi="Times New Roman"/>
          <w:bCs/>
          <w:color w:val="0D0D0D"/>
        </w:rPr>
        <w:fldChar w:fldCharType="begin"/>
      </w:r>
      <w:r w:rsidRPr="00EF5356">
        <w:rPr>
          <w:rFonts w:ascii="Times New Roman" w:eastAsia="Aptos" w:hAnsi="Times New Roman"/>
          <w:bCs/>
          <w:color w:val="0D0D0D"/>
        </w:rPr>
        <w:instrText xml:space="preserve"> ADDIN ZOTERO_ITEM CSL_CITATION {"citationID":"anXIksRI","properties":{"formattedCitation":"(Addae &amp; Oppelt, 2019; Goncalves et al., 2019; A. Korah et al., 2024; Mahmoud et al., 2016)","plainCitation":"(Addae &amp; Oppelt, 2019; Goncalves et al., 2019; A. Korah et al., 2024; Mahmoud et al., 2016)","noteIndex":0},"citationItems":[{"id":97,"uris":["http://zotero.org/users/8906743/items/XG7G59LX"],"itemData":{"id":97,"type":"article-journal","abstract":"A rapid increase in the world’s population over the last century has triggered the transformation of the earth surface, especially in urban areas, where more than half of the global population live. Ghana is no exception and a high population growth rate, coupled with economic development over the last three decades, has transformed the Greater Accra region into a hotspot for massive urban growth. The urban extent of the region has expanded extensively, mainly at the expense of the vegetative cover in the region. Although urbanization presents several opportunities, the environmental and social problems cannot be underestimated. Therefore, the need to estimate the rate and extent of land use/land cover changes in the region and the main drivers of these changes is imperative. Geographic Information Systems (GIS) and remote sensing techniques provide effective tools in studying and monitoring land-use/land-cover change over space and time. A post classiﬁcation change detection of multiple Landsat images was conducted to map and analyse the extent and rate of land use/land cover change in the region between 1991 and 2015. Subsequently, the urban extent of the region was forecasted for the year 2025 using the Markov Chain and the Multi-Layer Perceptron neural network, together with drivers representing proximity, biophysical, and socio-economic variables. The results from the research revealed that built-up areas increased by 277% over the 24-year study period. However, forest areas experienced massive reduction, diminishing from 34% in 1991 to 6.5% in 2015. The 2025 projected land use map revealed that the urban extent will massively increase to cover 70% of the study area, as compared to 44% in 2015. The urban extent is also anticipated to spill into the adjoining districts mainly on the western and eastern sides of the region. The success of this research in generating a future land-use map for 2025, together with the other signiﬁcant ﬁndings, demonstrates the usefulness of spatial models as tools for sustainable city planning and environmental management, especially for urban planners in developing countries.","container-title":"Urban Science","DOI":"10.3390/urbansci3010026","ISSN":"2413-8851","issue":"1","journalAbbreviation":"Urban Science","language":"en","page":"26","source":"DOI.org (Crossref)","title":"Land-Use/Land-Cover Change Analysis and Urban Growth Modelling in the Greater Accra Metropolitan Area (GAMA), Ghana","URL":"http://www.mdpi.com/2413-8851/3/1/26","volume":"3","author":[{"family":"Addae","given":"Bright"},{"family":"Oppelt","given":"Natascha"}],"accessed":{"date-parts":[["2021",1,31]]},"issued":{"date-parts":[["2019",2,27]]}}},{"id":627,"uris":["http://zotero.org/users/8906743/items/A5XXZV3A"],"itemData":{"id":627,"type":"article-journal","abstract":"In recent years, urban growth has become the center of attention and preoccupation for many researchers especially those concerned with urban planning. Some scholars only take into consideration the social dynamism and demographic data of an area of interest while analyzing the urban growth. However, those approaches fail to consider other physical conditions such as the urban extent and exclusion zones (e.g. rivers and forest reserves). This makes it difﬁcult to correctly model the urban expansion as well as simulate for future forecast, which is vital for policymakers and city planners when making informed decisions. This study, therefore, used the Geographic Information System (GIS) to compile the data obtained from a time series of satellite images between 1984 and 2018 for the urban growth model calibration. A modiﬁed cellular automata methodology called SLEUTH was then applied to supervise and forecast the urban sprawl in Praia city, the capital of Cabo Verde from the year 1984 to 2050. The forecasted result showed that breed (100) and road (62) coefﬁcients would inﬂuence the urban growth in Praia city. This means that there is a likelihood of newly generated detached settlements and many new buildings along the roadside.","container-title":"IEEE Access","DOI":"10.1109/ACCESS.2019.2949689","ISSN":"2169-3536","journalAbbreviation":"IEEE Access","language":"en","page":"156430-156442","source":"DOI.org (Crossref)","title":"Simulating Urban Growth Using Cellular Automata Approach (SLEUTH)-A Case Study of Praia City, Cabo Verde","URL":"https://ieeexplore.ieee.org/document/8883160/","volume":"7","author":[{"family":"Goncalves","given":"Tania Mendes"},{"family":"Zhong","given":"Xie"},{"family":"Ziggah","given":"Yao Yevenyo"},{"family":"Dwamena","given":"Brefo Yaw"}],"accessed":{"date-parts":[["2020",10,31]]},"issued":{"date-parts":[["2019"]]}}},{"id":1873,"uris":["http://zotero.org/users/8906743/items/IQT4K3QT"],"itemData":{"id":1873,"type":"article-journal","abstract":"Africa has been a hotspot of rapid urban growth since 2000, yet no review exists that describes the current state of urban growth modeling. This review aims to fill this gap by synthesizing urban growth modeling approaches, input variables and challenges across Africa. Using Web of Science, Google Scholar, Geobase, and Compendex databases, we selected 49 studies that projected urban land use and cover change or modeled probabilities of future urban change associated with a variety of input variables. We found increasing trends in the numbers of studies employing cellular automata, statistical regression, agent-based, video prediction, and integrated approaches. The modeling approaches used and their corresponding increases differed across Africa. The input variables used to project urban growth also varied across subregions. Studies were biased towards populous countries rather than the most urbanized. 78 % of the studies focused on primary cities, while secondary cities were less frequently studied. Comparison of urban growth modeling across multiple regions and for different types of cities is currently difficult due to inconsistent definitions and limited availability of data and computational resources. We recommend that the scientific community develop consistent definitions of African city types and urban land use and land cover classifications, crea</w:instrText>
      </w:r>
      <w:r w:rsidRPr="00EF5356">
        <w:rPr>
          <w:rFonts w:ascii="Times New Roman" w:eastAsia="Aptos" w:hAnsi="Times New Roman"/>
          <w:bCs/>
          <w:color w:val="0D0D0D"/>
          <w:lang w:val="fr-FR"/>
        </w:rPr>
        <w:instrText xml:space="preserve">te regional urban land cover products for Africa, and build repositories of models and their input data.","container-title":"Cities","DOI":"10.1016/j.cities.2023.104734","ISSN":"0264-2751","journalAbbreviation":"Cities","page":"104734","source":"ScienceDirect","title":"Understanding urban growth modeling in Africa: Dynamics, drivers, and challenges","title-short":"Understanding urban growth modeling in Africa","URL":"https://www.sciencedirect.com/science/article/pii/S0264275123005462","volume":"146","author":[{"family":"Korah","given":"Andrews"},{"family":"Koch","given":"Jennifer A. M."},{"family":"Wimberly","given":"Michael C."}],"accessed":{"date-parts":[["2024",1,29]]},"issued":{"date-parts":[["2024",3,1]]}}},{"id":28,"uris":["http://zotero.org/users/8906743/items/IN8ZTXJW"],"itemData":{"id":28,"type":"article-journal","archive_location":"WOS:000373627400041","container-title":"Remote Sensing","DOI":"10.3390/rs8030220","ISSN":"2072-4292","issue":"3","title":"Analysis of Settlement Expansion and Urban Growth Modelling Using Geoinformation for Assessing Potential Impacts of Urbanization on Climate in Abuja City, Nigeria","volume":"8","author":[{"family":"Mahmoud","given":"Mahmoud Ibrahim"},{"family":"Duker","given":"Alfred"},{"family":"Conrad","given":"Christopher"},{"family":"Thiel","given":"Michael"},{"family":"Ahmad","given":"Halilu Shaba"}],"issued":{"date-parts":[["2016",3]]}}}],"schema":"https://github.com/citation-style-language/schema/raw/master/csl-citation.json"} </w:instrText>
      </w:r>
      <w:r w:rsidRPr="00EF5356">
        <w:rPr>
          <w:rFonts w:ascii="Times New Roman" w:eastAsia="Aptos" w:hAnsi="Times New Roman"/>
          <w:bCs/>
          <w:color w:val="0D0D0D"/>
        </w:rPr>
        <w:fldChar w:fldCharType="separate"/>
      </w:r>
      <w:r w:rsidRPr="00EF5356">
        <w:rPr>
          <w:rFonts w:ascii="Times New Roman" w:hAnsi="Times New Roman"/>
          <w:lang w:val="fr-FR"/>
        </w:rPr>
        <w:t>(Addae &amp; Oppelt, 2019; Goncalves et al., 2019; Korah et al., 2024; Mahmoud et al., 2016)</w:t>
      </w:r>
      <w:r w:rsidRPr="00EF5356">
        <w:rPr>
          <w:rFonts w:ascii="Times New Roman" w:eastAsia="Aptos" w:hAnsi="Times New Roman"/>
          <w:bCs/>
          <w:color w:val="0D0D0D"/>
        </w:rPr>
        <w:fldChar w:fldCharType="end"/>
      </w:r>
      <w:r w:rsidRPr="006E292A">
        <w:rPr>
          <w:rFonts w:ascii="Times New Roman" w:eastAsia="Aptos" w:hAnsi="Times New Roman"/>
          <w:bCs/>
          <w:color w:val="0D0D0D"/>
          <w:lang w:val="fr-FR"/>
        </w:rPr>
        <w:t xml:space="preserve">. </w:t>
      </w:r>
      <w:r w:rsidRPr="006E292A">
        <w:rPr>
          <w:rFonts w:ascii="Times New Roman" w:eastAsia="Aptos" w:hAnsi="Times New Roman"/>
          <w:bCs/>
          <w:color w:val="0D0D0D"/>
        </w:rPr>
        <w:t xml:space="preserve">Urban simulation models are mostly cellular automata based using regular cells; however, urban landscapes are irregular, necessitating the need to use models that better simulate urban landscape patterns over large scales </w:t>
      </w:r>
      <w:r w:rsidRPr="00EF5356">
        <w:rPr>
          <w:rFonts w:ascii="Times New Roman" w:eastAsia="Aptos" w:hAnsi="Times New Roman"/>
          <w:bCs/>
          <w:color w:val="0D0D0D"/>
        </w:rPr>
        <w:fldChar w:fldCharType="begin"/>
      </w:r>
      <w:r w:rsidRPr="00EF5356">
        <w:rPr>
          <w:rFonts w:ascii="Times New Roman" w:eastAsia="Aptos" w:hAnsi="Times New Roman"/>
          <w:bCs/>
          <w:color w:val="0D0D0D"/>
        </w:rPr>
        <w:instrText xml:space="preserve"> ADDIN ZOTERO_ITEM CSL_CITATION {"citationID":"osyFyML6","properties":{"formattedCitation":"(Agyemang &amp; Silva, 2019; Dorning et al., 2015; Meentemeyer et al., 2013; Van Berkel et al., 2019)","plainCitation":"(Agyemang &amp; Silva, 2019; Dorning et al., 2015; Meentemeyer et al., 2013; Van Berkel et al., 2019)","noteIndex":0},"citationItems":[{"id":95,"uris":["http://zotero.org/users/8906743/items/2U7P8JHP"],"itemData":{"id":95,"type":"article-journal","archive_location":"WOS:000464479200002","container-title":"Applied Geography","DOI":"10.1016/j.apgeog.2019.02.011","ISSN":"0143-6228","journalAbbreviation":"Applied Geography","page":"15-24","title":"Simulating the urban growth of a predominantly informal Ghanaian city-region with a cellular automata model: Implications for urban planning and policy","volume":"105","author":[{"family":"Agyemang","given":"Felix S. K."},{"family":"Silva","given":"Elisabete"}],"issued":{"date-parts":[["2019",4]]}}},{"id":70,"uris":["http://zotero.org/users/8906743/items/8GDQSD33"],"itemData":{"id":70,"type":"article-journal","container-title":"Landscape and Urban Planning","DOI":"10.1016/j.landurbplan.2014.11.011","ISSN":"01692046","journalAbbreviation":"Landscape and Urban Planning","language":"en","page":"28-39","source":"DOI.org (Crossref)","title":"Simulating urbanization scenarios reveals tradeoffs between conservation planning strategies","URL":"https://linkinghub.elsevier.com/retrieve/pii/S0169204614002710","volume":"136","author":[{"family":"Dorning","given":"Monica A."},{"family":"Koch","given":"Jennifer"},{"family":"Shoemaker","given":"Douglas A."},{"family":"Meentemeyer","given":"Ross K."}],"accessed":{"date-parts":[["2021",3,27]]},"issued":{"date-parts":[["2015",4]]}}},{"id":15,"uris":["http://zotero.org/users/8906743/items/NJBSXY9D"],"itemData":{"id":15,"type":"article-journal","container-title":"Annals of the Association of American Geographers","DOI":"10.1080/00045608.2012.707591","ISSN":"0004-5608, 1467-8306","issue":"4","journalAbbreviation":"Annals of the Association of American Geographers","language":"en","page":"785-807","source":"DOI.org (Crossref)","title":"FUTURES: Multilevel Simulations of Emerging Urban–Rural Landscape Structure Using a Stochastic Patch-Growing Algorithm","title-short":"FUTURES","URL":"http://www.tandfonline.com/doi/abs/10.1080/00045608.2012.707591","volume":"103","author":[{"family":"Meentemeyer","given":"Ross K."},{"family":"Tang","given":"Wenwu"},{"family":"Dorning","given":"Monica A."},{"family":"Vogler","given":"John B."},{"family":"Cunniffe","given":"Nik J."},{"family":"Shoemaker","given":"Douglas A."}],"accessed":{"date-parts":[["2021",3,27]]},"issued":{"date-parts":[["2013",7]]}}},{"id":433,"uris":["http://zotero.org/users/8906743/items/MMML9739"],"itemData":{"id":433,"type":"article-journal","abstract":"Increasing population and rural to urban migration are accelerating urbanization globally, permanently transforming natural systems over large extents. Modelling landscape change over large regions, however, presents particular challenges due to local-scale variations in social and environmental factors that drive land change. We simulated urban development across the South Atlantic States (SAS), a region experiencing rapid population growth and urbanization, using FUTURES—an open source land change model that uses demand for development, local development suitability factors, and a stochastic patch growing algorithm for projecting alternative futures of urban form and landscape change. New advances to the FUTURES modelling framework allow for high resolution projections over large spatial extents by leveraging parallel computing. We simulated the adoption of different urban growth strategies that encourage settlement densiﬁcation in the SAS as alternatives to the region’s increasing sprawl. Evalu</w:instrText>
      </w:r>
      <w:r w:rsidRPr="00EF5356">
        <w:rPr>
          <w:rFonts w:ascii="Times New Roman" w:eastAsia="Aptos" w:hAnsi="Times New Roman"/>
          <w:bCs/>
          <w:color w:val="0D0D0D"/>
          <w:lang w:val="fr-FR"/>
        </w:rPr>
        <w:instrText>ation of projected patterns indicate a 15% increase in urban lands by 2050 given a status quo development scenario compared to a 14.8% increase for the In</w:instrText>
      </w:r>
      <w:r w:rsidRPr="00EF5356">
        <w:rPr>
          <w:rFonts w:ascii="Times New Roman" w:eastAsia="Aptos" w:hAnsi="Times New Roman"/>
          <w:bCs/>
          <w:color w:val="0D0D0D"/>
        </w:rPr>
        <w:instrText>ﬁ</w:instrText>
      </w:r>
      <w:r w:rsidRPr="00EF5356">
        <w:rPr>
          <w:rFonts w:ascii="Times New Roman" w:eastAsia="Aptos" w:hAnsi="Times New Roman"/>
          <w:bCs/>
          <w:color w:val="0D0D0D"/>
          <w:lang w:val="fr-FR"/>
        </w:rPr>
        <w:instrText>ll strategy. Status quo development resulted in a 3.72% loss of total forests, 2.97% loss of highly suitable agricultural land, and 3.69% loss of ecologically signi</w:instrText>
      </w:r>
      <w:r w:rsidRPr="00EF5356">
        <w:rPr>
          <w:rFonts w:ascii="Times New Roman" w:eastAsia="Aptos" w:hAnsi="Times New Roman"/>
          <w:bCs/>
          <w:color w:val="0D0D0D"/>
        </w:rPr>
        <w:instrText>ﬁ</w:instrText>
      </w:r>
      <w:r w:rsidRPr="00EF5356">
        <w:rPr>
          <w:rFonts w:ascii="Times New Roman" w:eastAsia="Aptos" w:hAnsi="Times New Roman"/>
          <w:bCs/>
          <w:color w:val="0D0D0D"/>
          <w:lang w:val="fr-FR"/>
        </w:rPr>
        <w:instrText>cant lands. An alternative In</w:instrText>
      </w:r>
      <w:r w:rsidRPr="00EF5356">
        <w:rPr>
          <w:rFonts w:ascii="Times New Roman" w:eastAsia="Aptos" w:hAnsi="Times New Roman"/>
          <w:bCs/>
          <w:color w:val="0D0D0D"/>
        </w:rPr>
        <w:instrText>ﬁ</w:instrText>
      </w:r>
      <w:r w:rsidRPr="00EF5356">
        <w:rPr>
          <w:rFonts w:ascii="Times New Roman" w:eastAsia="Aptos" w:hAnsi="Times New Roman"/>
          <w:bCs/>
          <w:color w:val="0D0D0D"/>
          <w:lang w:val="fr-FR"/>
        </w:rPr>
        <w:instrText>ll scenario resulted in similar losses of total forest (3.62%) and ecologically signi</w:instrText>
      </w:r>
      <w:r w:rsidRPr="00EF5356">
        <w:rPr>
          <w:rFonts w:ascii="Times New Roman" w:eastAsia="Aptos" w:hAnsi="Times New Roman"/>
          <w:bCs/>
          <w:color w:val="0D0D0D"/>
        </w:rPr>
        <w:instrText>ﬁ</w:instrText>
      </w:r>
      <w:r w:rsidRPr="00EF5356">
        <w:rPr>
          <w:rFonts w:ascii="Times New Roman" w:eastAsia="Aptos" w:hAnsi="Times New Roman"/>
          <w:bCs/>
          <w:color w:val="0D0D0D"/>
          <w:lang w:val="fr-FR"/>
        </w:rPr>
        <w:instrText>cant lands (3.63%) yet consumed less agricultural lands (1.23% loss). Moreover, in</w:instrText>
      </w:r>
      <w:r w:rsidRPr="00EF5356">
        <w:rPr>
          <w:rFonts w:ascii="Times New Roman" w:eastAsia="Aptos" w:hAnsi="Times New Roman"/>
          <w:bCs/>
          <w:color w:val="0D0D0D"/>
        </w:rPr>
        <w:instrText>ﬁ</w:instrText>
      </w:r>
      <w:r w:rsidRPr="00EF5356">
        <w:rPr>
          <w:rFonts w:ascii="Times New Roman" w:eastAsia="Aptos" w:hAnsi="Times New Roman"/>
          <w:bCs/>
          <w:color w:val="0D0D0D"/>
          <w:lang w:val="fr-FR"/>
        </w:rPr>
        <w:instrText xml:space="preserve">ll development patterns differed qualitatively from the status quo and resulted in less fragmentation of the landscape.","container-title":"Land","DOI":"10.3390/land8100144","ISSN":"2073-445X","issue":"10","journalAbbreviation":"Land","language":"en","page":"144","source":"DOI.org (Crossref)","title":"Projecting Urbanization and Landscape Change at Large Scale Using the FUTURES Model","URL":"https://www.mdpi.com/2073-445X/8/10/144","volume":"8","author":[{"family":"Van Berkel","given":"Derek"},{"family":"Shashidharan","given":"Ashwin"},{"family":"Mordecai","given":"Rua"},{"family":"Vatsavai","given":"Raju"},{"family":"Petrasova","given":"Anna"},{"family":"Petras","given":"Vaclav"},{"family":"Mitasova","given":"Helena"},{"family":"Vogler","given":"John"},{"family":"Meentemeyer","given":"Ross"}],"accessed":{"date-parts":[["2022",2,4]]},"issued":{"date-parts":[["2019",9,24]]}}}],"schema":"https://github.com/citation-style-language/schema/raw/master/csl-citation.json"} </w:instrText>
      </w:r>
      <w:r w:rsidRPr="00EF5356">
        <w:rPr>
          <w:rFonts w:ascii="Times New Roman" w:eastAsia="Aptos" w:hAnsi="Times New Roman"/>
          <w:bCs/>
          <w:color w:val="0D0D0D"/>
        </w:rPr>
        <w:fldChar w:fldCharType="separate"/>
      </w:r>
      <w:r w:rsidRPr="00EF5356">
        <w:rPr>
          <w:rFonts w:ascii="Times New Roman" w:hAnsi="Times New Roman"/>
          <w:lang w:val="fr-FR"/>
        </w:rPr>
        <w:t>(Agyemang &amp; Silva, 2019; Dorning et al., 2015; Meentemeyer et al., 2013; Van Berkel et al., 2019)</w:t>
      </w:r>
      <w:r w:rsidRPr="00EF5356">
        <w:rPr>
          <w:rFonts w:ascii="Times New Roman" w:eastAsia="Aptos" w:hAnsi="Times New Roman"/>
          <w:bCs/>
          <w:color w:val="0D0D0D"/>
        </w:rPr>
        <w:fldChar w:fldCharType="end"/>
      </w:r>
      <w:r w:rsidRPr="00EF5356">
        <w:rPr>
          <w:rFonts w:ascii="Times New Roman" w:eastAsia="Aptos" w:hAnsi="Times New Roman"/>
          <w:bCs/>
          <w:color w:val="0D0D0D"/>
          <w:lang w:val="fr-FR"/>
        </w:rPr>
        <w:t>.</w:t>
      </w:r>
    </w:p>
    <w:p w14:paraId="45FC641D" w14:textId="177B301B" w:rsidR="00EF5356" w:rsidRPr="006E292A" w:rsidRDefault="00EF5356" w:rsidP="00EF5356">
      <w:pPr>
        <w:ind w:firstLine="360"/>
        <w:rPr>
          <w:rFonts w:ascii="Times New Roman" w:eastAsia="Aptos" w:hAnsi="Times New Roman"/>
          <w:bCs/>
          <w:color w:val="0D0D0D"/>
        </w:rPr>
      </w:pPr>
      <w:r w:rsidRPr="006E292A">
        <w:rPr>
          <w:rFonts w:ascii="Times New Roman" w:eastAsia="Aptos" w:hAnsi="Times New Roman"/>
          <w:bCs/>
          <w:color w:val="0D0D0D"/>
        </w:rPr>
        <w:t xml:space="preserve">Chapter four builds on the previous chapters and </w:t>
      </w:r>
      <w:r w:rsidR="00DE06A4">
        <w:rPr>
          <w:rFonts w:ascii="Times New Roman" w:eastAsia="Aptos" w:hAnsi="Times New Roman"/>
          <w:bCs/>
          <w:color w:val="0D0D0D"/>
        </w:rPr>
        <w:t>simulates</w:t>
      </w:r>
      <w:r w:rsidRPr="006E292A">
        <w:rPr>
          <w:rFonts w:ascii="Times New Roman" w:eastAsia="Aptos" w:hAnsi="Times New Roman"/>
          <w:bCs/>
          <w:color w:val="0D0D0D"/>
        </w:rPr>
        <w:t xml:space="preserve"> future expansion using FUTURES, a stochastic model that employs a random seed, allowing for different possible </w:t>
      </w:r>
      <w:r w:rsidRPr="006E292A">
        <w:rPr>
          <w:rFonts w:ascii="Times New Roman" w:eastAsia="Aptos" w:hAnsi="Times New Roman"/>
          <w:bCs/>
          <w:color w:val="0D0D0D"/>
        </w:rPr>
        <w:lastRenderedPageBreak/>
        <w:t xml:space="preserve">locations of new developments. FUTURES combine cell and patch-based algorithms, making it more suitable for capturing urban landscape patterns </w:t>
      </w:r>
      <w:r w:rsidRPr="006E292A">
        <w:rPr>
          <w:rFonts w:ascii="Times New Roman" w:eastAsia="Aptos" w:hAnsi="Times New Roman"/>
          <w:color w:val="000000"/>
          <w:shd w:val="clear" w:color="auto" w:fill="FFFFFF"/>
        </w:rPr>
        <w:fldChar w:fldCharType="begin"/>
      </w:r>
      <w:r w:rsidRPr="006E292A">
        <w:rPr>
          <w:rFonts w:ascii="Times New Roman" w:eastAsia="Aptos" w:hAnsi="Times New Roman"/>
          <w:color w:val="000000"/>
          <w:shd w:val="clear" w:color="auto" w:fill="FFFFFF"/>
        </w:rPr>
        <w:instrText xml:space="preserve"> ADDIN ZOTERO_ITEM CSL_CITATION {"citationID":"oMitwVKi","properties":{"formattedCitation":"(Meentemeyer et al., 2013)","plainCitation":"(Meentemeyer et al., 2013)","noteIndex":0},"citationItems":[{"id":15,"uris":["http://zotero.org/users/8906743/items/NJBSXY9D"],"itemData":{"id":15,"type":"article-journal","container-title":"Annals of the Association of American Geographers","DOI":"10.1080/00045608.2012.707591","ISSN":"0004-5608, 1467-8306","issue":"4","journalAbbreviation":"Annals of the Association of American Geographers","language":"en","page":"785-807","source":"DOI.org (Crossref)","title":"FUTURES: Multilevel Simulations of Emerging Urban–Rural Landscape Structure Using a Stochastic Patch-Growing Algorithm","title-short":"FUTURES","URL":"http://www.tandfonline.com/doi/abs/10.1080/00045608.2012.707591","volume":"103","author":[{"family":"Meentemeyer","given":"Ross K."},{"family":"Tang","given":"Wenwu"},{"family":"Dorning","given":"Monica A."},{"family":"Vogler","given":"John B."},{"family":"Cunniffe","given":"Nik J."},{"family":"Shoemaker","given":"Douglas A."}],"accessed":{"date-parts":[["2021",3,27]]},"issued":{"date-parts":[["2013",7]]}}}],"schema":"https://github.com/citation-style-language/schema/raw/master/csl-citation.json"} </w:instrText>
      </w:r>
      <w:r w:rsidRPr="006E292A">
        <w:rPr>
          <w:rFonts w:ascii="Times New Roman" w:eastAsia="Aptos" w:hAnsi="Times New Roman"/>
          <w:color w:val="000000"/>
          <w:shd w:val="clear" w:color="auto" w:fill="FFFFFF"/>
        </w:rPr>
        <w:fldChar w:fldCharType="separate"/>
      </w:r>
      <w:r w:rsidRPr="006E292A">
        <w:rPr>
          <w:rFonts w:ascii="Times New Roman" w:eastAsia="Aptos" w:hAnsi="Times New Roman"/>
        </w:rPr>
        <w:t>(Meentemeyer et al., 2013)</w:t>
      </w:r>
      <w:r w:rsidRPr="006E292A">
        <w:rPr>
          <w:rFonts w:ascii="Times New Roman" w:eastAsia="Aptos" w:hAnsi="Times New Roman"/>
          <w:color w:val="000000"/>
          <w:shd w:val="clear" w:color="auto" w:fill="FFFFFF"/>
        </w:rPr>
        <w:fldChar w:fldCharType="end"/>
      </w:r>
      <w:r w:rsidRPr="006E292A">
        <w:rPr>
          <w:rFonts w:ascii="Times New Roman" w:eastAsia="Aptos" w:hAnsi="Times New Roman"/>
          <w:bCs/>
          <w:color w:val="0D0D0D"/>
        </w:rPr>
        <w:t>. This research is the first t</w:t>
      </w:r>
      <w:r w:rsidR="000A4C6F">
        <w:rPr>
          <w:rFonts w:ascii="Times New Roman" w:eastAsia="Aptos" w:hAnsi="Times New Roman"/>
          <w:bCs/>
          <w:color w:val="0D0D0D"/>
        </w:rPr>
        <w:t>o apply FUTURES to</w:t>
      </w:r>
      <w:r w:rsidRPr="006E292A">
        <w:rPr>
          <w:rFonts w:ascii="Times New Roman" w:eastAsia="Aptos" w:hAnsi="Times New Roman"/>
          <w:bCs/>
          <w:color w:val="0D0D0D"/>
        </w:rPr>
        <w:t xml:space="preserve"> an African landscape. </w:t>
      </w:r>
      <w:r w:rsidR="00E16AE7">
        <w:rPr>
          <w:rFonts w:ascii="Times New Roman" w:eastAsia="Aptos" w:hAnsi="Times New Roman"/>
          <w:bCs/>
          <w:color w:val="0D0D0D"/>
        </w:rPr>
        <w:t>I</w:t>
      </w:r>
      <w:r w:rsidRPr="006E292A">
        <w:rPr>
          <w:rFonts w:ascii="Times New Roman" w:eastAsia="Aptos" w:hAnsi="Times New Roman"/>
          <w:bCs/>
          <w:color w:val="0D0D0D"/>
        </w:rPr>
        <w:t xml:space="preserve"> found that variables used to simulate future expansion vary in importance across small, medium, and large cities. New developments emerged in close proximity to previous developments, which was expected and consistent with previous studies </w:t>
      </w:r>
      <w:r w:rsidRPr="00EF5356">
        <w:rPr>
          <w:rFonts w:ascii="Times New Roman" w:eastAsia="Aptos" w:hAnsi="Times New Roman"/>
          <w:bCs/>
          <w:color w:val="0D0D0D"/>
        </w:rPr>
        <w:fldChar w:fldCharType="begin"/>
      </w:r>
      <w:r w:rsidRPr="00EF5356">
        <w:rPr>
          <w:rFonts w:ascii="Times New Roman" w:eastAsia="Aptos" w:hAnsi="Times New Roman"/>
          <w:bCs/>
          <w:color w:val="0D0D0D"/>
        </w:rPr>
        <w:instrText xml:space="preserve"> ADDIN ZOTERO_ITEM CSL_CITATION {"citationID":"GQhCC0vN","properties":{"formattedCitation":"(A. Korah et al., 2024; Linard et al., 2013; Pickard et al., 2017)","plainCitation":"(A. Korah et al., 2024; Linard et al., 2013; Pickard et al., 2017)","noteIndex":0},"citationItems":[{"id":1873,"uris":["http://zotero.org/users/8906743/items/IQT4K3QT"],"itemData":{"id":1873,"type":"article-journal","abstract":"Africa has been a hotspot of rapid urban growth since 2000, yet no review exists that describes the current state of urban growth modeling. This review aims to fill this gap by synthesizing urban growth modeling approaches, input variables and challenges across Africa. Using Web of Science, Google Scholar, Geobase, and Compendex databases, we selected 49 studies that projected urban land use and cover change or modeled probabilities of future urban change associated with a variety of input variables. We found increasing trends in the numbers of studies employing cellular automata, statistical regression, agent-based, video prediction, and integrated approaches. The modeling approaches used and their corresponding increases differed across Africa. The input variables used to project urban growth also varied across subregions. Studies were biased towards populous countries rather than the most urbanized. 78 % of the studies focused on primary cities, while secondary cities were less frequently studied. Comparison of urban growth modeling across multiple regions and for different types of cities is currently difficult due to inconsistent definitions and limited availability of data and computational resources. We recommend that the scientific community develop consistent definitions of African city types and urban land use and land cover classifications, create regional urban land cover products for Africa, and build repositories of models and their input data.","container-title":"Cities","DOI":"10.1016/j.cities.2023.104734","ISSN":"0264-2751","journalAbbreviation":"Cities","page":"104734","source":"ScienceDirect","title":"Understanding urban growth modeling in Africa: Dynamics, drivers, and challenges","title-short":"Understanding urban growth modeling in Africa","URL":"https://www.sciencedirect.com/science/article/pii/S0264275123005462","volume":"146","author":[{"family":"Korah","given":"Andrews"},{"family":"Koch","given":"Jennifer A. M."},{"family":"Wimberly","given":"Michael C."}],"accessed":{"date-parts":[["2024",1,29]]},"issued":{"date-parts":[["2024",3,1]]}}},{"id":21,"uris":["http://zotero.org/users/8906743/items/LQVZXG5S"],"itemData":{"id":21,"type":"article-journal","abstract":"The population of Africa is predicted to double over the next 40 years, driving exceptionally high urban expansion rates that will induce signiﬁcant socio-economic, environmental and health changes. In order to prepare for these changes, it is important to better understand urban growth dynamics in Africa and better predict the spatial pattern of rural-urban conversions. Previous work on urban expansion has been carried out at the city level or at the global level with a relatively coarse 5e10 km resolution. The main objective of the present paper was to develop a modelling approach at an intermediate scale in order to identify factors that inﬂuence spatial patterns of urban expansion in Africa. Boosted Regression Tree models were developed to predict the spatial pattern of rural-urban conversions in every large African city. Urban change data between circa 1990 and circa 2000 available for 20 large cities across Africa were used as training data. Results showed that the urban land in a 1 km neighbourhood and the accessibility to the city centre were the most inﬂuential variables. Results obtained were generally more accurate than results obtained using a distance-based urban expansion model and showed that the spatial pattern of small, compact and fast growing cities were easier to simulate than cities with lower population densities and a lower growth rate. The simulation method developed here will allow the production of spatially detailed urban expansion forecasts for 2020 and 2025 for Africa, data that are increasingly required by global change modellers.","container-title":"Applied Geography","DOI":"10.1016/j.apgeog.2013.07.009","ISSN":"01436228","journalAbbreviation":"Applied Geography","language":"en","page":"23-32","source":"DOI.org (Crossref)","title":"Modelling spatial patterns of urban growth in Africa","URL":"https://linkinghub.elsevier.com/retrieve/pii/S0143622813001707","volume":"44","author":[{"family":"Linard","given":"Catherine"},{"family":"Tatem","given":"Andrew J."},{"family":"Gilbert","given":"Marius"}],"accessed":{"date-parts":[["2021",1,31]]},"issued":{"date-parts":[["2013",10]]}}},{"id":431,"uris":["http://zotero.org/users/8906743/items/97YE2FE5"],"itemData":{"id":431,"type":"article-journal","abstract":"Methods We couple land change and ES models to examine impacts to carbon sequestration, surface water-run off, nitrogen and phosphorus export, organic farming and camping site suitability, to determine trade-offs among the six ES associated with each spatial conﬁguration for western North Carolina.\nResults Consequences of urban conﬁgurations are dramatic, with degraded ES across all scenarios and substantial variation depending on urban pattern, revealing trade-offs. Counter-intuitive trade-offs between carbon sequestration and lands available for organic farming and camping were observed, suggesting that no conﬁgurations result in mutual beneﬁts for all ES.\nConclusions By understanding trade-offs associated with urban conﬁgurations, decision makers can identify ES critical to an area and promote conﬁgurations that enhance those.","container-title":"Landscape Ecology","DOI":"10.1007/s10980-016-0465-8","ISSN":"0921-2973, 1572-9761","issue":"3","journalAbbreviation":"Landscape Ecol","language":"en","page":"617-634","source":"DOI.org (Crossref)","title":"Forecasts of urbanization scenarios reveal trade-offs between landscape change and ecosystem services","URL":"http://link.springer.com/10.1007/s10980-016-0465-8","volume":"32","author":[{"family":"Pickard","given":"Brian R."},{"family":"Van Berkel","given":"Derek"},{"family":"Petrasova","given":"Anna"},{"family":"Meentemeyer","given":"Ross K."}],"accessed":{"date-parts":[["2022",2,4]]},"issued":{"date-parts":[["2017",3]]}}}],"schema":"https://github.com/citation-style-language/schema/raw/master/csl-citation.json"} </w:instrText>
      </w:r>
      <w:r w:rsidRPr="00EF5356">
        <w:rPr>
          <w:rFonts w:ascii="Times New Roman" w:eastAsia="Aptos" w:hAnsi="Times New Roman"/>
          <w:bCs/>
          <w:color w:val="0D0D0D"/>
        </w:rPr>
        <w:fldChar w:fldCharType="separate"/>
      </w:r>
      <w:r w:rsidRPr="00EF5356">
        <w:rPr>
          <w:rFonts w:ascii="Times New Roman" w:hAnsi="Times New Roman"/>
        </w:rPr>
        <w:t>(Korah et al., 2024; Linard et al., 2013; Pickard et al., 2017)</w:t>
      </w:r>
      <w:r w:rsidRPr="00EF5356">
        <w:rPr>
          <w:rFonts w:ascii="Times New Roman" w:eastAsia="Aptos" w:hAnsi="Times New Roman"/>
          <w:bCs/>
          <w:color w:val="0D0D0D"/>
        </w:rPr>
        <w:fldChar w:fldCharType="end"/>
      </w:r>
      <w:r w:rsidRPr="006E292A">
        <w:rPr>
          <w:rFonts w:ascii="Times New Roman" w:eastAsia="Aptos" w:hAnsi="Times New Roman"/>
          <w:bCs/>
          <w:color w:val="0D0D0D"/>
        </w:rPr>
        <w:t xml:space="preserve">. Also, some previous urban simulations for individual cities mostly found a significant negative relationship between elevation, slope, and urban expansion; I found an insignificant relationship when modeled across multiple cities. The quantity and pattern metrics were similar in the reference and simulated maps in smaller cities than in larger cities. </w:t>
      </w:r>
      <w:r w:rsidR="00E16AE7">
        <w:rPr>
          <w:rFonts w:ascii="Times New Roman" w:eastAsia="Aptos" w:hAnsi="Times New Roman"/>
          <w:bCs/>
          <w:color w:val="0D0D0D"/>
        </w:rPr>
        <w:t>I</w:t>
      </w:r>
      <w:r w:rsidRPr="006E292A">
        <w:rPr>
          <w:rFonts w:ascii="Times New Roman" w:eastAsia="Aptos" w:hAnsi="Times New Roman"/>
          <w:bCs/>
          <w:color w:val="0D0D0D"/>
        </w:rPr>
        <w:t xml:space="preserve"> found high annual expansion rates across the study area, and most of the simulated expansion occurred between 2030 and 2040. Most of the high expansion rates from 2020 – 2030 were in the coastal areas but shifted inland across most parts of the study area from 2030 to 2050. The simulations in this research are not necessarily suitable for neighborhood or city-level applications, as that require planning and policy</w:t>
      </w:r>
      <w:r w:rsidR="005773FB">
        <w:rPr>
          <w:rFonts w:ascii="Times New Roman" w:eastAsia="Aptos" w:hAnsi="Times New Roman"/>
          <w:bCs/>
          <w:color w:val="0D0D0D"/>
        </w:rPr>
        <w:t>-</w:t>
      </w:r>
      <w:r w:rsidR="000A4C6F">
        <w:rPr>
          <w:rFonts w:ascii="Times New Roman" w:eastAsia="Aptos" w:hAnsi="Times New Roman"/>
          <w:bCs/>
          <w:color w:val="0D0D0D"/>
        </w:rPr>
        <w:t xml:space="preserve">relevant </w:t>
      </w:r>
      <w:r w:rsidRPr="006E292A">
        <w:rPr>
          <w:rFonts w:ascii="Times New Roman" w:eastAsia="Aptos" w:hAnsi="Times New Roman"/>
          <w:bCs/>
          <w:color w:val="0D0D0D"/>
        </w:rPr>
        <w:t xml:space="preserve">scenarios, and this information is mostly lacking and inconsistent in the study area. </w:t>
      </w:r>
      <w:r w:rsidRPr="006E292A">
        <w:rPr>
          <w:rFonts w:ascii="Times New Roman" w:eastAsia="Aptos" w:hAnsi="Times New Roman"/>
        </w:rPr>
        <w:t>However, t</w:t>
      </w:r>
      <w:r w:rsidRPr="006E292A">
        <w:rPr>
          <w:rFonts w:ascii="Times New Roman" w:eastAsia="Aptos" w:hAnsi="Times New Roman"/>
          <w:bCs/>
          <w:color w:val="0D0D0D"/>
        </w:rPr>
        <w:t xml:space="preserve">he simulations in this chapter provide </w:t>
      </w:r>
      <w:r w:rsidR="005773FB">
        <w:rPr>
          <w:rFonts w:ascii="Times New Roman" w:eastAsia="Aptos" w:hAnsi="Times New Roman"/>
          <w:bCs/>
          <w:color w:val="0D0D0D"/>
        </w:rPr>
        <w:t xml:space="preserve">a </w:t>
      </w:r>
      <w:r w:rsidRPr="006E292A">
        <w:rPr>
          <w:rFonts w:ascii="Times New Roman" w:eastAsia="Aptos" w:hAnsi="Times New Roman"/>
          <w:bCs/>
          <w:color w:val="0D0D0D"/>
        </w:rPr>
        <w:t xml:space="preserve">broad understanding of the expected future expansion rates across </w:t>
      </w:r>
      <w:r w:rsidR="004E56E7">
        <w:rPr>
          <w:rFonts w:ascii="Times New Roman" w:eastAsia="Aptos" w:hAnsi="Times New Roman"/>
          <w:bCs/>
          <w:color w:val="0D0D0D"/>
        </w:rPr>
        <w:t xml:space="preserve">multiple </w:t>
      </w:r>
      <w:r w:rsidRPr="006E292A">
        <w:rPr>
          <w:rFonts w:ascii="Times New Roman" w:eastAsia="Aptos" w:hAnsi="Times New Roman"/>
          <w:bCs/>
          <w:color w:val="0D0D0D"/>
        </w:rPr>
        <w:t>administrative boundaries</w:t>
      </w:r>
      <w:r w:rsidR="004E56E7">
        <w:rPr>
          <w:rFonts w:ascii="Times New Roman" w:eastAsia="Aptos" w:hAnsi="Times New Roman"/>
          <w:bCs/>
          <w:color w:val="0D0D0D"/>
        </w:rPr>
        <w:t xml:space="preserve"> in West Africa.</w:t>
      </w:r>
    </w:p>
    <w:p w14:paraId="756A4336" w14:textId="6BF1429D" w:rsidR="001F6EF8" w:rsidRDefault="00EF5356" w:rsidP="00410FBA">
      <w:pPr>
        <w:ind w:firstLine="360"/>
        <w:rPr>
          <w:rFonts w:ascii="Times New Roman" w:eastAsia="Aptos" w:hAnsi="Times New Roman"/>
          <w:bCs/>
          <w:color w:val="0D0D0D"/>
        </w:rPr>
      </w:pPr>
      <w:r w:rsidRPr="006E292A">
        <w:rPr>
          <w:rFonts w:ascii="Times New Roman" w:eastAsia="Aptos" w:hAnsi="Times New Roman"/>
        </w:rPr>
        <w:t xml:space="preserve">In chapter two, </w:t>
      </w:r>
      <w:r w:rsidR="00E16AE7">
        <w:rPr>
          <w:rFonts w:ascii="Times New Roman" w:eastAsia="Aptos" w:hAnsi="Times New Roman"/>
        </w:rPr>
        <w:t>I</w:t>
      </w:r>
      <w:r w:rsidRPr="006E292A">
        <w:rPr>
          <w:rFonts w:ascii="Times New Roman" w:eastAsia="Aptos" w:hAnsi="Times New Roman"/>
        </w:rPr>
        <w:t xml:space="preserve"> developed better historical urban land cover change data</w:t>
      </w:r>
      <w:r w:rsidR="001C1155">
        <w:rPr>
          <w:rFonts w:ascii="Times New Roman" w:eastAsia="Aptos" w:hAnsi="Times New Roman"/>
        </w:rPr>
        <w:t xml:space="preserve"> that I used to </w:t>
      </w:r>
      <w:r w:rsidR="00F03D3F">
        <w:rPr>
          <w:rFonts w:ascii="Times New Roman" w:eastAsia="Aptos" w:hAnsi="Times New Roman"/>
        </w:rPr>
        <w:t>extrapolate</w:t>
      </w:r>
      <w:r w:rsidR="008149C4">
        <w:rPr>
          <w:rFonts w:ascii="Times New Roman" w:eastAsia="Aptos" w:hAnsi="Times New Roman"/>
        </w:rPr>
        <w:t xml:space="preserve"> into the future</w:t>
      </w:r>
      <w:r w:rsidRPr="006E292A">
        <w:rPr>
          <w:rFonts w:ascii="Times New Roman" w:eastAsia="Aptos" w:hAnsi="Times New Roman"/>
        </w:rPr>
        <w:t xml:space="preserve">, but the results in chapter four suggest that there are other data needs that need to be addressed. For example, population data are not available at finer scales (e.g., city level), and local road networks are biased towards larger cities </w:t>
      </w:r>
      <w:r w:rsidRPr="00EF5356">
        <w:rPr>
          <w:rFonts w:ascii="Times New Roman" w:eastAsia="Aptos" w:hAnsi="Times New Roman"/>
        </w:rPr>
        <w:fldChar w:fldCharType="begin"/>
      </w:r>
      <w:r w:rsidRPr="00EF5356">
        <w:rPr>
          <w:rFonts w:ascii="Times New Roman" w:eastAsia="Aptos" w:hAnsi="Times New Roman"/>
        </w:rPr>
        <w:instrText xml:space="preserve"> ADDIN ZOTERO_ITEM CSL_CITATION {"citationID":"wvGm5glQ","properties":{"formattedCitation":"(Meijer et al., 2018)","plainCitation":"(Meijer et al., 2018)","noteIndex":0},"citationItems":[{"id":830,"uris":["http://zotero.org/users/8906743/items/BCF5R4S3"],"itemData":{"id":830,"type":"article-journal","abstract":"Georeferenced information on road infrastructure is essential for spatial planning, socio-economic assessments and environmental impact analyses. Yet current global road maps are typically outdated or characterized by spatial bias in coverage. In the Global Roads Inventory Project we gathered, harmonized and integrated nearly 60 geospatial datasets on road infrastructure into a global roads dataset. The resulting dataset covers 222 countries and includes over 21 million km of roads, which is two to three times the total length in the currently best available country-based global roads datasets. We then related total road length per country to country area, population density, GDP and OECD membership, resulting in a regression model with adjusted R2 of 0.90, and found that that the highest road densities are associated with densely populated and wealthier countries. Applying our regression model to future population densities and GDP estimates from the Shared Socioeconomic Pathway (SSP) scenarios, we obtained a tentative estimate of 3.0–4.7 million km additional road length for the year 2050. Large increases in road length were projected for developing nations in some of the world’s last remaining wilderness areas, such as the Amazon, the Congo basin and New Guinea. This highlights the need for accurate spatial road datasets to underpin strategic spatial planning in order to reduce the impacts of roads in remaining pristine ecosystems.","container-title":"Environmental Research Letters","DOI":"10.1088/1748-9326/aabd42","ISSN":"1748-9326","issue":"6","journalAbbreviation":"Environ. Res. Lett.","language":"en","page":"064006","source":"DOI.org (Crossref)","title":"Global patterns of current and future road infrastructure","URL":"https://iopscience.iop.org/article/10.1088/1748-9326/aabd42","volume":"13","author":[{"family":"Meijer","given":"Johan R"},{"family":"Huijbregts","given":"Mark A J"},{"family":"Schotten","given":"Kees C G J"},{"family":"Schipper","given":"Aafke M"}],"accessed":{"date-parts":[["2022",10,26]]},"issued":{"date-parts":[["2018",6,1]]}}}],"schema":"https://github.com/citation-style-language/schema/raw/master/csl-citation.json"} </w:instrText>
      </w:r>
      <w:r w:rsidRPr="00EF5356">
        <w:rPr>
          <w:rFonts w:ascii="Times New Roman" w:eastAsia="Aptos" w:hAnsi="Times New Roman"/>
        </w:rPr>
        <w:fldChar w:fldCharType="separate"/>
      </w:r>
      <w:r w:rsidRPr="00EF5356">
        <w:rPr>
          <w:rFonts w:ascii="Times New Roman" w:hAnsi="Times New Roman"/>
        </w:rPr>
        <w:t>(Meijer et al., 2018)</w:t>
      </w:r>
      <w:r w:rsidRPr="00EF5356">
        <w:rPr>
          <w:rFonts w:ascii="Times New Roman" w:eastAsia="Aptos" w:hAnsi="Times New Roman"/>
        </w:rPr>
        <w:fldChar w:fldCharType="end"/>
      </w:r>
      <w:r w:rsidRPr="006E292A">
        <w:rPr>
          <w:rFonts w:ascii="Times New Roman" w:eastAsia="Aptos" w:hAnsi="Times New Roman"/>
        </w:rPr>
        <w:t xml:space="preserve">. </w:t>
      </w:r>
      <w:r w:rsidR="00E43A79">
        <w:rPr>
          <w:rFonts w:ascii="Times New Roman" w:eastAsia="Aptos" w:hAnsi="Times New Roman"/>
        </w:rPr>
        <w:t>I</w:t>
      </w:r>
      <w:r w:rsidRPr="006E292A">
        <w:rPr>
          <w:rFonts w:ascii="Times New Roman" w:eastAsia="Aptos" w:hAnsi="Times New Roman"/>
        </w:rPr>
        <w:t xml:space="preserve">n chapter three, </w:t>
      </w:r>
      <w:r w:rsidR="008149C4">
        <w:rPr>
          <w:rFonts w:ascii="Times New Roman" w:eastAsia="Aptos" w:hAnsi="Times New Roman"/>
        </w:rPr>
        <w:t>I</w:t>
      </w:r>
      <w:r w:rsidRPr="006E292A">
        <w:rPr>
          <w:rFonts w:ascii="Times New Roman" w:eastAsia="Aptos" w:hAnsi="Times New Roman"/>
        </w:rPr>
        <w:t xml:space="preserve"> found that several actors and socio-economic factors shape urban expansion patterns. These qualitative data are costly to collect and consistently analyze over large scales, and privacy </w:t>
      </w:r>
      <w:r w:rsidRPr="006E292A">
        <w:rPr>
          <w:rFonts w:ascii="Times New Roman" w:eastAsia="Aptos" w:hAnsi="Times New Roman"/>
        </w:rPr>
        <w:lastRenderedPageBreak/>
        <w:t xml:space="preserve">and national sovereignty guidelines also limit sharing </w:t>
      </w:r>
      <w:r w:rsidRPr="00EF5356">
        <w:rPr>
          <w:rFonts w:ascii="Times New Roman" w:eastAsia="Aptos" w:hAnsi="Times New Roman"/>
        </w:rPr>
        <w:fldChar w:fldCharType="begin"/>
      </w:r>
      <w:r w:rsidRPr="00EF5356">
        <w:rPr>
          <w:rFonts w:ascii="Times New Roman" w:eastAsia="Aptos" w:hAnsi="Times New Roman"/>
        </w:rPr>
        <w:instrText xml:space="preserve"> ADDIN ZOTERO_ITEM CSL_CITATION {"citationID":"Im24oq0U","properties":{"formattedCitation":"(Alexander et al., 2020; Carroll et al., 2021; Plassin et al., 2020)","plainCitation":"(Alexander et al., 2020; Carroll et al., 2021; Plassin et al., 2020)","noteIndex":0},"citationItems":[{"id":835,"uris":["http://zotero.org/users/8906743/items/HUQ5K7BY"],"itemData":{"id":835,"type":"article-journal","abstract":"Socio–environmental synthesis as a research approach contributes to broader sustainability policy and practice by reusing data from disparate disciplines in innovative ways. Synthesizing diverse data sources and types of evidence can help to better conceptualize, investigate and address increasingly complex socio–environmental problems. However, sharing qualitative data for re-use remains uncommon when compared to sharing quantitative data. We argue that qualitative data present untapped opportunities for sustainability science, and discuss practical pathways to facilitate and realize the benefits from sharing and reusing qualitative data. However, these opportunities and benefits are also hindered by practical, ethical and epistemological challenges. To address these challenges and accelerate qualitative data sharing, we outline enabling conditions and suggest actions for researchers, institutions, funders, data repository managers and publishers.","container-title":"Nature Sustainability","DOI":"10.1038/s41893-019-0434-8","ISSN":"2398-9629","issue":"2","journalAbbreviation":"Nat Sustain","language":"en","license":"2019 Springer Nature Limited","note":"number: 2\npublisher: Nature Publishing Group","page":"81-88","source":"www.nature.com","title":"Qualitative data sharing and synthesis for sustainability science","URL":"https://www.nature.com/articles/s41893-019-0434-8","volume":"3","author":[{"family":"Alexander","given":"Steven M."},{"family":"Jones","given":"Kristal"},{"family":"Bennett","given":"Nathan J."},{"family":"Budden","given":"Amber"},{"family":"Cox","given":"Michael"},{"family":"Crosas","given":"Mercè"},{"family":"Game","given":"Edward T."},{"family":"Geary","given":"Janis"},{"family":"Hardy","given":"R. Dean"},{"family":"Johnson","given":"Jay T."},{"family":"Karcher","given":"Sebastian"},{"family":"Motzer","given":"Nicole"},{"family":"Pittman","given":"Jeremy"},{"family":"Randell","given":"Heather"},{"family":"Silva","given":"Julie A."},{"family":"Silva","given":"Patricia Pinto","non-dropping-particle":"da"},{"family":"Strasser","given":"Carly"},{"family":"Strawhacker","given":"Colleen"},{"family":"Stuhl","given":"Andrew"},{"family":"Weber","given":"Nic"}],"accessed":{"date-parts":[["2022",10,26]]},"issued":{"date-parts":[["2020",2]]}}},{"id":315,"uris":["http://zotero.org/users/8906743/items/KHRNIL8U"],"itemData":{"id":315,"type":"article-journal","abstract":"As big data, open data, and open science advance to increase access to complex and large datasets for innovation, discovery, and decision-making, Indigenous Peoples’ rights to control and access their data within these data environments remain limited. Operationalizing the FAIR Principles for scientific data with the CARE Principles for Indigenous Data Governance enhances machine actionability and brings people and purpose to the fore to resolve Indigenous Peoples’ rights to and interests in their data across the data lifecycle.","container-title":"Scientific Data","DOI":"10.1038/s41597-021-00892-0","ISSN":"2052-4463","issue":"1","journalAbbreviation":"Sci Data","language":"en","license":"2021 The Author(s)","note":"number: 1\npublisher: Nature Publishing Group","page":"108","source":"www.nature.com","title":"Operationalizing the CARE and FAIR Principles for Indigenous data futures","URL":"https://www.nature.com/articles/s41597-021-00892-0","volume":"8","author":[{"family":"Carroll","given":"Stephanie Russo"},{"family":"Herczog","given":"Edit"},{"family":"Hudson","given":"Maui"},{"family":"Russell","given":"Keith"},{"family":"Stall","given":"Shelley"}],"accessed":{"date-parts":[["2022",8,30]]},"issued":{"date-parts":[["2021",4,16]]}}},{"id":653,"uris":["http://zotero.org/users/8906743/items/RN8WEA37"],"itemData":{"id":653,"type":"article-journal","abstract":"Integrative research on water resources requires a wide range of socio-environmental datasets to better understand human-water interactions and inform decision-making. However, in transboundary watersheds, integrating cross-disciplinary and multinational datasets is a daunting task due to the disparity of data sources and the inconsistencies in data format, content, resolution, and language. This paper introduces a socio-environmental geodatabase that transcends political and disciplinary boundaries in the Rio Grande/Río Bravo basin (RGB). The geodatabase aggregates 145 GIS data layers on five main themes: (i) Water &amp; Land Governance, (ii) Hydrology, (iii) Water Use &amp; Hydraulic Infrastructures, (iv) Socio-Economics, and (v) Biophysical Environment. Datasets were primarily collected from public open-access data sources, processed with ArcGIS, and documented through the FGCD metadata standard. By synthesizing a broad array of datasets and mapping public and private water governance, we expect to advance interdisciplinary research in the RGB, provide a replicable approach to dataset compilation for transboundary watersheds, and ultimately foster transboundary collaboration for sustainable resource management.","container-title":"Scientific Data","DOI":"10.1038/s41597-020-0410-1","ISSN":"2052-4463","issue":"1","journalAbbreviation":"Sci Data","language":"en","license":"2020 The Author(s)","note":"number: 1\npublisher: Nature Publishing Group","page":"80","source":"www.nature.com","title":"A socio-environmental geodatabase for integrative research in the transboundary Rio Grande/Río Bravo basin","URL":"https://www.nature.com/articles/s41597-020-0410-1","volume":"7","author":[{"family":"Plassin","given":"Sophie"},{"family":"Koch","given":"Jennifer"},{"family":"Paladino","given":"Stephanie"},{"family":"Friedman","given":"Jack R."},{"family":"Spencer","given":"Kyndra"},{"family":"Vaché","given":"Kellie B."}],"accessed":{"date-parts":[["2022",8,30]]},"issued":{"date-parts":[["2020",3,6]]}}}],"schema":"https://github.com/citation-style-language/schema/raw/master/csl-citation.json"} </w:instrText>
      </w:r>
      <w:r w:rsidRPr="00EF5356">
        <w:rPr>
          <w:rFonts w:ascii="Times New Roman" w:eastAsia="Aptos" w:hAnsi="Times New Roman"/>
        </w:rPr>
        <w:fldChar w:fldCharType="separate"/>
      </w:r>
      <w:r w:rsidRPr="00EF5356">
        <w:rPr>
          <w:rFonts w:ascii="Times New Roman" w:hAnsi="Times New Roman"/>
        </w:rPr>
        <w:t>(Alexander et al., 2020; Carroll et al., 2021; Plassin et al., 2020)</w:t>
      </w:r>
      <w:r w:rsidRPr="00EF5356">
        <w:rPr>
          <w:rFonts w:ascii="Times New Roman" w:eastAsia="Aptos" w:hAnsi="Times New Roman"/>
        </w:rPr>
        <w:fldChar w:fldCharType="end"/>
      </w:r>
      <w:r w:rsidRPr="006E292A">
        <w:rPr>
          <w:rFonts w:ascii="Times New Roman" w:eastAsia="Aptos" w:hAnsi="Times New Roman"/>
        </w:rPr>
        <w:t xml:space="preserve">. </w:t>
      </w:r>
      <w:r w:rsidR="008F79BB" w:rsidRPr="006E292A">
        <w:rPr>
          <w:rFonts w:ascii="Times New Roman" w:eastAsia="Aptos" w:hAnsi="Times New Roman"/>
        </w:rPr>
        <w:t xml:space="preserve">Also, </w:t>
      </w:r>
      <w:r w:rsidR="008F79BB">
        <w:rPr>
          <w:rFonts w:ascii="Times New Roman" w:eastAsia="Aptos" w:hAnsi="Times New Roman"/>
        </w:rPr>
        <w:t xml:space="preserve">without integration with agent-based models, </w:t>
      </w:r>
      <w:r w:rsidR="008F79BB" w:rsidRPr="006E292A">
        <w:rPr>
          <w:rFonts w:ascii="Times New Roman" w:eastAsia="Aptos" w:hAnsi="Times New Roman"/>
        </w:rPr>
        <w:t xml:space="preserve">a phenomenological model like FUTURES </w:t>
      </w:r>
      <w:r w:rsidR="008F79BB">
        <w:rPr>
          <w:rFonts w:ascii="Times New Roman" w:eastAsia="Aptos" w:hAnsi="Times New Roman"/>
        </w:rPr>
        <w:t>cannot</w:t>
      </w:r>
      <w:r w:rsidR="008F79BB" w:rsidRPr="006E292A">
        <w:rPr>
          <w:rFonts w:ascii="Times New Roman" w:eastAsia="Aptos" w:hAnsi="Times New Roman"/>
        </w:rPr>
        <w:t xml:space="preserve"> directly model the differences in urban stakeholder behavior</w:t>
      </w:r>
      <w:r w:rsidR="008F79BB">
        <w:rPr>
          <w:rFonts w:ascii="Times New Roman" w:eastAsia="Aptos" w:hAnsi="Times New Roman"/>
        </w:rPr>
        <w:t>, which</w:t>
      </w:r>
      <w:r w:rsidR="008F79BB" w:rsidRPr="006E292A">
        <w:rPr>
          <w:rFonts w:ascii="Times New Roman" w:eastAsia="Aptos" w:hAnsi="Times New Roman"/>
        </w:rPr>
        <w:t xml:space="preserve"> I documented in chapter three</w:t>
      </w:r>
      <w:r w:rsidR="008F79BB" w:rsidRPr="006E292A">
        <w:rPr>
          <w:rFonts w:ascii="Times New Roman" w:eastAsia="Aptos" w:hAnsi="Times New Roman"/>
          <w:bCs/>
          <w:color w:val="0D0D0D"/>
        </w:rPr>
        <w:t>. However, the results from FUTURE simulations show rapid expansion</w:t>
      </w:r>
      <w:r w:rsidR="008F79BB">
        <w:rPr>
          <w:rFonts w:ascii="Times New Roman" w:eastAsia="Aptos" w:hAnsi="Times New Roman"/>
          <w:bCs/>
          <w:color w:val="0D0D0D"/>
        </w:rPr>
        <w:t xml:space="preserve"> and governments in the study area need to pay particular attention to the expansion patterns to maximize the positives and limit the negative impacts on </w:t>
      </w:r>
      <w:r w:rsidR="008F79BB" w:rsidRPr="006E292A">
        <w:rPr>
          <w:rFonts w:ascii="Times New Roman" w:eastAsia="Aptos" w:hAnsi="Times New Roman"/>
          <w:bCs/>
          <w:color w:val="0D0D0D"/>
        </w:rPr>
        <w:t xml:space="preserve">people and the environment.  </w:t>
      </w:r>
    </w:p>
    <w:p w14:paraId="677F3085" w14:textId="77777777" w:rsidR="008F79BB" w:rsidRPr="00103457" w:rsidRDefault="008F79BB" w:rsidP="00410FBA">
      <w:pPr>
        <w:ind w:firstLine="360"/>
        <w:rPr>
          <w:rFonts w:ascii="Times New Roman" w:eastAsia="Aptos" w:hAnsi="Times New Roman"/>
          <w:bCs/>
          <w:color w:val="0D0D0D"/>
          <w:lang w:bidi="ar-SA"/>
          <w14:ligatures w14:val="standardContextual"/>
        </w:rPr>
      </w:pPr>
    </w:p>
    <w:p w14:paraId="31686922" w14:textId="1D308226" w:rsidR="00103457" w:rsidRPr="00DC2C6E" w:rsidRDefault="00103457" w:rsidP="002C60C3">
      <w:pPr>
        <w:pStyle w:val="Heading2"/>
        <w:rPr>
          <w:rFonts w:eastAsia="Aptos"/>
        </w:rPr>
      </w:pPr>
      <w:bookmarkStart w:id="183" w:name="_Toc172288770"/>
      <w:r w:rsidRPr="00DC2C6E">
        <w:rPr>
          <w:rFonts w:eastAsia="Aptos"/>
        </w:rPr>
        <w:t xml:space="preserve">Limitations and </w:t>
      </w:r>
      <w:r w:rsidR="00C93514">
        <w:rPr>
          <w:rFonts w:eastAsia="Aptos"/>
        </w:rPr>
        <w:t>P</w:t>
      </w:r>
      <w:r w:rsidR="005F2870">
        <w:rPr>
          <w:rFonts w:eastAsia="Aptos"/>
        </w:rPr>
        <w:t xml:space="preserve">ossible </w:t>
      </w:r>
      <w:r w:rsidR="00C93514">
        <w:rPr>
          <w:rFonts w:eastAsia="Aptos"/>
        </w:rPr>
        <w:t>D</w:t>
      </w:r>
      <w:r w:rsidR="005F2870">
        <w:rPr>
          <w:rFonts w:eastAsia="Aptos"/>
        </w:rPr>
        <w:t>irection</w:t>
      </w:r>
      <w:r w:rsidR="003E693A">
        <w:rPr>
          <w:rFonts w:eastAsia="Aptos"/>
        </w:rPr>
        <w:t>s</w:t>
      </w:r>
      <w:r w:rsidR="005F2870">
        <w:rPr>
          <w:rFonts w:eastAsia="Aptos"/>
        </w:rPr>
        <w:t xml:space="preserve"> for </w:t>
      </w:r>
      <w:r w:rsidR="00C93514">
        <w:rPr>
          <w:rFonts w:eastAsia="Aptos"/>
        </w:rPr>
        <w:t>F</w:t>
      </w:r>
      <w:r w:rsidRPr="00DC2C6E">
        <w:rPr>
          <w:rFonts w:eastAsia="Aptos"/>
        </w:rPr>
        <w:t xml:space="preserve">uture </w:t>
      </w:r>
      <w:r w:rsidR="00C93514">
        <w:rPr>
          <w:rFonts w:eastAsia="Aptos"/>
        </w:rPr>
        <w:t>W</w:t>
      </w:r>
      <w:r w:rsidRPr="00DC2C6E">
        <w:rPr>
          <w:rFonts w:eastAsia="Aptos"/>
        </w:rPr>
        <w:t>ork</w:t>
      </w:r>
      <w:bookmarkEnd w:id="183"/>
      <w:r w:rsidRPr="00DC2C6E">
        <w:rPr>
          <w:rFonts w:eastAsia="Aptos"/>
        </w:rPr>
        <w:t xml:space="preserve"> </w:t>
      </w:r>
    </w:p>
    <w:p w14:paraId="44D503CB" w14:textId="42195BDA" w:rsidR="00F30E08" w:rsidRDefault="008149C4" w:rsidP="00F30E08">
      <w:pPr>
        <w:ind w:firstLine="360"/>
        <w:rPr>
          <w:rFonts w:ascii="Times New Roman" w:hAnsi="Times New Roman"/>
        </w:rPr>
      </w:pPr>
      <w:r>
        <w:rPr>
          <w:rFonts w:eastAsia="Aptos"/>
          <w:lang w:bidi="ar-SA"/>
        </w:rPr>
        <w:t>I</w:t>
      </w:r>
      <w:r w:rsidR="00F30E08" w:rsidRPr="00DC2C6E">
        <w:rPr>
          <w:rFonts w:eastAsia="Aptos"/>
          <w:lang w:bidi="ar-SA"/>
        </w:rPr>
        <w:t xml:space="preserve"> developed</w:t>
      </w:r>
      <w:r w:rsidR="00F30E08" w:rsidRPr="001851A3">
        <w:rPr>
          <w:rFonts w:eastAsia="Aptos"/>
          <w:lang w:bidi="ar-SA"/>
        </w:rPr>
        <w:t xml:space="preserve"> historical impervious cover data from the Landsat archive</w:t>
      </w:r>
      <w:r w:rsidR="007D3F7B">
        <w:rPr>
          <w:rFonts w:eastAsia="Aptos"/>
          <w:lang w:bidi="ar-SA"/>
        </w:rPr>
        <w:t xml:space="preserve"> using</w:t>
      </w:r>
      <w:r w:rsidR="00F30E08" w:rsidRPr="001851A3">
        <w:rPr>
          <w:rFonts w:eastAsia="Aptos"/>
          <w:lang w:bidi="ar-SA"/>
        </w:rPr>
        <w:t xml:space="preserve"> Landsat 7 and 8 images from 2001 to 2020</w:t>
      </w:r>
      <w:r w:rsidR="00777ED5">
        <w:rPr>
          <w:rFonts w:eastAsia="Aptos"/>
          <w:lang w:bidi="ar-SA"/>
        </w:rPr>
        <w:t xml:space="preserve"> </w:t>
      </w:r>
      <w:r w:rsidR="00221469" w:rsidRPr="00096F30">
        <w:rPr>
          <w:rFonts w:ascii="Times New Roman" w:hAnsi="Times New Roman"/>
          <w:color w:val="000000"/>
          <w:shd w:val="clear" w:color="auto" w:fill="FFFFFF"/>
        </w:rPr>
        <w:fldChar w:fldCharType="begin"/>
      </w:r>
      <w:r w:rsidR="00221469" w:rsidRPr="00096F30">
        <w:rPr>
          <w:rFonts w:ascii="Times New Roman" w:hAnsi="Times New Roman"/>
          <w:color w:val="000000"/>
          <w:shd w:val="clear" w:color="auto" w:fill="FFFFFF"/>
        </w:rPr>
        <w:instrText xml:space="preserve"> ADDIN ZOTERO_ITEM CSL_CITATION {"citationID":"aVnQVqEN","properties":{"formattedCitation":"(Korah &amp; Wimberly, 2024a, 2024b)","plainCitation":"(Korah &amp; Wimberly, 2024a, 2024b)","noteIndex":0},"citationItems":[{"id":2032,"uris":["http://zotero.org/users/8906743/items/QJMXD7GI"],"itemData":{"id":2032,"type":"dataset","DOI":"10.6084/m9.figshare.24716481.v3","genre":"Dataset","publisher":"figshare","source":"figshare.com","title":"WADISC: Annual Impervious Surface Data for Ghana, Togo, Benin, and Nigeria from 2001 – 2020","URL":"https://doi.org/10.6084/m9.figshare.24716481.v3","author":[{"family":"Korah","given":"Andrews"},{"family":"Wimberly","given":"Michael"}],"issued":{"date-parts":[["2024"]]}}},{"id":2091,"uris":["http://zotero.org/users/8906743/items/ZYYWM79L"],"itemData":{"id":2091,"type":"article-journal","abstract":"Impervious surface data are increasingly important for research and planning. Despite the availability of global and local urban land cover maps, regional data are lacking in Africa. We generated annual 30 m impervious cover data from 2001–2020 for Ghana, Togo, Benin, and Nigeria using the Landsat archive. We used random forest to predict impervious cover using 11 spectral indices and applied pixel-level temporal segmentation with the LandTrendr algorithm. Processing with LandTrendr improved the accuracy of the random forest predictions, with higher predicted-observed r2 (0.81), and lower mean error (−0.03), mean absolute error (5.73%), and root mean squared error (9.93%). We classified pixels &gt;20% impervious as developed and &lt; = 20% impervious as undeveloped. This classification had 93% overall accuracy and similar producer’s (79%) and user’s (80%) accuracies for developed area. Our maps had higher accuracy and captured more developed areas than comparable global datasets. This is the first regionally calibrated 30 m resolution impervious dataset in West Africa, which can support research on drivers and impacts of urban expansion and planning for future growth.","container-title":"Scientific Data","DOI":"10.1038/s41597-024-03610-8","ISSN":"2052-4463","issue":"1","journalAbbreviation":"Sci Data","language":"en","license":"2024 The Author(s)","note":"publisher: Nature Publishing Group","page":"791","source":"www.nature.com","title":"Annual Impervious Surface Data from 2001–2020 for West African Countries: Ghana, Togo, Benin and Nigeria","title-short":"Annual Impervious Surface Data from 2001–2020 for West African Countries","URL":"https://www.nature.com/articles/s41597-024-03610-8","volume":"11","author":[{"family":"Korah","given":"Andrews"},{"family":"Wimberly","given":"Michael C."}],"accessed":{"date-parts":[["2024",7,18]]},"issued":{"date-parts":[["2024",7,18]]}}}],"schema":"https://github.com/citation-style-language/schema/raw/master/csl-citation.json"} </w:instrText>
      </w:r>
      <w:r w:rsidR="00221469" w:rsidRPr="00096F30">
        <w:rPr>
          <w:rFonts w:ascii="Times New Roman" w:hAnsi="Times New Roman"/>
          <w:color w:val="000000"/>
          <w:shd w:val="clear" w:color="auto" w:fill="FFFFFF"/>
        </w:rPr>
        <w:fldChar w:fldCharType="separate"/>
      </w:r>
      <w:r w:rsidR="00221469" w:rsidRPr="00096F30">
        <w:rPr>
          <w:rFonts w:ascii="Times New Roman" w:hAnsi="Times New Roman"/>
        </w:rPr>
        <w:t>(Korah &amp; Wimberly, 2024a, 2024b)</w:t>
      </w:r>
      <w:r w:rsidR="00221469" w:rsidRPr="00096F30">
        <w:rPr>
          <w:rFonts w:ascii="Times New Roman" w:hAnsi="Times New Roman"/>
          <w:color w:val="000000"/>
          <w:shd w:val="clear" w:color="auto" w:fill="FFFFFF"/>
        </w:rPr>
        <w:fldChar w:fldCharType="end"/>
      </w:r>
      <w:r w:rsidR="00F30E08" w:rsidRPr="001851A3">
        <w:rPr>
          <w:rFonts w:eastAsia="Aptos"/>
          <w:lang w:bidi="ar-SA"/>
        </w:rPr>
        <w:t xml:space="preserve">. </w:t>
      </w:r>
      <w:r w:rsidR="00F30E08" w:rsidRPr="001851A3">
        <w:rPr>
          <w:rFonts w:ascii="Times New Roman" w:hAnsi="Times New Roman"/>
        </w:rPr>
        <w:t xml:space="preserve">Landsat 7 data collected after May 31, 2003, have data gaps resulting from the scan line corrector (SLC) failure. Although most SLC gaps are filled in the process of generating the annual temporal metrics using LandTrendr, the process sometimes results in different values in the SLC gaps, particularly between 2003 and 2013 when only Landsat 7 images are </w:t>
      </w:r>
      <w:r w:rsidR="00F30E08" w:rsidRPr="00AF68EE">
        <w:rPr>
          <w:rFonts w:ascii="Times New Roman" w:hAnsi="Times New Roman"/>
        </w:rPr>
        <w:t>available</w:t>
      </w:r>
      <w:r w:rsidR="00F30E08">
        <w:rPr>
          <w:rFonts w:ascii="Times New Roman" w:hAnsi="Times New Roman"/>
        </w:rPr>
        <w:t xml:space="preserve">. Also, the WADISC classification allowed only positive changes, possibly omitting negative </w:t>
      </w:r>
      <w:r w:rsidR="00A20E8B">
        <w:rPr>
          <w:rFonts w:ascii="Times New Roman" w:hAnsi="Times New Roman"/>
        </w:rPr>
        <w:t xml:space="preserve">changes </w:t>
      </w:r>
      <w:r w:rsidR="00F30E08">
        <w:rPr>
          <w:rFonts w:ascii="Times New Roman" w:hAnsi="Times New Roman"/>
        </w:rPr>
        <w:t xml:space="preserve">in submerging coastal areas and declining urban centers. However, the impervious cover mapping is consistent over time with high overall accuracy. </w:t>
      </w:r>
      <w:r>
        <w:rPr>
          <w:rFonts w:ascii="Times New Roman" w:hAnsi="Times New Roman"/>
        </w:rPr>
        <w:t>The</w:t>
      </w:r>
      <w:r w:rsidR="00F30E08">
        <w:rPr>
          <w:rFonts w:ascii="Times New Roman" w:hAnsi="Times New Roman"/>
        </w:rPr>
        <w:t xml:space="preserve"> data covered four rapidly urbanizing West African countries </w:t>
      </w:r>
      <w:r w:rsidR="00A20E8B">
        <w:rPr>
          <w:rFonts w:ascii="Times New Roman" w:hAnsi="Times New Roman"/>
        </w:rPr>
        <w:t>and</w:t>
      </w:r>
      <w:r w:rsidR="00F30E08">
        <w:rPr>
          <w:rFonts w:ascii="Times New Roman" w:hAnsi="Times New Roman"/>
        </w:rPr>
        <w:t xml:space="preserve"> captured only horizontal expansion and possibly underestimated urban extents in locations with vertical expansion. </w:t>
      </w:r>
    </w:p>
    <w:p w14:paraId="3AFF5757" w14:textId="6F6D1052" w:rsidR="00F30E08" w:rsidRDefault="00F30E08" w:rsidP="00F30E08">
      <w:pPr>
        <w:ind w:firstLine="360"/>
        <w:rPr>
          <w:rFonts w:ascii="Times New Roman" w:hAnsi="Times New Roman"/>
        </w:rPr>
      </w:pPr>
      <w:r>
        <w:rPr>
          <w:rFonts w:ascii="Times New Roman" w:hAnsi="Times New Roman"/>
        </w:rPr>
        <w:t xml:space="preserve">The limitations of WADISC, as highlighted in the preceding paragraph, do not </w:t>
      </w:r>
      <w:r w:rsidR="007D3F7B">
        <w:rPr>
          <w:rFonts w:ascii="Times New Roman" w:hAnsi="Times New Roman"/>
        </w:rPr>
        <w:t xml:space="preserve">diminish </w:t>
      </w:r>
      <w:r>
        <w:rPr>
          <w:rFonts w:ascii="Times New Roman" w:hAnsi="Times New Roman"/>
        </w:rPr>
        <w:t xml:space="preserve">the dissertation's research contributions. </w:t>
      </w:r>
      <w:r w:rsidR="007D3F7B">
        <w:rPr>
          <w:rFonts w:ascii="Times New Roman" w:hAnsi="Times New Roman"/>
        </w:rPr>
        <w:t xml:space="preserve">WADISC </w:t>
      </w:r>
      <w:r>
        <w:rPr>
          <w:rFonts w:ascii="Times New Roman" w:hAnsi="Times New Roman"/>
        </w:rPr>
        <w:t>is the first regionally optimized</w:t>
      </w:r>
      <w:r w:rsidR="008149C4">
        <w:rPr>
          <w:rFonts w:ascii="Times New Roman" w:hAnsi="Times New Roman"/>
        </w:rPr>
        <w:t xml:space="preserve"> 30-m spatial </w:t>
      </w:r>
      <w:r w:rsidR="003413BA">
        <w:rPr>
          <w:rFonts w:ascii="Times New Roman" w:hAnsi="Times New Roman"/>
        </w:rPr>
        <w:t>resolution</w:t>
      </w:r>
      <w:r>
        <w:rPr>
          <w:rFonts w:ascii="Times New Roman" w:hAnsi="Times New Roman"/>
        </w:rPr>
        <w:t xml:space="preserve"> impervious cover data in West Africa, with higher accuracy than </w:t>
      </w:r>
      <w:r w:rsidRPr="00F30E08">
        <w:rPr>
          <w:rFonts w:ascii="Times New Roman" w:hAnsi="Times New Roman"/>
        </w:rPr>
        <w:t xml:space="preserve">global datasets such </w:t>
      </w:r>
      <w:r w:rsidRPr="00F30E08">
        <w:rPr>
          <w:rFonts w:ascii="Times New Roman" w:hAnsi="Times New Roman"/>
        </w:rPr>
        <w:lastRenderedPageBreak/>
        <w:t xml:space="preserve">as global artificial impervious area (GAIA) and global impervious surface area </w:t>
      </w:r>
      <w:r w:rsidRPr="00F30E08">
        <w:rPr>
          <w:rFonts w:ascii="Times New Roman" w:hAnsi="Times New Roman"/>
        </w:rPr>
        <w:fldChar w:fldCharType="begin"/>
      </w:r>
      <w:r w:rsidRPr="00F30E08">
        <w:rPr>
          <w:rFonts w:ascii="Times New Roman" w:hAnsi="Times New Roman"/>
        </w:rPr>
        <w:instrText xml:space="preserve"> ADDIN ZOTERO_ITEM CSL_CITATION {"citationID":"mxuvXmcD","properties":{"formattedCitation":"(A. Korah &amp; Wimberly, 2024)","plainCitation":"(A. Korah &amp; Wimberly, 2024)","noteIndex":0},"citationItems":[{"id":2032,"uris":["http://zotero.org/users/8906743/items/QJMXD7GI"],"itemData":{"id":2032,"type":"dataset","DOI":"10.6084/m9.figshare.24716481.v3","genre":"Dataset","publisher":"figshare","source":"figshare.com","title":"WADISC: Annual Impervious Surface Data for Ghana, Togo, Benin, and Nigeria from 2001 – 2020","URL":"https://doi.org/10.6084/m9.figshare.24716481.v3","author":[{"family":"Korah","given":"Andrews"},{"family":"Wimberly","given":"Michael"}],"issued":{"date-parts":[["2024"]]}}}],"schema":"https://github.com/citation-style-language/schema/raw/master/csl-citation.json"} </w:instrText>
      </w:r>
      <w:r w:rsidRPr="00F30E08">
        <w:rPr>
          <w:rFonts w:ascii="Times New Roman" w:hAnsi="Times New Roman"/>
        </w:rPr>
        <w:fldChar w:fldCharType="separate"/>
      </w:r>
      <w:r w:rsidRPr="00F30E08">
        <w:rPr>
          <w:rFonts w:ascii="Times New Roman" w:hAnsi="Times New Roman"/>
        </w:rPr>
        <w:t>(Korah &amp; Wimberly, 2024)</w:t>
      </w:r>
      <w:r w:rsidRPr="00F30E08">
        <w:rPr>
          <w:rFonts w:ascii="Times New Roman" w:hAnsi="Times New Roman"/>
        </w:rPr>
        <w:fldChar w:fldCharType="end"/>
      </w:r>
      <w:r w:rsidRPr="00F30E08">
        <w:rPr>
          <w:rFonts w:ascii="Times New Roman" w:hAnsi="Times New Roman"/>
        </w:rPr>
        <w:t>. It</w:t>
      </w:r>
      <w:r>
        <w:rPr>
          <w:rFonts w:ascii="Times New Roman" w:hAnsi="Times New Roman"/>
        </w:rPr>
        <w:t xml:space="preserve"> </w:t>
      </w:r>
      <w:r w:rsidR="007D3F7B">
        <w:rPr>
          <w:rFonts w:ascii="Times New Roman" w:hAnsi="Times New Roman"/>
        </w:rPr>
        <w:t xml:space="preserve">allowed </w:t>
      </w:r>
      <w:r>
        <w:rPr>
          <w:rFonts w:ascii="Times New Roman" w:hAnsi="Times New Roman"/>
        </w:rPr>
        <w:t>me to compare the urban expansion dynamics for the entire national and regional urban systems in Ghana, Togo, Benin, and Nigeria</w:t>
      </w:r>
      <w:r w:rsidR="003413BA">
        <w:rPr>
          <w:rFonts w:ascii="Times New Roman" w:hAnsi="Times New Roman"/>
        </w:rPr>
        <w:t xml:space="preserve"> from 2001 -2020</w:t>
      </w:r>
      <w:r>
        <w:rPr>
          <w:rFonts w:ascii="Times New Roman" w:hAnsi="Times New Roman"/>
        </w:rPr>
        <w:t xml:space="preserve"> in chapter</w:t>
      </w:r>
      <w:r w:rsidR="00BF3346">
        <w:rPr>
          <w:rFonts w:ascii="Times New Roman" w:hAnsi="Times New Roman"/>
        </w:rPr>
        <w:t xml:space="preserve"> two</w:t>
      </w:r>
      <w:r>
        <w:rPr>
          <w:rFonts w:ascii="Times New Roman" w:hAnsi="Times New Roman"/>
        </w:rPr>
        <w:t xml:space="preserve">. Combining WADISC with qualitative data in chapter three helped </w:t>
      </w:r>
      <w:r w:rsidR="003413BA">
        <w:rPr>
          <w:rFonts w:ascii="Times New Roman" w:hAnsi="Times New Roman"/>
        </w:rPr>
        <w:t xml:space="preserve">me to </w:t>
      </w:r>
      <w:r>
        <w:rPr>
          <w:rFonts w:ascii="Times New Roman" w:hAnsi="Times New Roman"/>
        </w:rPr>
        <w:t>explain the causes of expansion in primary compared with secondary cities</w:t>
      </w:r>
      <w:r w:rsidR="007D3F7B">
        <w:rPr>
          <w:rFonts w:ascii="Times New Roman" w:hAnsi="Times New Roman"/>
        </w:rPr>
        <w:t>.</w:t>
      </w:r>
      <w:r>
        <w:rPr>
          <w:rFonts w:ascii="Times New Roman" w:hAnsi="Times New Roman"/>
        </w:rPr>
        <w:t xml:space="preserve"> </w:t>
      </w:r>
      <w:r w:rsidR="007D3F7B">
        <w:rPr>
          <w:rFonts w:ascii="Times New Roman" w:hAnsi="Times New Roman"/>
        </w:rPr>
        <w:t>S</w:t>
      </w:r>
      <w:r>
        <w:rPr>
          <w:rFonts w:ascii="Times New Roman" w:hAnsi="Times New Roman"/>
        </w:rPr>
        <w:t xml:space="preserve">uch a comparative understanding of socio-economic and cultural factors influencing infill and sprawl expansion in different-sized cities is often lacking in previous studies. WADISC was further used in chapter four to calibrate and validate the first application of FUTURES urban expansion simulation in West Africa, offering opportunities for national and regional level decision-making and improving </w:t>
      </w:r>
      <w:r w:rsidR="00E65C9A">
        <w:rPr>
          <w:rFonts w:ascii="Times New Roman" w:hAnsi="Times New Roman"/>
        </w:rPr>
        <w:t xml:space="preserve">the </w:t>
      </w:r>
      <w:r>
        <w:rPr>
          <w:rFonts w:ascii="Times New Roman" w:hAnsi="Times New Roman"/>
        </w:rPr>
        <w:t xml:space="preserve">models' applicability over multiple scales. </w:t>
      </w:r>
    </w:p>
    <w:p w14:paraId="597C1F46" w14:textId="0683546F" w:rsidR="005A41EC" w:rsidRDefault="00F30E08" w:rsidP="00F30E08">
      <w:pPr>
        <w:ind w:firstLine="360"/>
        <w:rPr>
          <w:rFonts w:ascii="Times New Roman" w:hAnsi="Times New Roman"/>
        </w:rPr>
      </w:pPr>
      <w:r w:rsidRPr="00F30E08">
        <w:rPr>
          <w:rFonts w:ascii="Times New Roman" w:hAnsi="Times New Roman"/>
        </w:rPr>
        <w:t xml:space="preserve">I have provided open access to the code and data used to generate WADISC </w:t>
      </w:r>
      <w:r w:rsidR="00221469" w:rsidRPr="00096F30">
        <w:rPr>
          <w:rFonts w:ascii="Times New Roman" w:hAnsi="Times New Roman"/>
          <w:color w:val="000000"/>
          <w:shd w:val="clear" w:color="auto" w:fill="FFFFFF"/>
        </w:rPr>
        <w:fldChar w:fldCharType="begin"/>
      </w:r>
      <w:r w:rsidR="00221469" w:rsidRPr="00096F30">
        <w:rPr>
          <w:rFonts w:ascii="Times New Roman" w:hAnsi="Times New Roman"/>
          <w:color w:val="000000"/>
          <w:shd w:val="clear" w:color="auto" w:fill="FFFFFF"/>
        </w:rPr>
        <w:instrText xml:space="preserve"> ADDIN ZOTERO_ITEM CSL_CITATION {"citationID":"aVnQVqEN","properties":{"formattedCitation":"(Korah &amp; Wimberly, 2024a, 2024b)","plainCitation":"(Korah &amp; Wimberly, 2024a, 2024b)","noteIndex":0},"citationItems":[{"id":2032,"uris":["http://zotero.org/users/8906743/items/QJMXD7GI"],"itemData":{"id":2032,"type":"dataset","DOI":"10.6084/m9.figshare.24716481.v3","genre":"Dataset","publisher":"figshare","source":"figshare.com","title":"WADISC: Annual Impervious Surface Data for Ghana, Togo, Benin, and Nigeria from 2001 – 2020","URL":"https://doi.org/10.6084/m9.figshare.24716481.v3","author":[{"family":"Korah","given":"Andrews"},{"family":"Wimberly","given":"Michael"}],"issued":{"date-parts":[["2024"]]}}},{"id":2091,"uris":["http://zotero.org/users/8906743/items/ZYYWM79L"],"itemData":{"id":2091,"type":"article-journal","abstract":"Impervious surface data are increasingly important for research and planning. Despite the availability of global and local urban land cover maps, regional data are lacking in Africa. We generated annual 30 m impervious cover data from 2001–2020 for Ghana, Togo, Benin, and Nigeria using the Landsat archive. We used random forest to predict impervious cover using 11 spectral indices and applied pixel-level temporal segmentation with the LandTrendr algorithm. Processing with LandTrendr improved the accuracy of the random forest predictions, with higher predicted-observed r2 (0.81), and lower mean error (−0.03), mean absolute error (5.73%), and root mean squared error (9.93%). We classified pixels &gt;20% impervious as developed and &lt; = 20% impervious as undeveloped. This classification had 93% overall accuracy and similar producer’s (79%) and user’s (80%) accuracies for developed area. Our maps had higher accuracy and captured more developed areas than comparable global datasets. This is the first regionally calibrated 30 m resolution impervious dataset in West Africa, which can support research on drivers and impacts of urban expansion and planning for future growth.","container-title":"Scientific Data","DOI":"10.1038/s41597-024-03610-8","ISSN":"2052-4463","issue":"1","journalAbbreviation":"Sci Data","language":"en","license":"2024 The Author(s)","note":"publisher: Nature Publishing Group","page":"791","source":"www.nature.com","title":"Annual Impervious Surface Data from 2001–2020 for West African Countries: Ghana, Togo, Benin and Nigeria","title-short":"Annual Impervious Surface Data from 2001–2020 for West African Countries","URL":"https://www.nature.com/articles/s41597-024-03610-8","volume":"11","author":[{"family":"Korah","given":"Andrews"},{"family":"Wimberly","given":"Michael C."}],"accessed":{"date-parts":[["2024",7,18]]},"issued":{"date-parts":[["2024",7,18]]}}}],"schema":"https://github.com/citation-style-language/schema/raw/master/csl-citation.json"} </w:instrText>
      </w:r>
      <w:r w:rsidR="00221469" w:rsidRPr="00096F30">
        <w:rPr>
          <w:rFonts w:ascii="Times New Roman" w:hAnsi="Times New Roman"/>
          <w:color w:val="000000"/>
          <w:shd w:val="clear" w:color="auto" w:fill="FFFFFF"/>
        </w:rPr>
        <w:fldChar w:fldCharType="separate"/>
      </w:r>
      <w:r w:rsidR="00221469" w:rsidRPr="00096F30">
        <w:rPr>
          <w:rFonts w:ascii="Times New Roman" w:hAnsi="Times New Roman"/>
        </w:rPr>
        <w:t>(Korah &amp; Wimberly, 2024a, 2024b)</w:t>
      </w:r>
      <w:r w:rsidR="00221469" w:rsidRPr="00096F30">
        <w:rPr>
          <w:rFonts w:ascii="Times New Roman" w:hAnsi="Times New Roman"/>
          <w:color w:val="000000"/>
          <w:shd w:val="clear" w:color="auto" w:fill="FFFFFF"/>
        </w:rPr>
        <w:fldChar w:fldCharType="end"/>
      </w:r>
      <w:r w:rsidR="00221469" w:rsidRPr="00096F30">
        <w:rPr>
          <w:rFonts w:ascii="Times New Roman" w:hAnsi="Times New Roman"/>
          <w:color w:val="000000"/>
          <w:shd w:val="clear" w:color="auto" w:fill="FFFFFF"/>
        </w:rPr>
        <w:t>.</w:t>
      </w:r>
      <w:r>
        <w:rPr>
          <w:rFonts w:ascii="Times New Roman" w:hAnsi="Times New Roman"/>
        </w:rPr>
        <w:t xml:space="preserve"> Future studies can use the methods and processes in this research to extend the impervious cover data to other countries and regions in Africa. Some studies can improve</w:t>
      </w:r>
      <w:r w:rsidR="00753439">
        <w:rPr>
          <w:rFonts w:ascii="Times New Roman" w:hAnsi="Times New Roman"/>
        </w:rPr>
        <w:t xml:space="preserve"> </w:t>
      </w:r>
      <w:r>
        <w:rPr>
          <w:rFonts w:ascii="Times New Roman" w:hAnsi="Times New Roman"/>
        </w:rPr>
        <w:t xml:space="preserve">the impervious cover data </w:t>
      </w:r>
      <w:r w:rsidR="00FC0E38">
        <w:rPr>
          <w:rFonts w:ascii="Times New Roman" w:hAnsi="Times New Roman"/>
        </w:rPr>
        <w:t xml:space="preserve">quality </w:t>
      </w:r>
      <w:r w:rsidR="00D51633">
        <w:rPr>
          <w:rFonts w:ascii="Times New Roman" w:hAnsi="Times New Roman"/>
        </w:rPr>
        <w:t xml:space="preserve">by correcting the few locations </w:t>
      </w:r>
      <w:r w:rsidR="000D2EB8">
        <w:rPr>
          <w:rFonts w:ascii="Times New Roman" w:hAnsi="Times New Roman"/>
        </w:rPr>
        <w:t>with noticeable effects of Landsat 7 SLC</w:t>
      </w:r>
      <w:r w:rsidR="00BC4ACE">
        <w:rPr>
          <w:rFonts w:ascii="Times New Roman" w:hAnsi="Times New Roman"/>
        </w:rPr>
        <w:t xml:space="preserve"> off</w:t>
      </w:r>
      <w:r w:rsidR="000D2EB8">
        <w:rPr>
          <w:rFonts w:ascii="Times New Roman" w:hAnsi="Times New Roman"/>
        </w:rPr>
        <w:t xml:space="preserve"> or</w:t>
      </w:r>
      <w:r>
        <w:rPr>
          <w:rFonts w:ascii="Times New Roman" w:hAnsi="Times New Roman"/>
        </w:rPr>
        <w:t xml:space="preserve"> fusion with </w:t>
      </w:r>
      <w:r w:rsidR="00FD2495">
        <w:rPr>
          <w:rFonts w:ascii="Times New Roman" w:hAnsi="Times New Roman"/>
        </w:rPr>
        <w:t>light detection and ranging (</w:t>
      </w:r>
      <w:r>
        <w:rPr>
          <w:rFonts w:ascii="Times New Roman" w:hAnsi="Times New Roman"/>
        </w:rPr>
        <w:t>Li</w:t>
      </w:r>
      <w:r w:rsidR="00E65C9A">
        <w:rPr>
          <w:rFonts w:ascii="Times New Roman" w:hAnsi="Times New Roman"/>
        </w:rPr>
        <w:t>DAR</w:t>
      </w:r>
      <w:r w:rsidR="00FD2495">
        <w:rPr>
          <w:rFonts w:ascii="Times New Roman" w:hAnsi="Times New Roman"/>
        </w:rPr>
        <w:t>)</w:t>
      </w:r>
      <w:r w:rsidR="00B84A93">
        <w:rPr>
          <w:rFonts w:ascii="Times New Roman" w:hAnsi="Times New Roman"/>
        </w:rPr>
        <w:t xml:space="preserve">, </w:t>
      </w:r>
      <w:r w:rsidR="00B72A70">
        <w:rPr>
          <w:rFonts w:ascii="Times New Roman" w:hAnsi="Times New Roman"/>
        </w:rPr>
        <w:t xml:space="preserve">synthetic aperture </w:t>
      </w:r>
      <w:r w:rsidR="00A740DF">
        <w:rPr>
          <w:rFonts w:ascii="Times New Roman" w:hAnsi="Times New Roman"/>
        </w:rPr>
        <w:t>radar (</w:t>
      </w:r>
      <w:r w:rsidR="00B84A93">
        <w:rPr>
          <w:rFonts w:ascii="Times New Roman" w:hAnsi="Times New Roman"/>
        </w:rPr>
        <w:t>SAR</w:t>
      </w:r>
      <w:r w:rsidR="00A740DF">
        <w:rPr>
          <w:rFonts w:ascii="Times New Roman" w:hAnsi="Times New Roman"/>
        </w:rPr>
        <w:t>)</w:t>
      </w:r>
      <w:r w:rsidR="00280A79">
        <w:rPr>
          <w:rFonts w:ascii="Times New Roman" w:hAnsi="Times New Roman"/>
        </w:rPr>
        <w:t>,</w:t>
      </w:r>
      <w:r w:rsidR="00B84A93">
        <w:rPr>
          <w:rFonts w:ascii="Times New Roman" w:hAnsi="Times New Roman"/>
        </w:rPr>
        <w:t xml:space="preserve"> </w:t>
      </w:r>
      <w:r w:rsidR="00E446F8">
        <w:rPr>
          <w:rFonts w:ascii="Times New Roman" w:hAnsi="Times New Roman"/>
        </w:rPr>
        <w:t xml:space="preserve">Google Earth </w:t>
      </w:r>
      <w:r w:rsidR="005A2909">
        <w:rPr>
          <w:rFonts w:ascii="Times New Roman" w:hAnsi="Times New Roman"/>
        </w:rPr>
        <w:t xml:space="preserve">3D, </w:t>
      </w:r>
      <w:r w:rsidR="00BB39B0">
        <w:rPr>
          <w:rFonts w:ascii="Times New Roman" w:hAnsi="Times New Roman"/>
        </w:rPr>
        <w:t xml:space="preserve">and </w:t>
      </w:r>
      <w:r w:rsidR="005A2909">
        <w:rPr>
          <w:rFonts w:ascii="Times New Roman" w:hAnsi="Times New Roman"/>
        </w:rPr>
        <w:t>OpenStreetMap 3D</w:t>
      </w:r>
      <w:r>
        <w:rPr>
          <w:rFonts w:ascii="Times New Roman" w:hAnsi="Times New Roman"/>
        </w:rPr>
        <w:t xml:space="preserve"> to capture vertical expansion. </w:t>
      </w:r>
      <w:r w:rsidR="00791D02">
        <w:rPr>
          <w:rFonts w:ascii="Times New Roman" w:hAnsi="Times New Roman"/>
        </w:rPr>
        <w:t>U</w:t>
      </w:r>
      <w:r w:rsidR="007C7100">
        <w:rPr>
          <w:rFonts w:ascii="Times New Roman" w:hAnsi="Times New Roman"/>
        </w:rPr>
        <w:t>rban impervious</w:t>
      </w:r>
      <w:r w:rsidR="00A23502">
        <w:rPr>
          <w:rFonts w:ascii="Times New Roman" w:hAnsi="Times New Roman"/>
        </w:rPr>
        <w:t xml:space="preserve"> </w:t>
      </w:r>
      <w:r w:rsidR="00777548">
        <w:rPr>
          <w:rFonts w:ascii="Times New Roman" w:hAnsi="Times New Roman"/>
        </w:rPr>
        <w:t xml:space="preserve">surface </w:t>
      </w:r>
      <w:r w:rsidR="00A23502">
        <w:rPr>
          <w:rFonts w:ascii="Times New Roman" w:hAnsi="Times New Roman"/>
        </w:rPr>
        <w:t xml:space="preserve">cover </w:t>
      </w:r>
      <w:r w:rsidR="00777548">
        <w:rPr>
          <w:rFonts w:ascii="Times New Roman" w:hAnsi="Times New Roman"/>
        </w:rPr>
        <w:t>consists of</w:t>
      </w:r>
      <w:r w:rsidR="00415173">
        <w:rPr>
          <w:rFonts w:ascii="Times New Roman" w:hAnsi="Times New Roman"/>
        </w:rPr>
        <w:t xml:space="preserve"> diverse neighborhoods</w:t>
      </w:r>
      <w:r w:rsidR="00B7425B">
        <w:rPr>
          <w:rFonts w:ascii="Times New Roman" w:hAnsi="Times New Roman"/>
        </w:rPr>
        <w:t xml:space="preserve"> (</w:t>
      </w:r>
      <w:r w:rsidR="00F32A94">
        <w:rPr>
          <w:rFonts w:ascii="Times New Roman" w:hAnsi="Times New Roman"/>
        </w:rPr>
        <w:t xml:space="preserve">e.g., </w:t>
      </w:r>
      <w:r w:rsidR="00B7425B">
        <w:rPr>
          <w:rFonts w:ascii="Times New Roman" w:hAnsi="Times New Roman"/>
        </w:rPr>
        <w:t xml:space="preserve">formal and informal, planned and </w:t>
      </w:r>
      <w:r w:rsidR="00F32A94">
        <w:rPr>
          <w:rFonts w:ascii="Times New Roman" w:hAnsi="Times New Roman"/>
        </w:rPr>
        <w:t>unplanned</w:t>
      </w:r>
      <w:r w:rsidR="002A54D1">
        <w:rPr>
          <w:rFonts w:ascii="Times New Roman" w:hAnsi="Times New Roman"/>
        </w:rPr>
        <w:t>, gated and un</w:t>
      </w:r>
      <w:r w:rsidR="0086610E">
        <w:rPr>
          <w:rFonts w:ascii="Times New Roman" w:hAnsi="Times New Roman"/>
        </w:rPr>
        <w:t>gated communities)</w:t>
      </w:r>
      <w:r w:rsidR="00415173">
        <w:rPr>
          <w:rFonts w:ascii="Times New Roman" w:hAnsi="Times New Roman"/>
        </w:rPr>
        <w:t xml:space="preserve"> and </w:t>
      </w:r>
      <w:r w:rsidR="00394BBC">
        <w:rPr>
          <w:rFonts w:ascii="Times New Roman" w:hAnsi="Times New Roman"/>
        </w:rPr>
        <w:t xml:space="preserve">multiple </w:t>
      </w:r>
      <w:r w:rsidR="001B1FE8">
        <w:rPr>
          <w:rFonts w:ascii="Times New Roman" w:hAnsi="Times New Roman"/>
        </w:rPr>
        <w:t>land uses</w:t>
      </w:r>
      <w:r w:rsidR="0086610E">
        <w:rPr>
          <w:rFonts w:ascii="Times New Roman" w:hAnsi="Times New Roman"/>
        </w:rPr>
        <w:t xml:space="preserve"> (e.g., residential, </w:t>
      </w:r>
      <w:r w:rsidR="00E94818">
        <w:rPr>
          <w:rFonts w:ascii="Times New Roman" w:hAnsi="Times New Roman"/>
        </w:rPr>
        <w:t>commercial, educational, and industrial)</w:t>
      </w:r>
      <w:r w:rsidR="002B338D">
        <w:rPr>
          <w:rFonts w:ascii="Times New Roman" w:hAnsi="Times New Roman"/>
        </w:rPr>
        <w:t xml:space="preserve"> that need to be consistently </w:t>
      </w:r>
      <w:r w:rsidR="004D55C1">
        <w:rPr>
          <w:rFonts w:ascii="Times New Roman" w:hAnsi="Times New Roman"/>
        </w:rPr>
        <w:t xml:space="preserve">mapped across cities. </w:t>
      </w:r>
      <w:r w:rsidR="00C55EB0">
        <w:rPr>
          <w:rFonts w:ascii="Times New Roman" w:hAnsi="Times New Roman"/>
        </w:rPr>
        <w:t xml:space="preserve">Also, </w:t>
      </w:r>
      <w:r w:rsidR="003650D4">
        <w:rPr>
          <w:rFonts w:ascii="Times New Roman" w:hAnsi="Times New Roman"/>
        </w:rPr>
        <w:t>cities</w:t>
      </w:r>
      <w:r w:rsidR="00C55EB0">
        <w:rPr>
          <w:rFonts w:ascii="Times New Roman" w:hAnsi="Times New Roman"/>
        </w:rPr>
        <w:t xml:space="preserve"> </w:t>
      </w:r>
      <w:r w:rsidR="002D7DD9">
        <w:rPr>
          <w:rFonts w:ascii="Times New Roman" w:hAnsi="Times New Roman"/>
        </w:rPr>
        <w:t>have</w:t>
      </w:r>
      <w:r w:rsidR="00C252CA">
        <w:rPr>
          <w:rFonts w:ascii="Times New Roman" w:hAnsi="Times New Roman"/>
        </w:rPr>
        <w:t xml:space="preserve"> heterogeneous</w:t>
      </w:r>
      <w:r w:rsidR="002D7DD9">
        <w:rPr>
          <w:rFonts w:ascii="Times New Roman" w:hAnsi="Times New Roman"/>
        </w:rPr>
        <w:t xml:space="preserve"> </w:t>
      </w:r>
      <w:r w:rsidR="003650D4">
        <w:rPr>
          <w:rFonts w:ascii="Times New Roman" w:hAnsi="Times New Roman"/>
        </w:rPr>
        <w:t>land cover</w:t>
      </w:r>
      <w:r w:rsidR="00394BBC">
        <w:rPr>
          <w:rFonts w:ascii="Times New Roman" w:hAnsi="Times New Roman"/>
        </w:rPr>
        <w:t>, including</w:t>
      </w:r>
      <w:r w:rsidR="002D7DD9">
        <w:rPr>
          <w:rFonts w:ascii="Times New Roman" w:hAnsi="Times New Roman"/>
        </w:rPr>
        <w:t xml:space="preserve"> </w:t>
      </w:r>
      <w:r w:rsidR="00AB6678">
        <w:rPr>
          <w:rFonts w:ascii="Times New Roman" w:hAnsi="Times New Roman"/>
        </w:rPr>
        <w:t>forest, cropland, water</w:t>
      </w:r>
      <w:r w:rsidR="004D55C1">
        <w:rPr>
          <w:rFonts w:ascii="Times New Roman" w:hAnsi="Times New Roman"/>
        </w:rPr>
        <w:t>,</w:t>
      </w:r>
      <w:r w:rsidR="00C252CA">
        <w:rPr>
          <w:rFonts w:ascii="Times New Roman" w:hAnsi="Times New Roman"/>
        </w:rPr>
        <w:t xml:space="preserve"> </w:t>
      </w:r>
      <w:r w:rsidR="00394BBC">
        <w:rPr>
          <w:rFonts w:ascii="Times New Roman" w:hAnsi="Times New Roman"/>
        </w:rPr>
        <w:t xml:space="preserve">and </w:t>
      </w:r>
      <w:r w:rsidR="003A1951">
        <w:rPr>
          <w:rFonts w:ascii="Times New Roman" w:hAnsi="Times New Roman"/>
        </w:rPr>
        <w:t>soil</w:t>
      </w:r>
      <w:r w:rsidR="003650D4">
        <w:rPr>
          <w:rFonts w:ascii="Times New Roman" w:hAnsi="Times New Roman"/>
        </w:rPr>
        <w:t xml:space="preserve"> surfaces</w:t>
      </w:r>
      <w:r w:rsidR="004A0325">
        <w:rPr>
          <w:rFonts w:ascii="Times New Roman" w:hAnsi="Times New Roman"/>
        </w:rPr>
        <w:t>; however</w:t>
      </w:r>
      <w:r w:rsidR="00BF4226">
        <w:rPr>
          <w:rFonts w:ascii="Times New Roman" w:hAnsi="Times New Roman"/>
        </w:rPr>
        <w:t>, urban land cover classifications</w:t>
      </w:r>
      <w:r w:rsidR="00F6043B">
        <w:rPr>
          <w:rFonts w:ascii="Times New Roman" w:hAnsi="Times New Roman"/>
        </w:rPr>
        <w:t xml:space="preserve"> are inconsistent across study areas</w:t>
      </w:r>
      <w:r w:rsidR="009D1E47">
        <w:rPr>
          <w:rFonts w:ascii="Times New Roman" w:hAnsi="Times New Roman"/>
        </w:rPr>
        <w:t xml:space="preserve"> </w:t>
      </w:r>
      <w:r w:rsidR="0003166F" w:rsidRPr="00AD77E4">
        <w:rPr>
          <w:rFonts w:ascii="Times New Roman" w:hAnsi="Times New Roman"/>
        </w:rPr>
        <w:fldChar w:fldCharType="begin"/>
      </w:r>
      <w:r w:rsidR="0003166F" w:rsidRPr="00AD77E4">
        <w:rPr>
          <w:rFonts w:ascii="Times New Roman" w:hAnsi="Times New Roman"/>
        </w:rPr>
        <w:instrText xml:space="preserve"> ADDIN ZOTERO_ITEM CSL_CITATION {"citationID":"EvLlhPw4","properties":{"formattedCitation":"(Korah et al., 2024)","plainCitation":"(Korah et al., 2024)","noteIndex":0},"citationItems":[{"id":1873,"uris":["http://zotero.org/users/8906743/items/IQT4K3QT"],"itemData":{"id":1873,"type":"article-journal","abstract":"Africa has been a hotspot of rapid urban growth since 2000, yet no review exists that describes the current state of urban growth modeling. This review aims to fill this gap by synthesizing urban growth modeling approaches, input variables and challenges across Africa. Using Web of Science, Google Scholar, Geobase, and Compendex databases, we selected 49 studies that projected urban land use and cover change or modeled probabilities of future urban change associated with a variety of input variables. We found increasing trends in the numbers of studies employing cellular automata, statistical regression, agent-based, video prediction, and integrated approaches. The modeling approaches used and their corresponding increases differed across Africa. The input variables used to project urban growth also varied across subregions. Studies were biased towards populous countries rather than the most urbanized. 78 % of the studies focused on primary cities, while secondary cities were less frequently studied. Comparison of urban growth modeling across multiple regions and for different types of cities is currently difficult due to inconsistent definitions and limited availability of data and computational resources. We recommend that the scientific community develop consistent definitions of African city types and urban land use and land cover classifications, create regional urban land cover products for Africa, and build repositories of models and their input data.","container-title":"Cities","DOI":"10.1016/j.cities.2023.104734","ISSN":"0264-2751","journalAbbreviation":"Cities","page":"104734","source":"ScienceDirect","title":"Understanding urban growth modeling in Africa: Dynamics, drivers, and challenges","title-short":"Understanding urban growth modeling in Africa","URL":"https://www.sciencedirect.com/science/article/pii/S0264275123005462","volume":"146","author":[{"family":"Korah","given":"Andrews"},{"family":"Koch","given":"Jennifer A. M."},{"family":"Wimberly","given":"Michael C."}],"accessed":{"date-parts":[["2024",1,29]]},"issued":{"date-parts":[["2024",3,1]]}}}],"schema":"https://github.com/citation-style-language/schema/raw/master/csl-citation.json"} </w:instrText>
      </w:r>
      <w:r w:rsidR="0003166F" w:rsidRPr="00AD77E4">
        <w:rPr>
          <w:rFonts w:ascii="Times New Roman" w:hAnsi="Times New Roman"/>
        </w:rPr>
        <w:fldChar w:fldCharType="separate"/>
      </w:r>
      <w:r w:rsidR="0003166F" w:rsidRPr="00AD77E4">
        <w:rPr>
          <w:rFonts w:ascii="Times New Roman" w:hAnsi="Times New Roman"/>
        </w:rPr>
        <w:t>(Korah et al., 2024)</w:t>
      </w:r>
      <w:r w:rsidR="0003166F" w:rsidRPr="00AD77E4">
        <w:rPr>
          <w:rFonts w:ascii="Times New Roman" w:hAnsi="Times New Roman"/>
        </w:rPr>
        <w:fldChar w:fldCharType="end"/>
      </w:r>
      <w:r w:rsidR="00FD55DF">
        <w:rPr>
          <w:rFonts w:ascii="Times New Roman" w:hAnsi="Times New Roman"/>
        </w:rPr>
        <w:t>. Developing urban land cover that consistently captures the heterogeneous morphologies of cities over time in West Africa is needed</w:t>
      </w:r>
      <w:r w:rsidR="00792B61">
        <w:rPr>
          <w:rFonts w:ascii="Times New Roman" w:hAnsi="Times New Roman"/>
        </w:rPr>
        <w:t>.</w:t>
      </w:r>
    </w:p>
    <w:p w14:paraId="0D961638" w14:textId="05118794" w:rsidR="00103457" w:rsidRPr="000231DB" w:rsidRDefault="005A41EC" w:rsidP="00F30E08">
      <w:pPr>
        <w:ind w:firstLine="360"/>
        <w:rPr>
          <w:rFonts w:ascii="Times New Roman" w:hAnsi="Times New Roman"/>
        </w:rPr>
      </w:pPr>
      <w:r>
        <w:rPr>
          <w:rFonts w:ascii="Times New Roman" w:hAnsi="Times New Roman"/>
        </w:rPr>
        <w:lastRenderedPageBreak/>
        <w:t>F</w:t>
      </w:r>
      <w:r w:rsidR="00F30E08">
        <w:rPr>
          <w:rFonts w:ascii="Times New Roman" w:hAnsi="Times New Roman"/>
        </w:rPr>
        <w:t>uture studies need to explicitly analyze the current and future impacts of different-sized city expansions on economic growth,</w:t>
      </w:r>
      <w:r w:rsidR="00F30E08" w:rsidRPr="00AE7910">
        <w:rPr>
          <w:rFonts w:ascii="Times New Roman" w:hAnsi="Times New Roman"/>
        </w:rPr>
        <w:t xml:space="preserve"> </w:t>
      </w:r>
      <w:r w:rsidR="00F30E08">
        <w:rPr>
          <w:rFonts w:ascii="Times New Roman" w:hAnsi="Times New Roman"/>
        </w:rPr>
        <w:t xml:space="preserve">food production, carbon emission, biodiversity, ecosystem services, and heat stress. </w:t>
      </w:r>
      <w:r>
        <w:rPr>
          <w:rFonts w:ascii="Times New Roman" w:hAnsi="Times New Roman"/>
        </w:rPr>
        <w:t>H</w:t>
      </w:r>
      <w:r w:rsidR="00F30E08">
        <w:rPr>
          <w:rFonts w:ascii="Times New Roman" w:hAnsi="Times New Roman"/>
        </w:rPr>
        <w:t xml:space="preserve">uman behavior influences </w:t>
      </w:r>
      <w:r w:rsidR="00646E99">
        <w:rPr>
          <w:rFonts w:ascii="Times New Roman" w:hAnsi="Times New Roman"/>
        </w:rPr>
        <w:t xml:space="preserve">sprawl and infill </w:t>
      </w:r>
      <w:r w:rsidR="00F30E08">
        <w:rPr>
          <w:rFonts w:ascii="Times New Roman" w:hAnsi="Times New Roman"/>
        </w:rPr>
        <w:t xml:space="preserve">patterns, but </w:t>
      </w:r>
      <w:r w:rsidR="00EA09B5">
        <w:rPr>
          <w:rFonts w:ascii="Times New Roman" w:hAnsi="Times New Roman"/>
        </w:rPr>
        <w:t xml:space="preserve">data on individual decisions across the landscape </w:t>
      </w:r>
      <w:r w:rsidR="00F30E08">
        <w:rPr>
          <w:rFonts w:ascii="Times New Roman" w:hAnsi="Times New Roman"/>
        </w:rPr>
        <w:t xml:space="preserve">are challenging to collect and analyze over multiple scales due to cost, time, and privacy issues. </w:t>
      </w:r>
      <w:r>
        <w:rPr>
          <w:rFonts w:ascii="Times New Roman" w:hAnsi="Times New Roman"/>
        </w:rPr>
        <w:t>Researchers</w:t>
      </w:r>
      <w:r w:rsidR="00F30E08">
        <w:rPr>
          <w:rFonts w:ascii="Times New Roman" w:hAnsi="Times New Roman"/>
        </w:rPr>
        <w:t xml:space="preserve"> can make a concerted and collaborative effort to </w:t>
      </w:r>
      <w:r w:rsidR="00F30E08" w:rsidRPr="00F30E08">
        <w:rPr>
          <w:rFonts w:ascii="Times New Roman" w:hAnsi="Times New Roman"/>
        </w:rPr>
        <w:t xml:space="preserve">develop a comprehensive database of urban stakeholders' decisions and choices, following privacy and national sovereignty guidelines </w:t>
      </w:r>
      <w:r w:rsidR="00F30E08" w:rsidRPr="00F30E08">
        <w:rPr>
          <w:rFonts w:ascii="Times New Roman" w:hAnsi="Times New Roman"/>
        </w:rPr>
        <w:fldChar w:fldCharType="begin"/>
      </w:r>
      <w:r w:rsidR="00F30E08" w:rsidRPr="00F30E08">
        <w:rPr>
          <w:rFonts w:ascii="Times New Roman" w:hAnsi="Times New Roman"/>
        </w:rPr>
        <w:instrText xml:space="preserve"> ADDIN ZOTERO_ITEM CSL_CITATION {"citationID":"pElplABt","properties":{"formattedCitation":"(Alexander et al., 2020; Carroll et al., 2021; Plassin et al., 2020)","plainCitation":"(Alexander et al., 2020; Carroll et al., 2021; Plassin et al., 2020)","noteIndex":0},"citationItems":[{"id":835,"uris":["http://zotero.org/users/8906743/items/HUQ5K7BY"],"itemData":{"id":835,"type":"article-journal","abstract":"Socio–environmental synthesis as a research approach contributes to broader sustainability policy and practice by reusing data from disparate disciplines in innovative ways. Synthesizing diverse data sources and types of evidence can help to better conceptualize, investigate and address increasingly complex socio–environmental problems. However, sharing qualitative data for re-use remains uncommon when compared to sharing quantitative data. We argue that qualitative data present untapped opportunities for sustainability science, and discuss practical pathways to facilitate and realize the benefits from sharing and reusing qualitative data. However, these opportunities and benefits are also hindered by practical, ethical and epistemological challenges. To address these challenges and accelerate qualitative data sharing, we outline enabling conditions and suggest actions for researchers, institutions, funders, data repository managers and publishers.","container-title":"Nature Sustainability","DOI":"10.1038/s41893-019-0434-8","ISSN":"2398-9629","issue":"2","journalAbbreviation":"Nat Sustain","language":"en","license":"2019 Springer Nature Limited","note":"number: 2\npublisher: Nature Publishing Group","page":"81-88","source":"www.nature.com","title":"Qualitative data sharing and synthesis for sustainability science","URL":"https://www.nature.com/articles/s41893-019-0434-8","volume":"3","author":[{"family":"Alexander","given":"Steven M."},{"family":"Jones","given":"Kristal"},{"family":"Bennett","given":"Nathan J."},{"family":"Budden","given":"Amber"},{"family":"Cox","given":"Michael"},{"family":"Crosas","given":"Mercè"},{"family":"Game","given":"Edward T."},{"family":"Geary","given":"Janis"},{"family":"Hardy","given":"R. Dean"},{"family":"Johnson","given":"Jay T."},{"family":"Karcher","given":"Sebastian"},{"family":"Motzer","given":"Nicole"},{"family":"Pittman","given":"Jeremy"},{"family":"Randell","given":"Heather"},{"family":"Silva","given":"Julie A."},{"family":"Silva","given":"Patricia Pinto","non-dropping-particle":"da"},{"family":"Strasser","given":"Carly"},{"family":"Strawhacker","given":"Colleen"},{"family":"Stuhl","given":"Andrew"},{"family":"Weber","given":"Nic"}],"accessed":{"date-parts":[["2022",10,26]]},"issued":{"date-parts":[["2020",2]]}}},{"id":315,"uris":["http://zotero.org/users/8906743/items/KHRNIL8U"],"itemData":{"id":315,"type":"article-journal","abstract":"As big data, open data, and open science advance to increase access to complex and large datasets for innovation, discovery, and decision-making, Indigenous Peoples’ rights to control and access their data within these data environments remain limited. Operationalizing the FAIR Principles for scientific data with the CARE Principles for Indigenous Data Governance enhances machine actionability and brings people and purpose to the fore to resolve Indigenous Peoples’ rights to and interests in their data across the data lifecycle.","container-title":"Scientific Data","DOI":"10.1038/s41597-021-00892-0","ISSN":"2052-4463","issue":"1","journalAbbreviation":"Sci Data","language":"en","license":"2021 The Author(s)","note":"number: 1\npublisher: Nature Publishing Group","page":"108","source":"www.nature.com","title":"Operationalizing the CARE and FAIR Principles for Indigenous data futures","URL":"https://www.nature.com/articles/s41597-021-00892-0","volume":"8","author":[{"family":"Carroll","given":"Stephanie Russo"},{"family":"Herczog","given":"Edit"},{"family":"Hudson","given":"Maui"},{"family":"Russell","given":"Keith"},{"family":"Stall","given":"Shelley"}],"accessed":{"date-parts":[["2022",8,30]]},"issued":{"date-parts":[["2021",4,16]]}}},{"id":653,"uris":["http://zotero.org/users/8906743/items/RN8WEA37"],"itemData":{"id":653,"type":"article-journal","abstract":"Integrative research on water resources requires a wide range of socio-environmental datasets to better understand human-water interactions and inform decision-making. However, in transboundary watersheds, integrating cross-disciplinary and multinational datasets is a daunting task due to the disparity of data sources and the inconsistencies in data format, content, resolution, and language. This paper introduces a socio-environmental geodatabase that transcends political and disciplinary boundaries in the Rio Grande/Río Bravo basin (RGB). The geodatabase aggregates 145 GIS data layers on five main themes: (i) Water &amp; Land Governance, (ii) Hydrology, (iii) Water Use &amp; Hydraulic Infrastructures, (iv) Socio-Economics, and (v) Biophysical Environment. Datasets were primarily collected from public open-access data sources, processed with ArcGIS, and documented through the FGCD metadata standard. By synthesizing a broad array of datasets and mapping public and private water governance, we expect to advance interdisciplinary research in the RGB, provide a replicable approach to dataset compilation for transboundary watersheds, and ultimately foster transboundary collaboration for sustainable resource management.","container-title":"Scientific Data","DOI":"10.1038/s41597-020-0410-1","ISSN":"2052-4463","issue":"1","journalAbbreviation":"Sci Data","language":"en","license":"2020 The Author(s)","note":"number: 1\npublisher: Nature Publishing Group","page":"80","source":"www.nature.com","title":"A socio-environmental geodatabase for integrative research in the transboundary Rio Grande/Río Bravo basin","URL":"https://www.nature.com/articles/s41597-020-0410-1","volume":"7","author":[{"family":"Plassin","given":"Sophie"},{"family":"Koch","given":"Jennifer"},{"family":"Paladino","given":"Stephanie"},{"family":"Friedman","given":"Jack R."},{"family":"Spencer","given":"Kyndra"},{"family":"Vaché","given":"Kellie B."}],"accessed":{"date-parts":[["2022",8,30]]},"issued":{"date-parts":[["2020",3,6]]}}}],"schema":"https://github.com/citation-style-language/schema/raw/master/csl-citation.json"} </w:instrText>
      </w:r>
      <w:r w:rsidR="00F30E08" w:rsidRPr="00F30E08">
        <w:rPr>
          <w:rFonts w:ascii="Times New Roman" w:hAnsi="Times New Roman"/>
        </w:rPr>
        <w:fldChar w:fldCharType="separate"/>
      </w:r>
      <w:r w:rsidR="00F30E08" w:rsidRPr="00F30E08">
        <w:rPr>
          <w:rFonts w:ascii="Times New Roman" w:hAnsi="Times New Roman"/>
        </w:rPr>
        <w:t>(Alexander et al., 2020; Carroll et al., 2021; Plassin et al., 2020)</w:t>
      </w:r>
      <w:r w:rsidR="00F30E08" w:rsidRPr="00F30E08">
        <w:rPr>
          <w:rFonts w:ascii="Times New Roman" w:hAnsi="Times New Roman"/>
        </w:rPr>
        <w:fldChar w:fldCharType="end"/>
      </w:r>
      <w:r w:rsidR="00F30E08" w:rsidRPr="00F30E08">
        <w:rPr>
          <w:rFonts w:ascii="Times New Roman" w:hAnsi="Times New Roman"/>
        </w:rPr>
        <w:t>.</w:t>
      </w:r>
      <w:r w:rsidR="00F30E08">
        <w:rPr>
          <w:rFonts w:ascii="Times New Roman" w:hAnsi="Times New Roman"/>
        </w:rPr>
        <w:t xml:space="preserve"> Also,</w:t>
      </w:r>
      <w:r w:rsidR="001433C9">
        <w:rPr>
          <w:rFonts w:ascii="Times New Roman" w:hAnsi="Times New Roman"/>
        </w:rPr>
        <w:t xml:space="preserve"> World</w:t>
      </w:r>
      <w:r w:rsidR="0096413A">
        <w:rPr>
          <w:rFonts w:ascii="Times New Roman" w:hAnsi="Times New Roman"/>
        </w:rPr>
        <w:t>Pop provides consistent</w:t>
      </w:r>
      <w:r w:rsidR="00F30E08">
        <w:rPr>
          <w:rFonts w:ascii="Times New Roman" w:hAnsi="Times New Roman"/>
        </w:rPr>
        <w:t xml:space="preserve"> gridded </w:t>
      </w:r>
      <w:r w:rsidR="0096413A">
        <w:rPr>
          <w:rFonts w:ascii="Times New Roman" w:hAnsi="Times New Roman"/>
        </w:rPr>
        <w:t>population data</w:t>
      </w:r>
      <w:r w:rsidR="00EF0C9F">
        <w:rPr>
          <w:rFonts w:ascii="Times New Roman" w:hAnsi="Times New Roman"/>
        </w:rPr>
        <w:t xml:space="preserve"> across countries</w:t>
      </w:r>
      <w:r w:rsidR="00304828">
        <w:rPr>
          <w:rFonts w:ascii="Times New Roman" w:hAnsi="Times New Roman"/>
        </w:rPr>
        <w:t xml:space="preserve"> at 100 m spatial </w:t>
      </w:r>
      <w:r w:rsidR="00FC2F93">
        <w:rPr>
          <w:rFonts w:ascii="Times New Roman" w:hAnsi="Times New Roman"/>
        </w:rPr>
        <w:t>resolution,</w:t>
      </w:r>
      <w:r w:rsidR="0081447B">
        <w:rPr>
          <w:rFonts w:ascii="Times New Roman" w:hAnsi="Times New Roman"/>
        </w:rPr>
        <w:t xml:space="preserve"> </w:t>
      </w:r>
      <w:r w:rsidR="00B24FEC">
        <w:rPr>
          <w:rFonts w:ascii="Times New Roman" w:hAnsi="Times New Roman"/>
        </w:rPr>
        <w:t>and the United Nations provides p</w:t>
      </w:r>
      <w:r w:rsidR="0041548B">
        <w:rPr>
          <w:rFonts w:ascii="Times New Roman" w:hAnsi="Times New Roman"/>
        </w:rPr>
        <w:t>opulation estimates</w:t>
      </w:r>
      <w:r w:rsidR="00906895">
        <w:rPr>
          <w:rFonts w:ascii="Times New Roman" w:hAnsi="Times New Roman"/>
        </w:rPr>
        <w:t xml:space="preserve"> at the country le</w:t>
      </w:r>
      <w:r w:rsidR="00013AA8">
        <w:rPr>
          <w:rFonts w:ascii="Times New Roman" w:hAnsi="Times New Roman"/>
        </w:rPr>
        <w:t>vel</w:t>
      </w:r>
      <w:r w:rsidR="0041548B">
        <w:rPr>
          <w:rFonts w:ascii="Times New Roman" w:hAnsi="Times New Roman"/>
        </w:rPr>
        <w:t>.</w:t>
      </w:r>
      <w:r w:rsidR="00FC2F93">
        <w:rPr>
          <w:rFonts w:ascii="Times New Roman" w:hAnsi="Times New Roman"/>
        </w:rPr>
        <w:t xml:space="preserve"> </w:t>
      </w:r>
      <w:r w:rsidR="00BA237C">
        <w:rPr>
          <w:rFonts w:ascii="Times New Roman" w:hAnsi="Times New Roman"/>
        </w:rPr>
        <w:t xml:space="preserve"> Although national censuses provide </w:t>
      </w:r>
      <w:r w:rsidR="00FC2F93">
        <w:rPr>
          <w:rFonts w:ascii="Times New Roman" w:hAnsi="Times New Roman"/>
        </w:rPr>
        <w:t xml:space="preserve">city-level </w:t>
      </w:r>
      <w:r w:rsidR="00AC25CA">
        <w:rPr>
          <w:rFonts w:ascii="Times New Roman" w:hAnsi="Times New Roman"/>
        </w:rPr>
        <w:t>population</w:t>
      </w:r>
      <w:r w:rsidR="00BA237C">
        <w:rPr>
          <w:rFonts w:ascii="Times New Roman" w:hAnsi="Times New Roman"/>
        </w:rPr>
        <w:t xml:space="preserve"> data</w:t>
      </w:r>
      <w:r w:rsidR="00FC2F93">
        <w:rPr>
          <w:rFonts w:ascii="Times New Roman" w:hAnsi="Times New Roman"/>
        </w:rPr>
        <w:t xml:space="preserve">, </w:t>
      </w:r>
      <w:r w:rsidR="00B331ED">
        <w:rPr>
          <w:rFonts w:ascii="Times New Roman" w:hAnsi="Times New Roman"/>
        </w:rPr>
        <w:t xml:space="preserve">they are inconsistently </w:t>
      </w:r>
      <w:r w:rsidR="00890C68">
        <w:rPr>
          <w:rFonts w:ascii="Times New Roman" w:hAnsi="Times New Roman"/>
        </w:rPr>
        <w:t>collected over different time points,</w:t>
      </w:r>
      <w:r w:rsidR="00B331ED">
        <w:rPr>
          <w:rFonts w:ascii="Times New Roman" w:hAnsi="Times New Roman"/>
        </w:rPr>
        <w:t xml:space="preserve"> </w:t>
      </w:r>
      <w:r w:rsidR="00890C68">
        <w:rPr>
          <w:rFonts w:ascii="Times New Roman" w:hAnsi="Times New Roman"/>
        </w:rPr>
        <w:t xml:space="preserve">and </w:t>
      </w:r>
      <w:r w:rsidR="00B331ED">
        <w:rPr>
          <w:rFonts w:ascii="Times New Roman" w:hAnsi="Times New Roman"/>
        </w:rPr>
        <w:t xml:space="preserve">the definitions of cities </w:t>
      </w:r>
      <w:r w:rsidR="00890C68">
        <w:rPr>
          <w:rFonts w:ascii="Times New Roman" w:hAnsi="Times New Roman"/>
        </w:rPr>
        <w:t xml:space="preserve">vary across countries. </w:t>
      </w:r>
      <w:r w:rsidR="00013AA8">
        <w:rPr>
          <w:rFonts w:ascii="Times New Roman" w:hAnsi="Times New Roman"/>
        </w:rPr>
        <w:t xml:space="preserve">There is a need for </w:t>
      </w:r>
      <w:r w:rsidR="00F80B8F">
        <w:rPr>
          <w:rFonts w:ascii="Times New Roman" w:hAnsi="Times New Roman"/>
        </w:rPr>
        <w:t xml:space="preserve">consistent </w:t>
      </w:r>
      <w:r w:rsidR="007353FC">
        <w:rPr>
          <w:rFonts w:ascii="Times New Roman" w:hAnsi="Times New Roman"/>
        </w:rPr>
        <w:t>city-level population data that researchers and modelers can use to parameterize urban simulation models</w:t>
      </w:r>
      <w:r w:rsidR="008B2A20">
        <w:rPr>
          <w:rFonts w:ascii="Times New Roman" w:hAnsi="Times New Roman"/>
        </w:rPr>
        <w:t xml:space="preserve"> across cities. </w:t>
      </w:r>
      <w:r w:rsidR="00F30E08">
        <w:rPr>
          <w:rFonts w:ascii="Times New Roman" w:hAnsi="Times New Roman"/>
        </w:rPr>
        <w:t>In addition, road network data</w:t>
      </w:r>
      <w:r w:rsidR="008B2A20">
        <w:rPr>
          <w:rFonts w:ascii="Times New Roman" w:hAnsi="Times New Roman"/>
        </w:rPr>
        <w:t xml:space="preserve">, especially local </w:t>
      </w:r>
      <w:r w:rsidR="007B3435">
        <w:rPr>
          <w:rFonts w:ascii="Times New Roman" w:hAnsi="Times New Roman"/>
        </w:rPr>
        <w:t>roads from</w:t>
      </w:r>
      <w:r w:rsidR="00F30E08">
        <w:rPr>
          <w:rFonts w:ascii="Times New Roman" w:hAnsi="Times New Roman"/>
        </w:rPr>
        <w:t xml:space="preserve"> </w:t>
      </w:r>
      <w:r w:rsidR="00505879">
        <w:rPr>
          <w:rFonts w:ascii="Times New Roman" w:hAnsi="Times New Roman"/>
          <w:color w:val="000000"/>
          <w:shd w:val="clear" w:color="auto" w:fill="FFFFFF"/>
        </w:rPr>
        <w:t>the global road inventory project</w:t>
      </w:r>
      <w:r w:rsidR="00726EB7">
        <w:rPr>
          <w:rFonts w:ascii="Times New Roman" w:hAnsi="Times New Roman"/>
          <w:color w:val="000000"/>
          <w:shd w:val="clear" w:color="auto" w:fill="FFFFFF"/>
        </w:rPr>
        <w:t>,</w:t>
      </w:r>
      <w:r w:rsidR="00505879" w:rsidRPr="00601982">
        <w:rPr>
          <w:rFonts w:ascii="Times New Roman" w:hAnsi="Times New Roman"/>
          <w:color w:val="000000"/>
          <w:shd w:val="clear" w:color="auto" w:fill="FFFFFF"/>
        </w:rPr>
        <w:t xml:space="preserve"> </w:t>
      </w:r>
      <w:r w:rsidR="00F30E08">
        <w:rPr>
          <w:rFonts w:ascii="Times New Roman" w:hAnsi="Times New Roman"/>
        </w:rPr>
        <w:t xml:space="preserve">are mostly biased toward the larger cities in the study area, potentially introducing errors in the </w:t>
      </w:r>
      <w:r w:rsidR="00726EB7">
        <w:rPr>
          <w:rFonts w:ascii="Times New Roman" w:hAnsi="Times New Roman"/>
        </w:rPr>
        <w:t xml:space="preserve">urban </w:t>
      </w:r>
      <w:r w:rsidR="00F30E08">
        <w:rPr>
          <w:rFonts w:ascii="Times New Roman" w:hAnsi="Times New Roman"/>
        </w:rPr>
        <w:t xml:space="preserve">simulation </w:t>
      </w:r>
      <w:r w:rsidR="00F30E08" w:rsidRPr="00C37F13">
        <w:rPr>
          <w:rFonts w:ascii="Times New Roman" w:hAnsi="Times New Roman"/>
        </w:rPr>
        <w:t>processes.</w:t>
      </w:r>
      <w:r w:rsidR="00F30E08">
        <w:rPr>
          <w:rFonts w:ascii="Times New Roman" w:hAnsi="Times New Roman"/>
        </w:rPr>
        <w:t xml:space="preserve"> There is a </w:t>
      </w:r>
      <w:r w:rsidR="00F30E08">
        <w:rPr>
          <w:rFonts w:ascii="Times New Roman" w:eastAsia="Aptos" w:hAnsi="Times New Roman"/>
          <w:bCs/>
          <w:color w:val="0D0D0D"/>
          <w:lang w:bidi="ar-SA"/>
          <w14:ligatures w14:val="standardContextual"/>
        </w:rPr>
        <w:t xml:space="preserve">need for more collaboration among urban expansion stakeholders, including researchers, users, modelers, and decision-makers, to provide consistent population, road network, and individual-level data. These initiatives can further improve urban expansion simulations across multiple scales. </w:t>
      </w:r>
      <w:r w:rsidR="000231DB">
        <w:rPr>
          <w:rFonts w:ascii="Times New Roman" w:eastAsia="Aptos" w:hAnsi="Times New Roman"/>
          <w:bCs/>
          <w:color w:val="0D0D0D"/>
          <w:lang w:bidi="ar-SA"/>
          <w14:ligatures w14:val="standardContextual"/>
        </w:rPr>
        <w:t xml:space="preserve"> </w:t>
      </w:r>
    </w:p>
    <w:p w14:paraId="4F8EC6E6" w14:textId="77777777" w:rsidR="00AA0B13" w:rsidRDefault="00AA0B13" w:rsidP="0019713E">
      <w:pPr>
        <w:pStyle w:val="Heading1"/>
        <w:spacing w:line="240" w:lineRule="auto"/>
      </w:pPr>
      <w:r>
        <w:br w:type="page"/>
      </w:r>
      <w:bookmarkStart w:id="184" w:name="_Toc310579474"/>
      <w:bookmarkStart w:id="185" w:name="_Toc172288771"/>
      <w:r>
        <w:lastRenderedPageBreak/>
        <w:t>References</w:t>
      </w:r>
      <w:bookmarkEnd w:id="184"/>
      <w:bookmarkEnd w:id="185"/>
    </w:p>
    <w:p w14:paraId="1EA52415" w14:textId="67E489A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fldChar w:fldCharType="begin"/>
      </w:r>
      <w:r w:rsidRPr="00C94D61">
        <w:rPr>
          <w:rFonts w:ascii="Times New Roman" w:hAnsi="Times New Roman"/>
          <w14:ligatures w14:val="standardContextual"/>
        </w:rPr>
        <w:instrText xml:space="preserve"> ADDIN ZOTERO_BIBL {"uncited":[],"omitted":[],"custom":[]} CSL_BIBLIOGRAPHY </w:instrText>
      </w:r>
      <w:r w:rsidRPr="00C94D61">
        <w:rPr>
          <w:rFonts w:ascii="Times New Roman" w:hAnsi="Times New Roman"/>
          <w14:ligatures w14:val="standardContextual"/>
        </w:rPr>
        <w:fldChar w:fldCharType="separate"/>
      </w:r>
      <w:r w:rsidRPr="00C94D61">
        <w:rPr>
          <w:rFonts w:ascii="Times New Roman" w:hAnsi="Times New Roman"/>
          <w14:ligatures w14:val="standardContextual"/>
        </w:rPr>
        <w:t xml:space="preserve">Abass, K., Buor, D., Afriyie, K., Dumedah, G., Segbefi, A. Y., Guodaar, L., Garsonu, E. K., Adu-Gyamfi, S., Forkuor, D., Ofosu, A., Mohammed, A., &amp; Gyasi, R. M. (2020). Urban sprawl and green space depletion: Implications for flood incidence in Kumasi, Ghana. </w:t>
      </w:r>
      <w:r w:rsidRPr="00C94D61">
        <w:rPr>
          <w:rFonts w:ascii="Times New Roman" w:hAnsi="Times New Roman"/>
          <w:i/>
          <w:iCs/>
          <w14:ligatures w14:val="standardContextual"/>
        </w:rPr>
        <w:t>International Journal of Disaster Risk Reduction</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51</w:t>
      </w:r>
      <w:r w:rsidRPr="00C94D61">
        <w:rPr>
          <w:rFonts w:ascii="Times New Roman" w:hAnsi="Times New Roman"/>
          <w14:ligatures w14:val="standardContextual"/>
        </w:rPr>
        <w:t>, 101915. https://doi.org/10.1016/j.ijdrr.2020.101915</w:t>
      </w:r>
    </w:p>
    <w:p w14:paraId="40660CCD"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Addae, B., &amp; Oppelt, N. (2019). Land-Use/Land-Cover Change Analysis and Urban Growth Modelling in the Greater Accra Metropolitan Area (GAMA), Ghana. </w:t>
      </w:r>
      <w:r w:rsidRPr="00C94D61">
        <w:rPr>
          <w:rFonts w:ascii="Times New Roman" w:hAnsi="Times New Roman"/>
          <w:i/>
          <w:iCs/>
          <w14:ligatures w14:val="standardContextual"/>
        </w:rPr>
        <w:t>Urban Science</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3</w:t>
      </w:r>
      <w:r w:rsidRPr="00C94D61">
        <w:rPr>
          <w:rFonts w:ascii="Times New Roman" w:hAnsi="Times New Roman"/>
          <w14:ligatures w14:val="standardContextual"/>
        </w:rPr>
        <w:t>(1), 26. https://doi.org/10.3390/urbansci3010026</w:t>
      </w:r>
    </w:p>
    <w:p w14:paraId="2605F6C8"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Agyemang, F. S. K., &amp; Silva, E. (2019). Simulating the urban growth of a predominantly informal Ghanaian city-region with a cellular automata model: Implications for urban planning and policy. </w:t>
      </w:r>
      <w:r w:rsidRPr="00C94D61">
        <w:rPr>
          <w:rFonts w:ascii="Times New Roman" w:hAnsi="Times New Roman"/>
          <w:i/>
          <w:iCs/>
          <w14:ligatures w14:val="standardContextual"/>
        </w:rPr>
        <w:t>Applied Geography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105</w:t>
      </w:r>
      <w:r w:rsidRPr="00C94D61">
        <w:rPr>
          <w:rFonts w:ascii="Times New Roman" w:hAnsi="Times New Roman"/>
          <w14:ligatures w14:val="standardContextual"/>
        </w:rPr>
        <w:t>, 15–24. https://doi.org/10.1016/j.apgeog.2019.02.011</w:t>
      </w:r>
    </w:p>
    <w:p w14:paraId="4DD9161F"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Alexander, S. M., Jones, K., Bennett, N. J., Budden, A., Cox, M., Crosas, M., Game, E. T., Geary, J., Hardy, R. D., Johnson, J. T., Karcher, S., Motzer, N., Pittman, J., Randell, H., Silva, J. A., da Silva, P. P., Strasser, C., Strawhacker, C., Stuhl, A., &amp; Weber, N. (2020). Qualitative data sharing and synthesis for sustainability science. </w:t>
      </w:r>
      <w:r w:rsidRPr="00C94D61">
        <w:rPr>
          <w:rFonts w:ascii="Times New Roman" w:hAnsi="Times New Roman"/>
          <w:i/>
          <w:iCs/>
          <w14:ligatures w14:val="standardContextual"/>
        </w:rPr>
        <w:t>Nature Sustainability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3</w:t>
      </w:r>
      <w:r w:rsidRPr="00C94D61">
        <w:rPr>
          <w:rFonts w:ascii="Times New Roman" w:hAnsi="Times New Roman"/>
          <w14:ligatures w14:val="standardContextual"/>
        </w:rPr>
        <w:t>(2), Article 2. https://doi.org/10.1038/s41893-019-0434-8</w:t>
      </w:r>
    </w:p>
    <w:p w14:paraId="1C327755"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Angel, S., Lamson-Hall, P., Blei, A., Shingade, S., &amp; Kumar, S. (2021). Densify and Expand: A Global Analysis of Recent Urban Growth. </w:t>
      </w:r>
      <w:r w:rsidRPr="00C94D61">
        <w:rPr>
          <w:rFonts w:ascii="Times New Roman" w:hAnsi="Times New Roman"/>
          <w:i/>
          <w:iCs/>
          <w14:ligatures w14:val="standardContextual"/>
        </w:rPr>
        <w:t>Sustainability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13</w:t>
      </w:r>
      <w:r w:rsidRPr="00C94D61">
        <w:rPr>
          <w:rFonts w:ascii="Times New Roman" w:hAnsi="Times New Roman"/>
          <w14:ligatures w14:val="standardContextual"/>
        </w:rPr>
        <w:t>(7), 3835. https://doi.org/10.3390/su13073835</w:t>
      </w:r>
    </w:p>
    <w:p w14:paraId="5718CA13"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Bibri, S. E., Krogstie, J., &amp; Kärrholm, M. (2020). Compact city planning and development: Emerging practices and strategies for achieving the goals of sustainability. </w:t>
      </w:r>
      <w:r w:rsidRPr="00C94D61">
        <w:rPr>
          <w:rFonts w:ascii="Times New Roman" w:hAnsi="Times New Roman"/>
          <w:i/>
          <w:iCs/>
          <w14:ligatures w14:val="standardContextual"/>
        </w:rPr>
        <w:t>Developments in the Built Environment</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4</w:t>
      </w:r>
      <w:r w:rsidRPr="00C94D61">
        <w:rPr>
          <w:rFonts w:ascii="Times New Roman" w:hAnsi="Times New Roman"/>
          <w14:ligatures w14:val="standardContextual"/>
        </w:rPr>
        <w:t>, 100021. https://doi.org/10.1016/j.dibe.2020.100021</w:t>
      </w:r>
    </w:p>
    <w:p w14:paraId="6D0D1EB4"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Brown de Colstoun, E. C., Huang, C., Wang, P., Tilton, J. C., Tan, B., Phillips, J., Niemczura, S., Ling, P.-Y., &amp; Wolfe, R. E. (2017). </w:t>
      </w:r>
      <w:r w:rsidRPr="00C94D61">
        <w:rPr>
          <w:rFonts w:ascii="Times New Roman" w:hAnsi="Times New Roman"/>
          <w:i/>
          <w:iCs/>
          <w14:ligatures w14:val="standardContextual"/>
        </w:rPr>
        <w:t>Global Man-made Impervious Surface (GMIS) Dataset From Landsat</w:t>
      </w:r>
      <w:r w:rsidRPr="00C94D61">
        <w:rPr>
          <w:rFonts w:ascii="Times New Roman" w:hAnsi="Times New Roman"/>
          <w14:ligatures w14:val="standardContextual"/>
        </w:rPr>
        <w:t>. NASA Socioeconomic Data and Applications Center (SEDAC). https://doi.org/10.7927/H4P55KKF</w:t>
      </w:r>
    </w:p>
    <w:p w14:paraId="2B5FDD7F"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Carroll, S. R., Herczog, E., Hudson, M., Russell, K., &amp; Stall, S. (2021). Operationalizing the CARE and FAIR Principles for Indigenous data futures. </w:t>
      </w:r>
      <w:r w:rsidRPr="00C94D61">
        <w:rPr>
          <w:rFonts w:ascii="Times New Roman" w:hAnsi="Times New Roman"/>
          <w:i/>
          <w:iCs/>
          <w14:ligatures w14:val="standardContextual"/>
        </w:rPr>
        <w:t>Scientific Data</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8</w:t>
      </w:r>
      <w:r w:rsidRPr="00C94D61">
        <w:rPr>
          <w:rFonts w:ascii="Times New Roman" w:hAnsi="Times New Roman"/>
          <w14:ligatures w14:val="standardContextual"/>
        </w:rPr>
        <w:t>(1), Article 1. https://doi.org/10.1038/s41597-021-00892-0</w:t>
      </w:r>
    </w:p>
    <w:p w14:paraId="17C11F97"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Clarke, K. C. (2018). Land Use Change Modeling with SLEUTH: Improving Calibration with a Genetic Algorithm. In M. T. Camacho Olmedo, M. Paegelow, J.-F. Mas, &amp; F. Escobar (Eds.), </w:t>
      </w:r>
      <w:r w:rsidRPr="00C94D61">
        <w:rPr>
          <w:rFonts w:ascii="Times New Roman" w:hAnsi="Times New Roman"/>
          <w:i/>
          <w:iCs/>
          <w14:ligatures w14:val="standardContextual"/>
        </w:rPr>
        <w:t>Geomatic Approaches for Modeling Land Change Scenarios</w:t>
      </w:r>
      <w:r w:rsidRPr="00C94D61">
        <w:rPr>
          <w:rFonts w:ascii="Times New Roman" w:hAnsi="Times New Roman"/>
          <w14:ligatures w14:val="standardContextual"/>
        </w:rPr>
        <w:t xml:space="preserve"> (pp. 139–161). Springer International Publishing. https://doi.org/10.1007/978-3-319-60801-3_8</w:t>
      </w:r>
    </w:p>
    <w:p w14:paraId="66E59E26"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Cobbinah, P. B., &amp; Aboagye, H. N. (2017). A Ghanaian twist to urban sprawl. </w:t>
      </w:r>
      <w:r w:rsidRPr="00C94D61">
        <w:rPr>
          <w:rFonts w:ascii="Times New Roman" w:hAnsi="Times New Roman"/>
          <w:i/>
          <w:iCs/>
          <w14:ligatures w14:val="standardContextual"/>
        </w:rPr>
        <w:t>Land Use Policy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61</w:t>
      </w:r>
      <w:r w:rsidRPr="00C94D61">
        <w:rPr>
          <w:rFonts w:ascii="Times New Roman" w:hAnsi="Times New Roman"/>
          <w14:ligatures w14:val="standardContextual"/>
        </w:rPr>
        <w:t>, 231–241. https://doi.org/10.1016/j.landusepol.2016.10.047</w:t>
      </w:r>
    </w:p>
    <w:p w14:paraId="11F0FDC9"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lastRenderedPageBreak/>
        <w:t xml:space="preserve">Dorning, M. A., Koch, J., Shoemaker, D. A., &amp; Meentemeyer, R. K. (2015). Simulating urbanization scenarios reveals tradeoffs between conservation planning strategies. </w:t>
      </w:r>
      <w:r w:rsidRPr="00C94D61">
        <w:rPr>
          <w:rFonts w:ascii="Times New Roman" w:hAnsi="Times New Roman"/>
          <w:i/>
          <w:iCs/>
          <w14:ligatures w14:val="standardContextual"/>
        </w:rPr>
        <w:t>Landscape and Urban Planning</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136</w:t>
      </w:r>
      <w:r w:rsidRPr="00C94D61">
        <w:rPr>
          <w:rFonts w:ascii="Times New Roman" w:hAnsi="Times New Roman"/>
          <w14:ligatures w14:val="standardContextual"/>
        </w:rPr>
        <w:t>, 28–39. https://doi.org/10.1016/j.landurbplan.2014.11.011</w:t>
      </w:r>
    </w:p>
    <w:p w14:paraId="6544C3A9"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Goncalves, T. M., Zhong, X., Ziggah, Y. Y., &amp; Dwamena, B. Y. (2019). Simulating Urban Growth Using Cellular Automata Approach (SLEUTH)-A Case Study of Praia City, Cabo Verde. </w:t>
      </w:r>
      <w:r w:rsidRPr="00C94D61">
        <w:rPr>
          <w:rFonts w:ascii="Times New Roman" w:hAnsi="Times New Roman"/>
          <w:i/>
          <w:iCs/>
          <w14:ligatures w14:val="standardContextual"/>
        </w:rPr>
        <w:t>IEEE Access</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7</w:t>
      </w:r>
      <w:r w:rsidRPr="00C94D61">
        <w:rPr>
          <w:rFonts w:ascii="Times New Roman" w:hAnsi="Times New Roman"/>
          <w14:ligatures w14:val="standardContextual"/>
        </w:rPr>
        <w:t>, 156430–156442. https://doi.org/10.1109/ACCESS.2019.2949689</w:t>
      </w:r>
    </w:p>
    <w:p w14:paraId="1A131AB7"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Gong, P., Li, X., Wang, J., Bai, Y., Chen, B., Hu, T., Liu, X., Xu, B., Yang, J., Zhang, W., &amp; Zhou, Y. (2020). Annual maps of global artificial impervious area (GAIA) between 1985 and 2018. </w:t>
      </w:r>
      <w:r w:rsidRPr="00C94D61">
        <w:rPr>
          <w:rFonts w:ascii="Times New Roman" w:hAnsi="Times New Roman"/>
          <w:i/>
          <w:iCs/>
          <w14:ligatures w14:val="standardContextual"/>
        </w:rPr>
        <w:t>Remote Sensing of Environment</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236</w:t>
      </w:r>
      <w:r w:rsidRPr="00C94D61">
        <w:rPr>
          <w:rFonts w:ascii="Times New Roman" w:hAnsi="Times New Roman"/>
          <w14:ligatures w14:val="standardContextual"/>
        </w:rPr>
        <w:t>, 111510. https://doi.org/10.1016/j.rse.2019.111510</w:t>
      </w:r>
    </w:p>
    <w:p w14:paraId="69F49CAB"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Güneralp, B., Lwasa, S., Masundire, H., Parnell, S., &amp; Seto, K. C. (2017). Urbanization in Africa: Challenges and opportunities for conservation. </w:t>
      </w:r>
      <w:r w:rsidRPr="00C94D61">
        <w:rPr>
          <w:rFonts w:ascii="Times New Roman" w:hAnsi="Times New Roman"/>
          <w:i/>
          <w:iCs/>
          <w14:ligatures w14:val="standardContextual"/>
        </w:rPr>
        <w:t>Environmental Research Letters</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13</w:t>
      </w:r>
      <w:r w:rsidRPr="00C94D61">
        <w:rPr>
          <w:rFonts w:ascii="Times New Roman" w:hAnsi="Times New Roman"/>
          <w14:ligatures w14:val="standardContextual"/>
        </w:rPr>
        <w:t>(1), 015002. https://doi.org/10.1088/1748-9326/aa94fe</w:t>
      </w:r>
    </w:p>
    <w:p w14:paraId="682B432E"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Güneralp, B., Reba, M., Hales, B. U., Wentz, E. A., &amp; Seto, K. C. (2020). Trends in urban land expansion, density, and land transitions from 1970 to 2010: A global synthesis. </w:t>
      </w:r>
      <w:r w:rsidRPr="00C94D61">
        <w:rPr>
          <w:rFonts w:ascii="Times New Roman" w:hAnsi="Times New Roman"/>
          <w:i/>
          <w:iCs/>
          <w14:ligatures w14:val="standardContextual"/>
        </w:rPr>
        <w:t>Environmental Research Letters</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15</w:t>
      </w:r>
      <w:r w:rsidRPr="00C94D61">
        <w:rPr>
          <w:rFonts w:ascii="Times New Roman" w:hAnsi="Times New Roman"/>
          <w14:ligatures w14:val="standardContextual"/>
        </w:rPr>
        <w:t>(4), 044015. https://doi.org/10.1088/1748-9326/ab6669</w:t>
      </w:r>
    </w:p>
    <w:p w14:paraId="2DB47E87" w14:textId="77777777" w:rsidR="000A5A00" w:rsidRDefault="000A5A00" w:rsidP="000A5A00">
      <w:pPr>
        <w:spacing w:line="240" w:lineRule="auto"/>
        <w:ind w:left="720" w:hanging="720"/>
        <w:rPr>
          <w:rFonts w:ascii="Times New Roman" w:eastAsia="Aptos" w:hAnsi="Times New Roman"/>
          <w:kern w:val="2"/>
          <w:lang w:bidi="ar-SA"/>
          <w14:ligatures w14:val="standardContextual"/>
        </w:rPr>
      </w:pPr>
    </w:p>
    <w:p w14:paraId="01042F3A" w14:textId="462FAAB3" w:rsidR="000A5A00" w:rsidRPr="000A5A00" w:rsidRDefault="000A5A00" w:rsidP="000A5A00">
      <w:pPr>
        <w:spacing w:after="240" w:line="240" w:lineRule="auto"/>
        <w:ind w:left="720" w:hanging="720"/>
        <w:rPr>
          <w:rFonts w:ascii="Times New Roman" w:eastAsia="Aptos" w:hAnsi="Times New Roman"/>
          <w:kern w:val="2"/>
          <w:lang w:bidi="ar-SA"/>
          <w14:ligatures w14:val="standardContextual"/>
        </w:rPr>
      </w:pPr>
      <w:r w:rsidRPr="000A5A00">
        <w:rPr>
          <w:rFonts w:ascii="Times New Roman" w:eastAsia="Aptos" w:hAnsi="Times New Roman"/>
          <w:kern w:val="2"/>
          <w:lang w:bidi="ar-SA"/>
          <w14:ligatures w14:val="standardContextual"/>
        </w:rPr>
        <w:t xml:space="preserve">Korah, A. (2020). </w:t>
      </w:r>
      <w:r w:rsidRPr="000A5A00">
        <w:rPr>
          <w:rFonts w:ascii="Times New Roman" w:eastAsia="Aptos" w:hAnsi="Times New Roman"/>
          <w:i/>
          <w:iCs/>
          <w:kern w:val="2"/>
          <w:lang w:bidi="ar-SA"/>
          <w14:ligatures w14:val="standardContextual"/>
        </w:rPr>
        <w:t>Frontier Urbanization and Affirmative Action in Urban Ghana: A Case of Airport City, Accra</w:t>
      </w:r>
      <w:r w:rsidRPr="000A5A00">
        <w:rPr>
          <w:rFonts w:ascii="Times New Roman" w:eastAsia="Aptos" w:hAnsi="Times New Roman"/>
          <w:kern w:val="2"/>
          <w:lang w:bidi="ar-SA"/>
          <w14:ligatures w14:val="standardContextual"/>
        </w:rPr>
        <w:t xml:space="preserve"> [Master’s thesis, Miami University]. https://etd.ohiolink.edu/acprod/odb_etd/etd/r/1501/10?clear=10&amp;p10_accession_num=miami1595878309570218</w:t>
      </w:r>
    </w:p>
    <w:p w14:paraId="5EBD2D9A" w14:textId="70B0C52E" w:rsid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Korah, A., Koch, J. A. M., &amp; Wimberly, M. C. (2024). Understanding urban growth modeling in Africa: Dynamics, drivers, and challenges. </w:t>
      </w:r>
      <w:r w:rsidRPr="00C94D61">
        <w:rPr>
          <w:rFonts w:ascii="Times New Roman" w:hAnsi="Times New Roman"/>
          <w:i/>
          <w:iCs/>
          <w14:ligatures w14:val="standardContextual"/>
        </w:rPr>
        <w:t>Cities</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146</w:t>
      </w:r>
      <w:r w:rsidRPr="00C94D61">
        <w:rPr>
          <w:rFonts w:ascii="Times New Roman" w:hAnsi="Times New Roman"/>
          <w14:ligatures w14:val="standardContextual"/>
        </w:rPr>
        <w:t>, 104734. https://doi.org/10.1016/j.cities.2023.104734</w:t>
      </w:r>
    </w:p>
    <w:p w14:paraId="3F9D1F47" w14:textId="77777777" w:rsidR="00D31CDA" w:rsidRPr="00C94D61" w:rsidRDefault="00D31CDA" w:rsidP="00D31CDA">
      <w:pPr>
        <w:spacing w:line="240" w:lineRule="auto"/>
        <w:ind w:left="720" w:hanging="720"/>
        <w:rPr>
          <w:rFonts w:ascii="Times New Roman" w:hAnsi="Times New Roman"/>
          <w14:ligatures w14:val="standardContextual"/>
        </w:rPr>
      </w:pPr>
    </w:p>
    <w:p w14:paraId="51813D99" w14:textId="77777777" w:rsidR="00D31CDA" w:rsidRPr="00D31CDA" w:rsidRDefault="00D31CDA" w:rsidP="00D31CDA">
      <w:pPr>
        <w:spacing w:after="240" w:line="240" w:lineRule="auto"/>
        <w:ind w:left="720" w:hanging="720"/>
        <w:rPr>
          <w:rFonts w:ascii="Times New Roman" w:eastAsia="Aptos" w:hAnsi="Times New Roman"/>
          <w:kern w:val="2"/>
          <w:lang w:bidi="ar-SA"/>
          <w14:ligatures w14:val="standardContextual"/>
        </w:rPr>
      </w:pPr>
      <w:r w:rsidRPr="00D31CDA">
        <w:rPr>
          <w:rFonts w:ascii="Times New Roman" w:eastAsia="Aptos" w:hAnsi="Times New Roman"/>
          <w:kern w:val="2"/>
          <w:lang w:bidi="ar-SA"/>
          <w14:ligatures w14:val="standardContextual"/>
        </w:rPr>
        <w:t xml:space="preserve">Korah, A., &amp; Wimberly, M. (2024a). </w:t>
      </w:r>
      <w:r w:rsidRPr="00D31CDA">
        <w:rPr>
          <w:rFonts w:ascii="Times New Roman" w:eastAsia="Aptos" w:hAnsi="Times New Roman"/>
          <w:i/>
          <w:iCs/>
          <w:kern w:val="2"/>
          <w:lang w:bidi="ar-SA"/>
          <w14:ligatures w14:val="standardContextual"/>
        </w:rPr>
        <w:t>WADISC: Annual Impervious Surface Data for Ghana, Togo, Benin, and Nigeria from 2001 – 2020</w:t>
      </w:r>
      <w:r w:rsidRPr="00D31CDA">
        <w:rPr>
          <w:rFonts w:ascii="Times New Roman" w:eastAsia="Aptos" w:hAnsi="Times New Roman"/>
          <w:kern w:val="2"/>
          <w:lang w:bidi="ar-SA"/>
          <w14:ligatures w14:val="standardContextual"/>
        </w:rPr>
        <w:t xml:space="preserve"> [Dataset]. figshare. https://doi.org/10.6084/m9.figshare.24716481.v3</w:t>
      </w:r>
    </w:p>
    <w:p w14:paraId="6625070C" w14:textId="77777777" w:rsidR="00D31CDA" w:rsidRPr="00D31CDA" w:rsidRDefault="00D31CDA" w:rsidP="00D31CDA">
      <w:pPr>
        <w:spacing w:after="240" w:line="240" w:lineRule="auto"/>
        <w:ind w:left="720" w:hanging="720"/>
        <w:rPr>
          <w:rFonts w:ascii="Times New Roman" w:eastAsia="Aptos" w:hAnsi="Times New Roman"/>
          <w:kern w:val="2"/>
          <w:lang w:bidi="ar-SA"/>
          <w14:ligatures w14:val="standardContextual"/>
        </w:rPr>
      </w:pPr>
      <w:r w:rsidRPr="00D31CDA">
        <w:rPr>
          <w:rFonts w:ascii="Times New Roman" w:eastAsia="Aptos" w:hAnsi="Times New Roman"/>
          <w:kern w:val="2"/>
          <w:lang w:bidi="ar-SA"/>
          <w14:ligatures w14:val="standardContextual"/>
        </w:rPr>
        <w:t xml:space="preserve">Korah, A., &amp; Wimberly, M. C. (2024b). Annual Impervious Surface Data from 2001–2020 for West African Countries: Ghana, Togo, Benin and Nigeria. </w:t>
      </w:r>
      <w:r w:rsidRPr="00D31CDA">
        <w:rPr>
          <w:rFonts w:ascii="Times New Roman" w:eastAsia="Aptos" w:hAnsi="Times New Roman"/>
          <w:i/>
          <w:iCs/>
          <w:kern w:val="2"/>
          <w:lang w:bidi="ar-SA"/>
          <w14:ligatures w14:val="standardContextual"/>
        </w:rPr>
        <w:t>Scientific Data</w:t>
      </w:r>
      <w:r w:rsidRPr="00D31CDA">
        <w:rPr>
          <w:rFonts w:ascii="Times New Roman" w:eastAsia="Aptos" w:hAnsi="Times New Roman"/>
          <w:kern w:val="2"/>
          <w:lang w:bidi="ar-SA"/>
          <w14:ligatures w14:val="standardContextual"/>
        </w:rPr>
        <w:t xml:space="preserve">, </w:t>
      </w:r>
      <w:r w:rsidRPr="00D31CDA">
        <w:rPr>
          <w:rFonts w:ascii="Times New Roman" w:eastAsia="Aptos" w:hAnsi="Times New Roman"/>
          <w:i/>
          <w:iCs/>
          <w:kern w:val="2"/>
          <w:lang w:bidi="ar-SA"/>
          <w14:ligatures w14:val="standardContextual"/>
        </w:rPr>
        <w:t>11</w:t>
      </w:r>
      <w:r w:rsidRPr="00D31CDA">
        <w:rPr>
          <w:rFonts w:ascii="Times New Roman" w:eastAsia="Aptos" w:hAnsi="Times New Roman"/>
          <w:kern w:val="2"/>
          <w:lang w:bidi="ar-SA"/>
          <w14:ligatures w14:val="standardContextual"/>
        </w:rPr>
        <w:t>(1), 791. https://doi.org/10.1038/s41597-024-03610-8</w:t>
      </w:r>
    </w:p>
    <w:p w14:paraId="358C49DA" w14:textId="77777777" w:rsidR="00D31CDA" w:rsidRPr="00D31CDA" w:rsidRDefault="00D31CDA" w:rsidP="00D31CDA">
      <w:pPr>
        <w:spacing w:after="240" w:line="240" w:lineRule="auto"/>
        <w:ind w:left="720" w:hanging="720"/>
        <w:rPr>
          <w:rFonts w:ascii="Times New Roman" w:eastAsia="Aptos" w:hAnsi="Times New Roman"/>
          <w:kern w:val="2"/>
          <w:lang w:bidi="ar-SA"/>
          <w14:ligatures w14:val="standardContextual"/>
        </w:rPr>
      </w:pPr>
      <w:r w:rsidRPr="00D31CDA">
        <w:rPr>
          <w:rFonts w:ascii="Times New Roman" w:eastAsia="Aptos" w:hAnsi="Times New Roman"/>
          <w:kern w:val="2"/>
          <w:lang w:bidi="ar-SA"/>
          <w14:ligatures w14:val="standardContextual"/>
        </w:rPr>
        <w:t xml:space="preserve">Korah, A., &amp; Wimberly, M. C. (2024c). Smaller cities have large impacts on West Africa’s expanding urban system. </w:t>
      </w:r>
      <w:r w:rsidRPr="00D31CDA">
        <w:rPr>
          <w:rFonts w:ascii="Times New Roman" w:eastAsia="Aptos" w:hAnsi="Times New Roman"/>
          <w:i/>
          <w:iCs/>
          <w:kern w:val="2"/>
          <w:lang w:bidi="ar-SA"/>
          <w14:ligatures w14:val="standardContextual"/>
        </w:rPr>
        <w:t>Sustainable Cities and Society</w:t>
      </w:r>
      <w:r w:rsidRPr="00D31CDA">
        <w:rPr>
          <w:rFonts w:ascii="Times New Roman" w:eastAsia="Aptos" w:hAnsi="Times New Roman"/>
          <w:kern w:val="2"/>
          <w:lang w:bidi="ar-SA"/>
          <w14:ligatures w14:val="standardContextual"/>
        </w:rPr>
        <w:t xml:space="preserve">, </w:t>
      </w:r>
      <w:r w:rsidRPr="00D31CDA">
        <w:rPr>
          <w:rFonts w:ascii="Times New Roman" w:eastAsia="Aptos" w:hAnsi="Times New Roman"/>
          <w:i/>
          <w:iCs/>
          <w:kern w:val="2"/>
          <w:lang w:bidi="ar-SA"/>
          <w14:ligatures w14:val="standardContextual"/>
        </w:rPr>
        <w:t>106</w:t>
      </w:r>
      <w:r w:rsidRPr="00D31CDA">
        <w:rPr>
          <w:rFonts w:ascii="Times New Roman" w:eastAsia="Aptos" w:hAnsi="Times New Roman"/>
          <w:kern w:val="2"/>
          <w:lang w:bidi="ar-SA"/>
          <w14:ligatures w14:val="standardContextual"/>
        </w:rPr>
        <w:t>, 105381. https://doi.org/10.1016/j.scs.2024.105381</w:t>
      </w:r>
    </w:p>
    <w:p w14:paraId="6CB1587B"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Korah, P. I., Matthews, T., &amp; Tomerini, D. (2019). Characterising spatial and temporal patterns of urban evolution in Sub-Saharan Africa: The case of Accra, Ghana. </w:t>
      </w:r>
      <w:r w:rsidRPr="00C94D61">
        <w:rPr>
          <w:rFonts w:ascii="Times New Roman" w:hAnsi="Times New Roman"/>
          <w:i/>
          <w:iCs/>
          <w14:ligatures w14:val="standardContextual"/>
        </w:rPr>
        <w:t>Land Use Policy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87</w:t>
      </w:r>
      <w:r w:rsidRPr="00C94D61">
        <w:rPr>
          <w:rFonts w:ascii="Times New Roman" w:hAnsi="Times New Roman"/>
          <w14:ligatures w14:val="standardContextual"/>
        </w:rPr>
        <w:t>, 104049. https://doi.org/10.1016/j.landusepol.2019.104049</w:t>
      </w:r>
    </w:p>
    <w:p w14:paraId="6A9C6071"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lastRenderedPageBreak/>
        <w:t xml:space="preserve">Linard, C., Tatem, A. J., &amp; Gilbert, M. (2013). Modelling spatial patterns of urban growth in Africa. </w:t>
      </w:r>
      <w:r w:rsidRPr="00C94D61">
        <w:rPr>
          <w:rFonts w:ascii="Times New Roman" w:hAnsi="Times New Roman"/>
          <w:i/>
          <w:iCs/>
          <w14:ligatures w14:val="standardContextual"/>
        </w:rPr>
        <w:t>Applied Geography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44</w:t>
      </w:r>
      <w:r w:rsidRPr="00C94D61">
        <w:rPr>
          <w:rFonts w:ascii="Times New Roman" w:hAnsi="Times New Roman"/>
          <w14:ligatures w14:val="standardContextual"/>
        </w:rPr>
        <w:t>, 23–32. https://doi.org/10.1016/j.apgeog.2013.07.009</w:t>
      </w:r>
    </w:p>
    <w:p w14:paraId="0C2CAF56"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Liu, X., Liang, X., Li, X., Xu, X., Ou, J., Chen, Y., Li, S., Wang, S., &amp; Pei, F. (2017). A future land use simulation model (FLUS) for simulating multiple land use scenarios by coupling human and natural effects. </w:t>
      </w:r>
      <w:r w:rsidRPr="00C94D61">
        <w:rPr>
          <w:rFonts w:ascii="Times New Roman" w:hAnsi="Times New Roman"/>
          <w:i/>
          <w:iCs/>
          <w14:ligatures w14:val="standardContextual"/>
        </w:rPr>
        <w:t>Landscape and Urban Planning</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168</w:t>
      </w:r>
      <w:r w:rsidRPr="00C94D61">
        <w:rPr>
          <w:rFonts w:ascii="Times New Roman" w:hAnsi="Times New Roman"/>
          <w14:ligatures w14:val="standardContextual"/>
        </w:rPr>
        <w:t>, 94–116. https://doi.org/10.1016/j.landurbplan.2017.09.019</w:t>
      </w:r>
    </w:p>
    <w:p w14:paraId="294F3961"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Mahmoud, M. I., Duker, A., Conrad, C., Thiel, M., &amp; Ahmad, H. S. (2016). Analysis of Settlement Expansion and Urban Growth Modelling Using Geoinformation for Assessing Potential Impacts of Urbanization on Climate in Abuja City, Nigeria. </w:t>
      </w:r>
      <w:r w:rsidRPr="00C94D61">
        <w:rPr>
          <w:rFonts w:ascii="Times New Roman" w:hAnsi="Times New Roman"/>
          <w:i/>
          <w:iCs/>
          <w14:ligatures w14:val="standardContextual"/>
        </w:rPr>
        <w:t>Remote Sensing</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8</w:t>
      </w:r>
      <w:r w:rsidRPr="00C94D61">
        <w:rPr>
          <w:rFonts w:ascii="Times New Roman" w:hAnsi="Times New Roman"/>
          <w14:ligatures w14:val="standardContextual"/>
        </w:rPr>
        <w:t>(3). https://doi.org/10.3390/rs8030220</w:t>
      </w:r>
    </w:p>
    <w:p w14:paraId="5F590E7C"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Mahtta, R., Fragkias, M., Güneralp, B., Mahendra, A., Reba, M., Wentz, E. A., &amp; Seto, K. C. (2022). Urban land expansion: The role of population and economic growth for 300+ cities. </w:t>
      </w:r>
      <w:r w:rsidRPr="00C94D61">
        <w:rPr>
          <w:rFonts w:ascii="Times New Roman" w:hAnsi="Times New Roman"/>
          <w:i/>
          <w:iCs/>
          <w14:ligatures w14:val="standardContextual"/>
        </w:rPr>
        <w:t>Npj Urban Sustainability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2</w:t>
      </w:r>
      <w:r w:rsidRPr="00C94D61">
        <w:rPr>
          <w:rFonts w:ascii="Times New Roman" w:hAnsi="Times New Roman"/>
          <w14:ligatures w14:val="standardContextual"/>
        </w:rPr>
        <w:t>(1), 5. https://doi.org/10.1038/s42949-022-00048-y</w:t>
      </w:r>
    </w:p>
    <w:p w14:paraId="768D997D"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Marcotullio, P. J., Keßler, C., &amp; Fekete, B. M. (2022). Global urban exposure projections to extreme heatwaves. </w:t>
      </w:r>
      <w:r w:rsidRPr="00C94D61">
        <w:rPr>
          <w:rFonts w:ascii="Times New Roman" w:hAnsi="Times New Roman"/>
          <w:i/>
          <w:iCs/>
          <w14:ligatures w14:val="standardContextual"/>
        </w:rPr>
        <w:t>Frontiers in Built Environment</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8</w:t>
      </w:r>
      <w:r w:rsidRPr="00C94D61">
        <w:rPr>
          <w:rFonts w:ascii="Times New Roman" w:hAnsi="Times New Roman"/>
          <w14:ligatures w14:val="standardContextual"/>
        </w:rPr>
        <w:t>. https://www.frontiersin.org/articles/10.3389/fbuil.2022.947496</w:t>
      </w:r>
    </w:p>
    <w:p w14:paraId="31464693"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Mbiba, B. (2017). Idioms of Accumulation: Corporate Accumulation by Dispossession in Urban Zimbabwe. </w:t>
      </w:r>
      <w:r w:rsidRPr="00C94D61">
        <w:rPr>
          <w:rFonts w:ascii="Times New Roman" w:hAnsi="Times New Roman"/>
          <w:i/>
          <w:iCs/>
          <w14:ligatures w14:val="standardContextual"/>
        </w:rPr>
        <w:t>International Journal of Urban and Regional Research</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41</w:t>
      </w:r>
      <w:r w:rsidRPr="00C94D61">
        <w:rPr>
          <w:rFonts w:ascii="Times New Roman" w:hAnsi="Times New Roman"/>
          <w14:ligatures w14:val="standardContextual"/>
        </w:rPr>
        <w:t>(2), 213–234. https://doi.org/10.1111/1468-2427.12468</w:t>
      </w:r>
    </w:p>
    <w:p w14:paraId="700E3A1C"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Meentemeyer, R. K., Tang, W., Dorning, M. A., Vogler, J. B., Cunniffe, N. J., &amp; Shoemaker, D. A. (2013). FUTURES: Multilevel Simulations of Emerging Urban–Rural Landscape Structure Using a Stochastic Patch-Growing Algorithm. </w:t>
      </w:r>
      <w:r w:rsidRPr="00C94D61">
        <w:rPr>
          <w:rFonts w:ascii="Times New Roman" w:hAnsi="Times New Roman"/>
          <w:i/>
          <w:iCs/>
          <w14:ligatures w14:val="standardContextual"/>
        </w:rPr>
        <w:t>Annals of the Association of American Geographers</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103</w:t>
      </w:r>
      <w:r w:rsidRPr="00C94D61">
        <w:rPr>
          <w:rFonts w:ascii="Times New Roman" w:hAnsi="Times New Roman"/>
          <w14:ligatures w14:val="standardContextual"/>
        </w:rPr>
        <w:t>(4), 785–807. https://doi.org/10.1080/00045608.2012.707591</w:t>
      </w:r>
    </w:p>
    <w:p w14:paraId="6CD833AA"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Meijer, J. R., Huijbregts, M. A. J., Schotten, K. C. G. J., &amp; Schipper, A. M. (2018). Global patterns of current and future road infrastructure. </w:t>
      </w:r>
      <w:r w:rsidRPr="00C94D61">
        <w:rPr>
          <w:rFonts w:ascii="Times New Roman" w:hAnsi="Times New Roman"/>
          <w:i/>
          <w:iCs/>
          <w14:ligatures w14:val="standardContextual"/>
        </w:rPr>
        <w:t>Environmental Research Letters</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13</w:t>
      </w:r>
      <w:r w:rsidRPr="00C94D61">
        <w:rPr>
          <w:rFonts w:ascii="Times New Roman" w:hAnsi="Times New Roman"/>
          <w14:ligatures w14:val="standardContextual"/>
        </w:rPr>
        <w:t>(6), 064006. https://doi.org/10.1088/1748-9326/aabd42</w:t>
      </w:r>
    </w:p>
    <w:p w14:paraId="3D42E563"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OECD/SWAC. (2020). </w:t>
      </w:r>
      <w:r w:rsidRPr="00C94D61">
        <w:rPr>
          <w:rFonts w:ascii="Times New Roman" w:hAnsi="Times New Roman"/>
          <w:i/>
          <w:iCs/>
          <w14:ligatures w14:val="standardContextual"/>
        </w:rPr>
        <w:t>Africa’s Urbanization Dynamics 2020: Africapolis, Mapping a New Urban Geography, West African Studies</w:t>
      </w:r>
      <w:r w:rsidRPr="00C94D61">
        <w:rPr>
          <w:rFonts w:ascii="Times New Roman" w:hAnsi="Times New Roman"/>
          <w14:ligatures w14:val="standardContextual"/>
        </w:rPr>
        <w:t>. OECD Publishing. https://doi.org/10.1787/b6bccb81-en</w:t>
      </w:r>
    </w:p>
    <w:p w14:paraId="4A66DEB5"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Pesaresi, M., Ehrlich, D., Florczyk, A., Freire, S., Julea, A., Kemper, T., Soille, P., &amp; Syrris, V. (2015). </w:t>
      </w:r>
      <w:r w:rsidRPr="00C94D61">
        <w:rPr>
          <w:rFonts w:ascii="Times New Roman" w:hAnsi="Times New Roman"/>
          <w:i/>
          <w:iCs/>
          <w14:ligatures w14:val="standardContextual"/>
        </w:rPr>
        <w:t>GHS-BUILT R2015B - GHS built-up grid, derived from Landsat, multitemporal (1975, 1990, 2000, 2014)—OBSOLETE RELEASE</w:t>
      </w:r>
      <w:r w:rsidRPr="00C94D61">
        <w:rPr>
          <w:rFonts w:ascii="Times New Roman" w:hAnsi="Times New Roman"/>
          <w14:ligatures w14:val="standardContextual"/>
        </w:rPr>
        <w:t>. http://data.europa.eu/89h/jrc-ghsl-ghs_built_ldsmt_globe_r2015b</w:t>
      </w:r>
    </w:p>
    <w:p w14:paraId="677A9420"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lang w:val="es-ES"/>
          <w14:ligatures w14:val="standardContextual"/>
        </w:rPr>
        <w:t xml:space="preserve">Pickard, B. R., Van Berkel, D., Petrasova, A., &amp; Meentemeyer, R. K. (2017). </w:t>
      </w:r>
      <w:r w:rsidRPr="00C94D61">
        <w:rPr>
          <w:rFonts w:ascii="Times New Roman" w:hAnsi="Times New Roman"/>
          <w14:ligatures w14:val="standardContextual"/>
        </w:rPr>
        <w:t xml:space="preserve">Forecasts of urbanization scenarios reveal trade-offs between landscape change and ecosystem services. </w:t>
      </w:r>
      <w:r w:rsidRPr="00C94D61">
        <w:rPr>
          <w:rFonts w:ascii="Times New Roman" w:hAnsi="Times New Roman"/>
          <w:i/>
          <w:iCs/>
          <w14:ligatures w14:val="standardContextual"/>
        </w:rPr>
        <w:t>Landscape Ecology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32</w:t>
      </w:r>
      <w:r w:rsidRPr="00C94D61">
        <w:rPr>
          <w:rFonts w:ascii="Times New Roman" w:hAnsi="Times New Roman"/>
          <w14:ligatures w14:val="standardContextual"/>
        </w:rPr>
        <w:t>(3), 617–634. https://doi.org/10.1007/s10980-016-0465-8</w:t>
      </w:r>
    </w:p>
    <w:p w14:paraId="64918FAD"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lastRenderedPageBreak/>
        <w:t xml:space="preserve">Plassin, S., Koch, J., Paladino, S., Friedman, J. R., Spencer, K., &amp; Vaché, K. B. (2020). A socio-environmental geodatabase for integrative research in the transboundary Rio Grande/Río Bravo basin. </w:t>
      </w:r>
      <w:r w:rsidRPr="00C94D61">
        <w:rPr>
          <w:rFonts w:ascii="Times New Roman" w:hAnsi="Times New Roman"/>
          <w:i/>
          <w:iCs/>
          <w14:ligatures w14:val="standardContextual"/>
        </w:rPr>
        <w:t>Scientific Data</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7</w:t>
      </w:r>
      <w:r w:rsidRPr="00C94D61">
        <w:rPr>
          <w:rFonts w:ascii="Times New Roman" w:hAnsi="Times New Roman"/>
          <w14:ligatures w14:val="standardContextual"/>
        </w:rPr>
        <w:t>(1), Article 1. https://doi.org/10.1038/s41597-020-0410-1</w:t>
      </w:r>
    </w:p>
    <w:p w14:paraId="3F41C9F2"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Schneider, A., &amp; Mertes, C. M. (2014). Expansion and growth in Chinese cities, 1978–2010. </w:t>
      </w:r>
      <w:r w:rsidRPr="00C94D61">
        <w:rPr>
          <w:rFonts w:ascii="Times New Roman" w:hAnsi="Times New Roman"/>
          <w:i/>
          <w:iCs/>
          <w14:ligatures w14:val="standardContextual"/>
        </w:rPr>
        <w:t>Environmental Research Letters</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9</w:t>
      </w:r>
      <w:r w:rsidRPr="00C94D61">
        <w:rPr>
          <w:rFonts w:ascii="Times New Roman" w:hAnsi="Times New Roman"/>
          <w14:ligatures w14:val="standardContextual"/>
        </w:rPr>
        <w:t>(2), 024008. https://doi.org/10.1088/1748-9326/9/2/024008</w:t>
      </w:r>
    </w:p>
    <w:p w14:paraId="59ED2A8B"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Seto, K. C., Guneralp, B., &amp; Hutyra, L. R. (2012). Global forecasts of urban expansion to 2030 and direct impacts on biodiversity and carbon pools. </w:t>
      </w:r>
      <w:r w:rsidRPr="00C94D61">
        <w:rPr>
          <w:rFonts w:ascii="Times New Roman" w:hAnsi="Times New Roman"/>
          <w:i/>
          <w:iCs/>
          <w14:ligatures w14:val="standardContextual"/>
        </w:rPr>
        <w:t>Proceedings of the National Academy of Sciences</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109</w:t>
      </w:r>
      <w:r w:rsidRPr="00C94D61">
        <w:rPr>
          <w:rFonts w:ascii="Times New Roman" w:hAnsi="Times New Roman"/>
          <w14:ligatures w14:val="standardContextual"/>
        </w:rPr>
        <w:t>(40), 16083–16088. https://doi.org/10.1073/pnas.1211658109</w:t>
      </w:r>
    </w:p>
    <w:p w14:paraId="7A860A55" w14:textId="77777777" w:rsidR="00C94D61" w:rsidRPr="00C94D61" w:rsidRDefault="00C94D61" w:rsidP="00C94D61">
      <w:pPr>
        <w:spacing w:before="240" w:line="240" w:lineRule="auto"/>
        <w:ind w:left="720" w:hanging="720"/>
        <w:rPr>
          <w:rFonts w:ascii="Times New Roman" w:hAnsi="Times New Roman"/>
          <w:lang w:val="fr-FR"/>
          <w14:ligatures w14:val="standardContextual"/>
        </w:rPr>
      </w:pPr>
      <w:r w:rsidRPr="00C94D61">
        <w:rPr>
          <w:rFonts w:ascii="Times New Roman" w:hAnsi="Times New Roman"/>
          <w14:ligatures w14:val="standardContextual"/>
        </w:rPr>
        <w:t xml:space="preserve">Tagnan, J. N., Amponsah, O., Takyi, S. A., Azunre, G. A., &amp; Braimah, I. (2022). A view of urban sprawl through the lens of family nuclearisation. </w:t>
      </w:r>
      <w:r w:rsidRPr="00C94D61">
        <w:rPr>
          <w:rFonts w:ascii="Times New Roman" w:hAnsi="Times New Roman"/>
          <w:i/>
          <w:iCs/>
          <w:lang w:val="fr-FR"/>
          <w14:ligatures w14:val="standardContextual"/>
        </w:rPr>
        <w:t>Habitat International</w:t>
      </w:r>
      <w:r w:rsidRPr="00C94D61">
        <w:rPr>
          <w:rFonts w:ascii="Times New Roman" w:hAnsi="Times New Roman"/>
          <w:lang w:val="fr-FR"/>
          <w14:ligatures w14:val="standardContextual"/>
        </w:rPr>
        <w:t xml:space="preserve">, </w:t>
      </w:r>
      <w:r w:rsidRPr="00C94D61">
        <w:rPr>
          <w:rFonts w:ascii="Times New Roman" w:hAnsi="Times New Roman"/>
          <w:i/>
          <w:iCs/>
          <w:lang w:val="fr-FR"/>
          <w14:ligatures w14:val="standardContextual"/>
        </w:rPr>
        <w:t>123</w:t>
      </w:r>
      <w:r w:rsidRPr="00C94D61">
        <w:rPr>
          <w:rFonts w:ascii="Times New Roman" w:hAnsi="Times New Roman"/>
          <w:lang w:val="fr-FR"/>
          <w14:ligatures w14:val="standardContextual"/>
        </w:rPr>
        <w:t>, 102555. https://doi.org/10.1016/j.habitatint.2022.102555</w:t>
      </w:r>
    </w:p>
    <w:p w14:paraId="0347580B"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lang w:val="fr-FR"/>
          <w14:ligatures w14:val="standardContextual"/>
        </w:rPr>
        <w:t xml:space="preserve">Tulbure, Mirela. G., Hostert, P., Kuemmerle, T., &amp; Broich, M. (2022). </w:t>
      </w:r>
      <w:r w:rsidRPr="00C94D61">
        <w:rPr>
          <w:rFonts w:ascii="Times New Roman" w:hAnsi="Times New Roman"/>
          <w:i/>
          <w:iCs/>
          <w14:ligatures w14:val="standardContextual"/>
        </w:rPr>
        <w:t>Regional matters: On the usefulness of regional land-cover datasets in times of global change</w:t>
      </w:r>
      <w:r w:rsidRPr="00C94D61">
        <w:rPr>
          <w:rFonts w:ascii="Times New Roman" w:hAnsi="Times New Roman"/>
          <w14:ligatures w14:val="standardContextual"/>
        </w:rPr>
        <w:t>.</w:t>
      </w:r>
    </w:p>
    <w:p w14:paraId="63094688"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lang w:val="es-ES"/>
          <w14:ligatures w14:val="standardContextual"/>
        </w:rPr>
        <w:t xml:space="preserve">Van Berkel, D., Shashidharan, A., Mordecai, R., Vatsavai, R., Petrasova, A., Petras, V., Mitasova, H., Vogler, J., &amp; Meentemeyer, R. (2019). </w:t>
      </w:r>
      <w:r w:rsidRPr="00C94D61">
        <w:rPr>
          <w:rFonts w:ascii="Times New Roman" w:hAnsi="Times New Roman"/>
          <w14:ligatures w14:val="standardContextual"/>
        </w:rPr>
        <w:t xml:space="preserve">Projecting Urbanization and Landscape Change at Large Scale Using the FUTURES Model. </w:t>
      </w:r>
      <w:r w:rsidRPr="00C94D61">
        <w:rPr>
          <w:rFonts w:ascii="Times New Roman" w:hAnsi="Times New Roman"/>
          <w:i/>
          <w:iCs/>
          <w14:ligatures w14:val="standardContextual"/>
        </w:rPr>
        <w:t>Land</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8</w:t>
      </w:r>
      <w:r w:rsidRPr="00C94D61">
        <w:rPr>
          <w:rFonts w:ascii="Times New Roman" w:hAnsi="Times New Roman"/>
          <w14:ligatures w14:val="standardContextual"/>
        </w:rPr>
        <w:t>(10), 144. https://doi.org/10.3390/land8100144</w:t>
      </w:r>
    </w:p>
    <w:p w14:paraId="75E3B383"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Wang, P., Huang, C., Brown de Colstoun, E. C., Tilton, J. C., &amp; Tan, B. (2017). </w:t>
      </w:r>
      <w:r w:rsidRPr="00C94D61">
        <w:rPr>
          <w:rFonts w:ascii="Times New Roman" w:hAnsi="Times New Roman"/>
          <w:i/>
          <w:iCs/>
          <w14:ligatures w14:val="standardContextual"/>
        </w:rPr>
        <w:t>Global Human Built-up And Settlement Extent (HBASE) Dataset From Landsat</w:t>
      </w:r>
      <w:r w:rsidRPr="00C94D61">
        <w:rPr>
          <w:rFonts w:ascii="Times New Roman" w:hAnsi="Times New Roman"/>
          <w14:ligatures w14:val="standardContextual"/>
        </w:rPr>
        <w:t>. NASA Socioeconomic Data and Applications Center (SEDAC). https://doi.org/10.7927/H4DN434S</w:t>
      </w:r>
    </w:p>
    <w:p w14:paraId="3B6A8CD8"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Xu, G., Dong, T., Cobbinah, P. B., Jiao, L., Sumari, N. S., Chai, B., &amp; Liu, Y. (2019). Urban expansion and form changes across African cities with a global outlook: Spatiotemporal analysis of urban land densities. </w:t>
      </w:r>
      <w:r w:rsidRPr="00C94D61">
        <w:rPr>
          <w:rFonts w:ascii="Times New Roman" w:hAnsi="Times New Roman"/>
          <w:i/>
          <w:iCs/>
          <w14:ligatures w14:val="standardContextual"/>
        </w:rPr>
        <w:t>Journal of Cleaner Production</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224</w:t>
      </w:r>
      <w:r w:rsidRPr="00C94D61">
        <w:rPr>
          <w:rFonts w:ascii="Times New Roman" w:hAnsi="Times New Roman"/>
          <w14:ligatures w14:val="standardContextual"/>
        </w:rPr>
        <w:t>, 802–810. https://doi.org/10.1016/j.jclepro.2019.03.276</w:t>
      </w:r>
    </w:p>
    <w:p w14:paraId="01AA15CF"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Yang, G., Yu, Z., Zhang, J., &amp; Søderkvist Kristensen, L. (2021). From preference to landscape sustainability: A bibliometric review of landscape preference research from 1968 to 2019. </w:t>
      </w:r>
      <w:r w:rsidRPr="00C94D61">
        <w:rPr>
          <w:rFonts w:ascii="Times New Roman" w:hAnsi="Times New Roman"/>
          <w:i/>
          <w:iCs/>
          <w14:ligatures w14:val="standardContextual"/>
        </w:rPr>
        <w:t>Ecosystem Health and Sustainability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7</w:t>
      </w:r>
      <w:r w:rsidRPr="00C94D61">
        <w:rPr>
          <w:rFonts w:ascii="Times New Roman" w:hAnsi="Times New Roman"/>
          <w14:ligatures w14:val="standardContextual"/>
        </w:rPr>
        <w:t>(1), 1948355. https://doi.org/10.1080/20964129.2021.1948355</w:t>
      </w:r>
    </w:p>
    <w:p w14:paraId="751369C8"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Yeboah, I. E. A., Maingi, J. K., &amp; Arku, G. (2020). ‘World Trade Center, Accra’: Production of urban space for the continued peripheral linkage of Ghana under globalization. </w:t>
      </w:r>
      <w:r w:rsidRPr="00C94D61">
        <w:rPr>
          <w:rFonts w:ascii="Times New Roman" w:hAnsi="Times New Roman"/>
          <w:i/>
          <w:iCs/>
          <w14:ligatures w14:val="standardContextual"/>
        </w:rPr>
        <w:t>African Geographical Review</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40</w:t>
      </w:r>
      <w:r w:rsidRPr="00C94D61">
        <w:rPr>
          <w:rFonts w:ascii="Times New Roman" w:hAnsi="Times New Roman"/>
          <w14:ligatures w14:val="standardContextual"/>
        </w:rPr>
        <w:t>(1), 19–32. https://doi.org/10.1080/19376812.2020.1755323</w:t>
      </w:r>
    </w:p>
    <w:p w14:paraId="04CE17B8" w14:textId="77777777" w:rsidR="00C94D61" w:rsidRPr="00C94D61" w:rsidRDefault="00C94D61" w:rsidP="00C94D61">
      <w:pPr>
        <w:spacing w:before="240" w:line="240" w:lineRule="auto"/>
        <w:ind w:left="720" w:hanging="720"/>
        <w:rPr>
          <w:rFonts w:ascii="Times New Roman" w:hAnsi="Times New Roman"/>
          <w14:ligatures w14:val="standardContextual"/>
        </w:rPr>
      </w:pPr>
      <w:r w:rsidRPr="00C94D61">
        <w:rPr>
          <w:rFonts w:ascii="Times New Roman" w:hAnsi="Times New Roman"/>
          <w14:ligatures w14:val="standardContextual"/>
        </w:rPr>
        <w:t xml:space="preserve">Zhao, S. (2011). Simulation of Mass Fire-Spread in Urban Densely Built Areas Based on Irregular Coarse Cellular Automata. </w:t>
      </w:r>
      <w:r w:rsidRPr="00C94D61">
        <w:rPr>
          <w:rFonts w:ascii="Times New Roman" w:hAnsi="Times New Roman"/>
          <w:i/>
          <w:iCs/>
          <w14:ligatures w14:val="standardContextual"/>
        </w:rPr>
        <w:t>Fire Technology</w:t>
      </w:r>
      <w:r w:rsidRPr="00C94D61">
        <w:rPr>
          <w:rFonts w:ascii="Times New Roman" w:hAnsi="Times New Roman"/>
          <w14:ligatures w14:val="standardContextual"/>
        </w:rPr>
        <w:t xml:space="preserve">, </w:t>
      </w:r>
      <w:r w:rsidRPr="00C94D61">
        <w:rPr>
          <w:rFonts w:ascii="Times New Roman" w:hAnsi="Times New Roman"/>
          <w:i/>
          <w:iCs/>
          <w14:ligatures w14:val="standardContextual"/>
        </w:rPr>
        <w:t>47</w:t>
      </w:r>
      <w:r w:rsidRPr="00C94D61">
        <w:rPr>
          <w:rFonts w:ascii="Times New Roman" w:hAnsi="Times New Roman"/>
          <w14:ligatures w14:val="standardContextual"/>
        </w:rPr>
        <w:t>(3), 721–749. https://doi.org/10.1007/s10694-010-0187-4</w:t>
      </w:r>
    </w:p>
    <w:p w14:paraId="528694BF" w14:textId="5D9387E8" w:rsidR="00901786" w:rsidRPr="00AA0B13" w:rsidRDefault="00C94D61" w:rsidP="0019713E">
      <w:pPr>
        <w:spacing w:before="240" w:line="240" w:lineRule="auto"/>
        <w:ind w:left="720" w:hanging="720"/>
      </w:pPr>
      <w:r w:rsidRPr="00C94D61">
        <w:rPr>
          <w:rFonts w:ascii="Times New Roman" w:hAnsi="Times New Roman"/>
          <w14:ligatures w14:val="standardContextual"/>
        </w:rPr>
        <w:fldChar w:fldCharType="end"/>
      </w:r>
    </w:p>
    <w:p w14:paraId="3371580C" w14:textId="1E2B5954" w:rsidR="00AA0B13" w:rsidRDefault="00001908" w:rsidP="00001908">
      <w:pPr>
        <w:spacing w:after="240" w:line="240" w:lineRule="auto"/>
        <w:ind w:left="720" w:hanging="720"/>
      </w:pPr>
      <w:r w:rsidRPr="00AA0B13">
        <w:t xml:space="preserve"> </w:t>
      </w:r>
    </w:p>
    <w:p w14:paraId="1E4B8CD1" w14:textId="0434145F" w:rsidR="00AA0B13" w:rsidRDefault="00AA0B13" w:rsidP="002B23DE">
      <w:pPr>
        <w:pStyle w:val="Heading1"/>
      </w:pPr>
      <w:r>
        <w:br w:type="page"/>
      </w:r>
      <w:bookmarkStart w:id="186" w:name="_Toc310579475"/>
      <w:bookmarkStart w:id="187" w:name="_Toc172288772"/>
      <w:r w:rsidR="00AA735E">
        <w:lastRenderedPageBreak/>
        <w:t>Supplemental Material</w:t>
      </w:r>
      <w:bookmarkEnd w:id="186"/>
      <w:bookmarkEnd w:id="187"/>
    </w:p>
    <w:p w14:paraId="7F5261CB" w14:textId="0F00DC49" w:rsidR="002F7CBB" w:rsidRDefault="00D044D7" w:rsidP="00397A7D">
      <w:pPr>
        <w:pStyle w:val="Heading2"/>
        <w:numPr>
          <w:ilvl w:val="0"/>
          <w:numId w:val="0"/>
        </w:numPr>
        <w:ind w:left="792"/>
      </w:pPr>
      <w:bookmarkStart w:id="188" w:name="_Toc172288773"/>
      <w:r>
        <w:t>Chapter Tw</w:t>
      </w:r>
      <w:r w:rsidR="0061117F">
        <w:t>o</w:t>
      </w:r>
      <w:bookmarkEnd w:id="188"/>
    </w:p>
    <w:p w14:paraId="0453BAC6" w14:textId="77777777" w:rsidR="00972DD8" w:rsidRPr="00141867" w:rsidRDefault="00972DD8" w:rsidP="00141867">
      <w:pPr>
        <w:spacing w:line="240" w:lineRule="auto"/>
        <w:rPr>
          <w:rFonts w:ascii="Times New Roman" w:hAnsi="Times New Roman"/>
        </w:rPr>
      </w:pPr>
    </w:p>
    <w:p w14:paraId="6F47F113" w14:textId="77777777" w:rsidR="0061117F" w:rsidRDefault="0061117F" w:rsidP="0061117F">
      <w:pPr>
        <w:rPr>
          <w:rFonts w:ascii="Times New Roman" w:hAnsi="Times New Roman"/>
          <w:b/>
          <w:bCs/>
        </w:rPr>
      </w:pPr>
      <w:r>
        <w:rPr>
          <w:rFonts w:ascii="Times New Roman" w:hAnsi="Times New Roman"/>
          <w:b/>
          <w:bCs/>
          <w:noProof/>
          <w:lang w:bidi="ar-SA"/>
        </w:rPr>
        <w:drawing>
          <wp:inline distT="0" distB="0" distL="0" distR="0" wp14:anchorId="0D486C88" wp14:editId="49F4C2F9">
            <wp:extent cx="5879112" cy="2449002"/>
            <wp:effectExtent l="0" t="0" r="7620" b="8890"/>
            <wp:docPr id="1592159030" name="Picture 6"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36063" name="Picture 6" descr="A graph of different colored lines&#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83422" cy="2450797"/>
                    </a:xfrm>
                    <a:prstGeom prst="rect">
                      <a:avLst/>
                    </a:prstGeom>
                  </pic:spPr>
                </pic:pic>
              </a:graphicData>
            </a:graphic>
          </wp:inline>
        </w:drawing>
      </w:r>
    </w:p>
    <w:p w14:paraId="3200EDD4" w14:textId="77777777" w:rsidR="00385BB6" w:rsidRDefault="00385BB6" w:rsidP="00972DD8">
      <w:pPr>
        <w:spacing w:line="240" w:lineRule="auto"/>
        <w:rPr>
          <w:rFonts w:ascii="Times New Roman" w:hAnsi="Times New Roman"/>
        </w:rPr>
      </w:pPr>
    </w:p>
    <w:p w14:paraId="686AD0AA" w14:textId="5FC8B627" w:rsidR="00972DD8" w:rsidRDefault="00972DD8" w:rsidP="00972DD8">
      <w:pPr>
        <w:spacing w:line="240" w:lineRule="auto"/>
        <w:rPr>
          <w:rFonts w:ascii="Times New Roman" w:hAnsi="Times New Roman"/>
        </w:rPr>
      </w:pPr>
      <w:r w:rsidRPr="006E12E4">
        <w:rPr>
          <w:rFonts w:ascii="Times New Roman" w:hAnsi="Times New Roman"/>
          <w:b/>
          <w:bCs/>
        </w:rPr>
        <w:t>Figure S1</w:t>
      </w:r>
      <w:r w:rsidRPr="00141867">
        <w:rPr>
          <w:rFonts w:ascii="Times New Roman" w:hAnsi="Times New Roman"/>
        </w:rPr>
        <w:t>: Developed area and expansion rates summarized across the study area. The area graphs on the left represent the proportion of total developed area for each city type, and the line graphs on the right represent the corresponding growth rates.</w:t>
      </w:r>
    </w:p>
    <w:p w14:paraId="4E77E3CB" w14:textId="77777777" w:rsidR="00972DD8" w:rsidRDefault="00972DD8" w:rsidP="0061117F">
      <w:pPr>
        <w:rPr>
          <w:rFonts w:ascii="Times New Roman" w:hAnsi="Times New Roman"/>
          <w:b/>
          <w:bCs/>
        </w:rPr>
      </w:pPr>
    </w:p>
    <w:p w14:paraId="35F866A1" w14:textId="77777777" w:rsidR="0061117F" w:rsidRDefault="0061117F" w:rsidP="0061117F">
      <w:pPr>
        <w:rPr>
          <w:rFonts w:ascii="Times New Roman" w:hAnsi="Times New Roman"/>
          <w:b/>
          <w:iCs/>
        </w:rPr>
      </w:pPr>
      <w:r>
        <w:rPr>
          <w:rFonts w:ascii="Times New Roman" w:hAnsi="Times New Roman"/>
          <w:b/>
          <w:i/>
        </w:rPr>
        <w:br w:type="page"/>
      </w:r>
    </w:p>
    <w:p w14:paraId="26A3D75C" w14:textId="17FBFB09" w:rsidR="00141867" w:rsidRDefault="00621F4E" w:rsidP="00141867">
      <w:pPr>
        <w:pStyle w:val="Caption"/>
        <w:jc w:val="both"/>
        <w:rPr>
          <w:rFonts w:ascii="Times New Roman" w:hAnsi="Times New Roman"/>
          <w:b w:val="0"/>
          <w:bCs w:val="0"/>
          <w:szCs w:val="24"/>
        </w:rPr>
      </w:pPr>
      <w:r w:rsidRPr="006E12E4">
        <w:rPr>
          <w:rFonts w:ascii="Times New Roman" w:hAnsi="Times New Roman"/>
          <w:szCs w:val="24"/>
        </w:rPr>
        <w:lastRenderedPageBreak/>
        <w:t>Table S</w:t>
      </w:r>
      <w:r w:rsidR="00FA1C69" w:rsidRPr="006E12E4">
        <w:rPr>
          <w:rFonts w:ascii="Times New Roman" w:hAnsi="Times New Roman"/>
          <w:szCs w:val="24"/>
        </w:rPr>
        <w:t>1</w:t>
      </w:r>
      <w:r w:rsidR="0061117F" w:rsidRPr="00141867">
        <w:rPr>
          <w:rFonts w:ascii="Times New Roman" w:hAnsi="Times New Roman"/>
          <w:b w:val="0"/>
          <w:bCs w:val="0"/>
          <w:szCs w:val="24"/>
        </w:rPr>
        <w:t>: Mann-Kendall and Sen's slope test of annual expansion rates trend from 2001 – 2020 at a 0.05 alpha value. The bolded numbers are the statistics for the entire study area or country.</w:t>
      </w:r>
    </w:p>
    <w:p w14:paraId="7C5041D1" w14:textId="77777777" w:rsidR="00141867" w:rsidRPr="00141867" w:rsidRDefault="00141867" w:rsidP="00141867">
      <w:pPr>
        <w:spacing w:line="240" w:lineRule="auto"/>
      </w:pPr>
    </w:p>
    <w:tbl>
      <w:tblPr>
        <w:tblpPr w:leftFromText="180" w:rightFromText="180" w:vertAnchor="text" w:tblpY="1"/>
        <w:tblOverlap w:val="never"/>
        <w:tblW w:w="6930" w:type="dxa"/>
        <w:tblLook w:val="04A0" w:firstRow="1" w:lastRow="0" w:firstColumn="1" w:lastColumn="0" w:noHBand="0" w:noVBand="1"/>
      </w:tblPr>
      <w:tblGrid>
        <w:gridCol w:w="1350"/>
        <w:gridCol w:w="1080"/>
        <w:gridCol w:w="3060"/>
        <w:gridCol w:w="1440"/>
      </w:tblGrid>
      <w:tr w:rsidR="0061117F" w:rsidRPr="00D3667F" w14:paraId="52EA1D64"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hideMark/>
          </w:tcPr>
          <w:p w14:paraId="53B05754" w14:textId="77777777" w:rsidR="0061117F" w:rsidRPr="00AF061B" w:rsidRDefault="0061117F" w:rsidP="006F7C17">
            <w:pPr>
              <w:spacing w:line="240" w:lineRule="auto"/>
              <w:rPr>
                <w:rFonts w:ascii="Times New Roman" w:hAnsi="Times New Roman"/>
                <w:b/>
                <w:color w:val="000000"/>
              </w:rPr>
            </w:pPr>
            <w:r w:rsidRPr="00AF061B">
              <w:rPr>
                <w:rFonts w:ascii="Times New Roman" w:hAnsi="Times New Roman"/>
                <w:b/>
                <w:color w:val="000000"/>
              </w:rPr>
              <w:t>City Type</w:t>
            </w:r>
          </w:p>
        </w:tc>
        <w:tc>
          <w:tcPr>
            <w:tcW w:w="1080" w:type="dxa"/>
            <w:tcBorders>
              <w:top w:val="single" w:sz="4" w:space="0" w:color="auto"/>
              <w:left w:val="nil"/>
              <w:bottom w:val="single" w:sz="4" w:space="0" w:color="auto"/>
            </w:tcBorders>
            <w:shd w:val="clear" w:color="auto" w:fill="auto"/>
            <w:noWrap/>
            <w:vAlign w:val="bottom"/>
            <w:hideMark/>
          </w:tcPr>
          <w:p w14:paraId="2F130BBB"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P-Value</w:t>
            </w:r>
          </w:p>
        </w:tc>
        <w:tc>
          <w:tcPr>
            <w:tcW w:w="3060" w:type="dxa"/>
            <w:tcBorders>
              <w:top w:val="single" w:sz="4" w:space="0" w:color="auto"/>
              <w:bottom w:val="single" w:sz="4" w:space="0" w:color="auto"/>
              <w:right w:val="nil"/>
            </w:tcBorders>
            <w:shd w:val="clear" w:color="auto" w:fill="auto"/>
            <w:noWrap/>
            <w:vAlign w:val="bottom"/>
            <w:hideMark/>
          </w:tcPr>
          <w:p w14:paraId="08B5D316"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Confidence Interval (95%)</w:t>
            </w:r>
          </w:p>
        </w:tc>
        <w:tc>
          <w:tcPr>
            <w:tcW w:w="1440" w:type="dxa"/>
            <w:tcBorders>
              <w:top w:val="single" w:sz="4" w:space="0" w:color="auto"/>
              <w:left w:val="nil"/>
              <w:bottom w:val="single" w:sz="4" w:space="0" w:color="auto"/>
              <w:right w:val="nil"/>
            </w:tcBorders>
            <w:shd w:val="clear" w:color="auto" w:fill="auto"/>
            <w:noWrap/>
            <w:vAlign w:val="bottom"/>
            <w:hideMark/>
          </w:tcPr>
          <w:p w14:paraId="426FB7C7"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Sen's Slope</w:t>
            </w:r>
          </w:p>
        </w:tc>
      </w:tr>
      <w:tr w:rsidR="0061117F" w:rsidRPr="00D3667F" w14:paraId="7A539788"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tcPr>
          <w:p w14:paraId="7A7665D5" w14:textId="77777777" w:rsidR="0061117F" w:rsidRPr="00AF061B" w:rsidRDefault="0061117F" w:rsidP="006F7C17">
            <w:pPr>
              <w:spacing w:line="240" w:lineRule="auto"/>
              <w:rPr>
                <w:rFonts w:ascii="Times New Roman" w:hAnsi="Times New Roman"/>
                <w:b/>
                <w:color w:val="000000"/>
              </w:rPr>
            </w:pPr>
            <w:r w:rsidRPr="00AF061B">
              <w:rPr>
                <w:rFonts w:ascii="Times New Roman" w:hAnsi="Times New Roman"/>
                <w:b/>
                <w:color w:val="000000"/>
              </w:rPr>
              <w:t>Benin</w:t>
            </w:r>
          </w:p>
        </w:tc>
        <w:tc>
          <w:tcPr>
            <w:tcW w:w="1080" w:type="dxa"/>
            <w:tcBorders>
              <w:top w:val="single" w:sz="4" w:space="0" w:color="auto"/>
              <w:left w:val="nil"/>
              <w:bottom w:val="single" w:sz="4" w:space="0" w:color="auto"/>
            </w:tcBorders>
            <w:shd w:val="clear" w:color="auto" w:fill="auto"/>
            <w:noWrap/>
            <w:vAlign w:val="center"/>
          </w:tcPr>
          <w:p w14:paraId="2B2D9AC9"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0.0000</w:t>
            </w:r>
          </w:p>
        </w:tc>
        <w:tc>
          <w:tcPr>
            <w:tcW w:w="3060" w:type="dxa"/>
            <w:tcBorders>
              <w:top w:val="single" w:sz="4" w:space="0" w:color="auto"/>
              <w:bottom w:val="single" w:sz="4" w:space="0" w:color="auto"/>
              <w:right w:val="nil"/>
            </w:tcBorders>
            <w:shd w:val="clear" w:color="auto" w:fill="auto"/>
            <w:noWrap/>
            <w:vAlign w:val="center"/>
          </w:tcPr>
          <w:p w14:paraId="0F97D4FC"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[-0.1181, -0.0782]</w:t>
            </w:r>
          </w:p>
        </w:tc>
        <w:tc>
          <w:tcPr>
            <w:tcW w:w="1440" w:type="dxa"/>
            <w:tcBorders>
              <w:top w:val="single" w:sz="4" w:space="0" w:color="auto"/>
              <w:left w:val="nil"/>
              <w:bottom w:val="single" w:sz="4" w:space="0" w:color="auto"/>
              <w:right w:val="nil"/>
            </w:tcBorders>
            <w:shd w:val="clear" w:color="auto" w:fill="auto"/>
            <w:noWrap/>
            <w:vAlign w:val="center"/>
          </w:tcPr>
          <w:p w14:paraId="4ED2715B"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-0.0999</w:t>
            </w:r>
          </w:p>
        </w:tc>
      </w:tr>
      <w:tr w:rsidR="0061117F" w:rsidRPr="00D3667F" w14:paraId="7D4581CB" w14:textId="77777777" w:rsidTr="006F7C17">
        <w:trPr>
          <w:trHeight w:val="312"/>
        </w:trPr>
        <w:tc>
          <w:tcPr>
            <w:tcW w:w="1350" w:type="dxa"/>
            <w:tcBorders>
              <w:top w:val="single" w:sz="4" w:space="0" w:color="auto"/>
              <w:left w:val="nil"/>
              <w:bottom w:val="nil"/>
              <w:right w:val="nil"/>
            </w:tcBorders>
            <w:shd w:val="clear" w:color="auto" w:fill="auto"/>
            <w:noWrap/>
            <w:vAlign w:val="bottom"/>
          </w:tcPr>
          <w:p w14:paraId="73E936B0" w14:textId="77777777" w:rsidR="0061117F" w:rsidRPr="00AF061B" w:rsidRDefault="0061117F" w:rsidP="006F7C17">
            <w:pPr>
              <w:spacing w:line="240" w:lineRule="auto"/>
              <w:rPr>
                <w:rFonts w:ascii="Times New Roman" w:hAnsi="Times New Roman"/>
                <w:b/>
                <w:color w:val="000000"/>
              </w:rPr>
            </w:pPr>
            <w:r w:rsidRPr="00AF061B">
              <w:rPr>
                <w:rFonts w:ascii="Times New Roman" w:hAnsi="Times New Roman"/>
                <w:color w:val="000000"/>
              </w:rPr>
              <w:t>Large</w:t>
            </w:r>
          </w:p>
        </w:tc>
        <w:tc>
          <w:tcPr>
            <w:tcW w:w="1080" w:type="dxa"/>
            <w:tcBorders>
              <w:top w:val="single" w:sz="4" w:space="0" w:color="auto"/>
              <w:left w:val="nil"/>
              <w:bottom w:val="nil"/>
            </w:tcBorders>
            <w:shd w:val="clear" w:color="auto" w:fill="auto"/>
            <w:noWrap/>
            <w:vAlign w:val="center"/>
          </w:tcPr>
          <w:p w14:paraId="54E3E88F"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color w:val="000000"/>
              </w:rPr>
              <w:t>0.0000</w:t>
            </w:r>
          </w:p>
        </w:tc>
        <w:tc>
          <w:tcPr>
            <w:tcW w:w="3060" w:type="dxa"/>
            <w:tcBorders>
              <w:top w:val="single" w:sz="4" w:space="0" w:color="auto"/>
              <w:bottom w:val="nil"/>
              <w:right w:val="nil"/>
            </w:tcBorders>
            <w:shd w:val="clear" w:color="auto" w:fill="auto"/>
            <w:noWrap/>
            <w:vAlign w:val="center"/>
          </w:tcPr>
          <w:p w14:paraId="465DA212"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color w:val="000000"/>
              </w:rPr>
              <w:t>[-0.2051, -0.1521]</w:t>
            </w:r>
          </w:p>
        </w:tc>
        <w:tc>
          <w:tcPr>
            <w:tcW w:w="1440" w:type="dxa"/>
            <w:tcBorders>
              <w:top w:val="single" w:sz="4" w:space="0" w:color="auto"/>
              <w:left w:val="nil"/>
              <w:bottom w:val="nil"/>
              <w:right w:val="nil"/>
            </w:tcBorders>
            <w:shd w:val="clear" w:color="auto" w:fill="auto"/>
            <w:noWrap/>
            <w:vAlign w:val="center"/>
          </w:tcPr>
          <w:p w14:paraId="111F6A81"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color w:val="000000"/>
              </w:rPr>
              <w:t>-0.1814</w:t>
            </w:r>
          </w:p>
        </w:tc>
      </w:tr>
      <w:tr w:rsidR="0061117F" w:rsidRPr="00D3667F" w14:paraId="37338A1B" w14:textId="77777777" w:rsidTr="006F7C17">
        <w:trPr>
          <w:trHeight w:val="312"/>
        </w:trPr>
        <w:tc>
          <w:tcPr>
            <w:tcW w:w="1350" w:type="dxa"/>
            <w:tcBorders>
              <w:top w:val="nil"/>
              <w:left w:val="nil"/>
              <w:bottom w:val="nil"/>
              <w:right w:val="nil"/>
            </w:tcBorders>
            <w:shd w:val="clear" w:color="auto" w:fill="auto"/>
            <w:noWrap/>
            <w:vAlign w:val="bottom"/>
          </w:tcPr>
          <w:p w14:paraId="6E914C05" w14:textId="77777777" w:rsidR="0061117F" w:rsidRPr="00AF061B" w:rsidRDefault="0061117F" w:rsidP="006F7C17">
            <w:pPr>
              <w:spacing w:line="240" w:lineRule="auto"/>
              <w:rPr>
                <w:rFonts w:ascii="Times New Roman" w:hAnsi="Times New Roman"/>
                <w:b/>
                <w:color w:val="000000"/>
              </w:rPr>
            </w:pPr>
            <w:r w:rsidRPr="00AF061B">
              <w:rPr>
                <w:rFonts w:ascii="Times New Roman" w:hAnsi="Times New Roman"/>
                <w:color w:val="000000"/>
              </w:rPr>
              <w:t>Medium</w:t>
            </w:r>
          </w:p>
        </w:tc>
        <w:tc>
          <w:tcPr>
            <w:tcW w:w="1080" w:type="dxa"/>
            <w:tcBorders>
              <w:top w:val="nil"/>
              <w:left w:val="nil"/>
              <w:bottom w:val="nil"/>
            </w:tcBorders>
            <w:shd w:val="clear" w:color="auto" w:fill="auto"/>
            <w:noWrap/>
            <w:vAlign w:val="center"/>
          </w:tcPr>
          <w:p w14:paraId="571E3EA5"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color w:val="000000"/>
              </w:rPr>
              <w:t>0.0000</w:t>
            </w:r>
          </w:p>
        </w:tc>
        <w:tc>
          <w:tcPr>
            <w:tcW w:w="3060" w:type="dxa"/>
            <w:tcBorders>
              <w:top w:val="nil"/>
              <w:bottom w:val="nil"/>
              <w:right w:val="nil"/>
            </w:tcBorders>
            <w:shd w:val="clear" w:color="auto" w:fill="auto"/>
            <w:noWrap/>
            <w:vAlign w:val="center"/>
          </w:tcPr>
          <w:p w14:paraId="3E563042"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color w:val="000000"/>
              </w:rPr>
              <w:t>[-0.1126, -0.0705]</w:t>
            </w:r>
          </w:p>
        </w:tc>
        <w:tc>
          <w:tcPr>
            <w:tcW w:w="1440" w:type="dxa"/>
            <w:tcBorders>
              <w:top w:val="nil"/>
              <w:left w:val="nil"/>
              <w:bottom w:val="nil"/>
              <w:right w:val="nil"/>
            </w:tcBorders>
            <w:shd w:val="clear" w:color="auto" w:fill="auto"/>
            <w:noWrap/>
            <w:vAlign w:val="center"/>
          </w:tcPr>
          <w:p w14:paraId="0B863889"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color w:val="000000"/>
              </w:rPr>
              <w:t>-0.0806</w:t>
            </w:r>
          </w:p>
        </w:tc>
      </w:tr>
      <w:tr w:rsidR="0061117F" w:rsidRPr="00D3667F" w14:paraId="6B53A7D1" w14:textId="77777777" w:rsidTr="006F7C17">
        <w:trPr>
          <w:trHeight w:val="312"/>
        </w:trPr>
        <w:tc>
          <w:tcPr>
            <w:tcW w:w="1350" w:type="dxa"/>
            <w:tcBorders>
              <w:top w:val="nil"/>
              <w:left w:val="nil"/>
              <w:bottom w:val="single" w:sz="4" w:space="0" w:color="auto"/>
              <w:right w:val="nil"/>
            </w:tcBorders>
            <w:shd w:val="clear" w:color="auto" w:fill="auto"/>
            <w:noWrap/>
            <w:vAlign w:val="bottom"/>
          </w:tcPr>
          <w:p w14:paraId="4F45F956" w14:textId="77777777" w:rsidR="0061117F" w:rsidRPr="00AF061B" w:rsidRDefault="0061117F" w:rsidP="006F7C17">
            <w:pPr>
              <w:spacing w:line="240" w:lineRule="auto"/>
              <w:rPr>
                <w:rFonts w:ascii="Times New Roman" w:hAnsi="Times New Roman"/>
                <w:b/>
                <w:color w:val="000000"/>
              </w:rPr>
            </w:pPr>
            <w:r w:rsidRPr="00AF061B">
              <w:rPr>
                <w:rFonts w:ascii="Times New Roman" w:hAnsi="Times New Roman"/>
                <w:color w:val="000000"/>
              </w:rPr>
              <w:t>Small</w:t>
            </w:r>
          </w:p>
        </w:tc>
        <w:tc>
          <w:tcPr>
            <w:tcW w:w="1080" w:type="dxa"/>
            <w:tcBorders>
              <w:top w:val="nil"/>
              <w:left w:val="nil"/>
              <w:bottom w:val="single" w:sz="4" w:space="0" w:color="auto"/>
            </w:tcBorders>
            <w:shd w:val="clear" w:color="auto" w:fill="auto"/>
            <w:noWrap/>
            <w:vAlign w:val="center"/>
          </w:tcPr>
          <w:p w14:paraId="4A7B35AD"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color w:val="000000"/>
              </w:rPr>
              <w:t>0.0589</w:t>
            </w:r>
          </w:p>
        </w:tc>
        <w:tc>
          <w:tcPr>
            <w:tcW w:w="3060" w:type="dxa"/>
            <w:tcBorders>
              <w:top w:val="nil"/>
              <w:bottom w:val="single" w:sz="4" w:space="0" w:color="auto"/>
              <w:right w:val="nil"/>
            </w:tcBorders>
            <w:shd w:val="clear" w:color="auto" w:fill="auto"/>
            <w:noWrap/>
            <w:vAlign w:val="center"/>
          </w:tcPr>
          <w:p w14:paraId="73C71B17"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color w:val="000000"/>
              </w:rPr>
              <w:t>[-0.0436, 0.0010]</w:t>
            </w:r>
          </w:p>
        </w:tc>
        <w:tc>
          <w:tcPr>
            <w:tcW w:w="1440" w:type="dxa"/>
            <w:tcBorders>
              <w:top w:val="nil"/>
              <w:left w:val="nil"/>
              <w:bottom w:val="single" w:sz="4" w:space="0" w:color="auto"/>
              <w:right w:val="nil"/>
            </w:tcBorders>
            <w:shd w:val="clear" w:color="auto" w:fill="auto"/>
            <w:noWrap/>
            <w:vAlign w:val="center"/>
          </w:tcPr>
          <w:p w14:paraId="38673B1D"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color w:val="000000"/>
              </w:rPr>
              <w:t>-0.0227</w:t>
            </w:r>
          </w:p>
        </w:tc>
      </w:tr>
      <w:tr w:rsidR="0061117F" w:rsidRPr="00D3667F" w14:paraId="05E554D6"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hideMark/>
          </w:tcPr>
          <w:p w14:paraId="0359E66E" w14:textId="77777777" w:rsidR="0061117F" w:rsidRPr="00AF061B" w:rsidRDefault="0061117F" w:rsidP="006F7C17">
            <w:pPr>
              <w:spacing w:line="240" w:lineRule="auto"/>
              <w:rPr>
                <w:rFonts w:ascii="Times New Roman" w:hAnsi="Times New Roman"/>
                <w:b/>
                <w:color w:val="000000"/>
              </w:rPr>
            </w:pPr>
            <w:r w:rsidRPr="00AF061B">
              <w:rPr>
                <w:rFonts w:ascii="Times New Roman" w:hAnsi="Times New Roman"/>
                <w:b/>
                <w:color w:val="000000"/>
              </w:rPr>
              <w:t>Ghana</w:t>
            </w:r>
          </w:p>
        </w:tc>
        <w:tc>
          <w:tcPr>
            <w:tcW w:w="1080" w:type="dxa"/>
            <w:tcBorders>
              <w:top w:val="single" w:sz="4" w:space="0" w:color="auto"/>
              <w:left w:val="nil"/>
              <w:bottom w:val="single" w:sz="4" w:space="0" w:color="auto"/>
            </w:tcBorders>
            <w:shd w:val="clear" w:color="auto" w:fill="auto"/>
            <w:noWrap/>
            <w:vAlign w:val="center"/>
            <w:hideMark/>
          </w:tcPr>
          <w:p w14:paraId="2AE9B3D9"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0.0118</w:t>
            </w:r>
          </w:p>
        </w:tc>
        <w:tc>
          <w:tcPr>
            <w:tcW w:w="3060" w:type="dxa"/>
            <w:tcBorders>
              <w:top w:val="single" w:sz="4" w:space="0" w:color="auto"/>
              <w:bottom w:val="single" w:sz="4" w:space="0" w:color="auto"/>
              <w:right w:val="nil"/>
            </w:tcBorders>
            <w:shd w:val="clear" w:color="auto" w:fill="auto"/>
            <w:noWrap/>
            <w:vAlign w:val="center"/>
            <w:hideMark/>
          </w:tcPr>
          <w:p w14:paraId="62A553E9"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[-0.0527, -0.0076]</w:t>
            </w:r>
          </w:p>
        </w:tc>
        <w:tc>
          <w:tcPr>
            <w:tcW w:w="1440" w:type="dxa"/>
            <w:tcBorders>
              <w:top w:val="nil"/>
              <w:left w:val="nil"/>
              <w:bottom w:val="single" w:sz="4" w:space="0" w:color="auto"/>
              <w:right w:val="nil"/>
            </w:tcBorders>
            <w:shd w:val="clear" w:color="auto" w:fill="auto"/>
            <w:noWrap/>
            <w:vAlign w:val="center"/>
            <w:hideMark/>
          </w:tcPr>
          <w:p w14:paraId="7B9107CE"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-0.0311</w:t>
            </w:r>
          </w:p>
        </w:tc>
      </w:tr>
      <w:tr w:rsidR="0061117F" w:rsidRPr="00D3667F" w14:paraId="605E81BD" w14:textId="77777777" w:rsidTr="006F7C17">
        <w:trPr>
          <w:trHeight w:val="312"/>
        </w:trPr>
        <w:tc>
          <w:tcPr>
            <w:tcW w:w="1350" w:type="dxa"/>
            <w:tcBorders>
              <w:top w:val="single" w:sz="4" w:space="0" w:color="auto"/>
              <w:left w:val="nil"/>
              <w:bottom w:val="nil"/>
              <w:right w:val="nil"/>
            </w:tcBorders>
            <w:shd w:val="clear" w:color="auto" w:fill="auto"/>
            <w:noWrap/>
            <w:vAlign w:val="bottom"/>
            <w:hideMark/>
          </w:tcPr>
          <w:p w14:paraId="49F457E7"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Large</w:t>
            </w:r>
          </w:p>
        </w:tc>
        <w:tc>
          <w:tcPr>
            <w:tcW w:w="1080" w:type="dxa"/>
            <w:tcBorders>
              <w:top w:val="single" w:sz="4" w:space="0" w:color="auto"/>
              <w:left w:val="nil"/>
              <w:bottom w:val="nil"/>
            </w:tcBorders>
            <w:shd w:val="clear" w:color="auto" w:fill="auto"/>
            <w:noWrap/>
            <w:vAlign w:val="center"/>
            <w:hideMark/>
          </w:tcPr>
          <w:p w14:paraId="3DDD21AB"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0.0008</w:t>
            </w:r>
          </w:p>
        </w:tc>
        <w:tc>
          <w:tcPr>
            <w:tcW w:w="3060" w:type="dxa"/>
            <w:tcBorders>
              <w:top w:val="single" w:sz="4" w:space="0" w:color="auto"/>
              <w:bottom w:val="nil"/>
              <w:right w:val="nil"/>
            </w:tcBorders>
            <w:shd w:val="clear" w:color="auto" w:fill="auto"/>
            <w:noWrap/>
            <w:vAlign w:val="center"/>
            <w:hideMark/>
          </w:tcPr>
          <w:p w14:paraId="67617469"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[-0.0782, -0.0351]</w:t>
            </w:r>
          </w:p>
        </w:tc>
        <w:tc>
          <w:tcPr>
            <w:tcW w:w="1440" w:type="dxa"/>
            <w:tcBorders>
              <w:top w:val="nil"/>
              <w:left w:val="nil"/>
              <w:bottom w:val="nil"/>
              <w:right w:val="nil"/>
            </w:tcBorders>
            <w:shd w:val="clear" w:color="auto" w:fill="auto"/>
            <w:noWrap/>
            <w:vAlign w:val="center"/>
            <w:hideMark/>
          </w:tcPr>
          <w:p w14:paraId="20BBD170"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-0.0594</w:t>
            </w:r>
          </w:p>
        </w:tc>
      </w:tr>
      <w:tr w:rsidR="0061117F" w:rsidRPr="00D3667F" w14:paraId="518FE233" w14:textId="77777777" w:rsidTr="006F7C17">
        <w:trPr>
          <w:trHeight w:val="312"/>
        </w:trPr>
        <w:tc>
          <w:tcPr>
            <w:tcW w:w="1350" w:type="dxa"/>
            <w:tcBorders>
              <w:top w:val="nil"/>
              <w:left w:val="nil"/>
              <w:bottom w:val="nil"/>
              <w:right w:val="nil"/>
            </w:tcBorders>
            <w:shd w:val="clear" w:color="auto" w:fill="auto"/>
            <w:noWrap/>
            <w:vAlign w:val="bottom"/>
            <w:hideMark/>
          </w:tcPr>
          <w:p w14:paraId="24A41783"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Medium</w:t>
            </w:r>
          </w:p>
        </w:tc>
        <w:tc>
          <w:tcPr>
            <w:tcW w:w="1080" w:type="dxa"/>
            <w:tcBorders>
              <w:top w:val="nil"/>
              <w:left w:val="nil"/>
              <w:bottom w:val="nil"/>
            </w:tcBorders>
            <w:shd w:val="clear" w:color="auto" w:fill="auto"/>
            <w:noWrap/>
            <w:vAlign w:val="center"/>
            <w:hideMark/>
          </w:tcPr>
          <w:p w14:paraId="4626CCFD"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0.1237</w:t>
            </w:r>
          </w:p>
        </w:tc>
        <w:tc>
          <w:tcPr>
            <w:tcW w:w="3060" w:type="dxa"/>
            <w:tcBorders>
              <w:top w:val="nil"/>
              <w:bottom w:val="nil"/>
              <w:right w:val="nil"/>
            </w:tcBorders>
            <w:shd w:val="clear" w:color="auto" w:fill="auto"/>
            <w:noWrap/>
            <w:vAlign w:val="center"/>
            <w:hideMark/>
          </w:tcPr>
          <w:p w14:paraId="5992DBED"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[0.0108, 0.0379]</w:t>
            </w:r>
          </w:p>
        </w:tc>
        <w:tc>
          <w:tcPr>
            <w:tcW w:w="1440" w:type="dxa"/>
            <w:tcBorders>
              <w:top w:val="nil"/>
              <w:left w:val="nil"/>
              <w:bottom w:val="nil"/>
              <w:right w:val="nil"/>
            </w:tcBorders>
            <w:shd w:val="clear" w:color="auto" w:fill="auto"/>
            <w:noWrap/>
            <w:vAlign w:val="center"/>
            <w:hideMark/>
          </w:tcPr>
          <w:p w14:paraId="720C0104"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0.0159</w:t>
            </w:r>
          </w:p>
        </w:tc>
      </w:tr>
      <w:tr w:rsidR="0061117F" w:rsidRPr="00D3667F" w14:paraId="3F2B03D1" w14:textId="77777777" w:rsidTr="006F7C17">
        <w:trPr>
          <w:trHeight w:val="312"/>
        </w:trPr>
        <w:tc>
          <w:tcPr>
            <w:tcW w:w="1350" w:type="dxa"/>
            <w:tcBorders>
              <w:top w:val="nil"/>
              <w:left w:val="nil"/>
              <w:bottom w:val="single" w:sz="4" w:space="0" w:color="auto"/>
              <w:right w:val="nil"/>
            </w:tcBorders>
            <w:shd w:val="clear" w:color="auto" w:fill="auto"/>
            <w:noWrap/>
            <w:vAlign w:val="bottom"/>
            <w:hideMark/>
          </w:tcPr>
          <w:p w14:paraId="17E5A029"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Small</w:t>
            </w:r>
          </w:p>
        </w:tc>
        <w:tc>
          <w:tcPr>
            <w:tcW w:w="1080" w:type="dxa"/>
            <w:tcBorders>
              <w:top w:val="nil"/>
              <w:left w:val="nil"/>
              <w:bottom w:val="single" w:sz="4" w:space="0" w:color="auto"/>
            </w:tcBorders>
            <w:shd w:val="clear" w:color="auto" w:fill="auto"/>
            <w:noWrap/>
            <w:vAlign w:val="center"/>
            <w:hideMark/>
          </w:tcPr>
          <w:p w14:paraId="5F3E125E"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0.0209</w:t>
            </w:r>
          </w:p>
        </w:tc>
        <w:tc>
          <w:tcPr>
            <w:tcW w:w="3060" w:type="dxa"/>
            <w:tcBorders>
              <w:top w:val="nil"/>
              <w:bottom w:val="single" w:sz="4" w:space="0" w:color="auto"/>
              <w:right w:val="nil"/>
            </w:tcBorders>
            <w:shd w:val="clear" w:color="auto" w:fill="auto"/>
            <w:noWrap/>
            <w:vAlign w:val="center"/>
            <w:hideMark/>
          </w:tcPr>
          <w:p w14:paraId="6B53994E"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[0.0040, 0.0568]</w:t>
            </w:r>
          </w:p>
        </w:tc>
        <w:tc>
          <w:tcPr>
            <w:tcW w:w="1440" w:type="dxa"/>
            <w:tcBorders>
              <w:top w:val="nil"/>
              <w:left w:val="nil"/>
              <w:bottom w:val="single" w:sz="4" w:space="0" w:color="auto"/>
              <w:right w:val="nil"/>
            </w:tcBorders>
            <w:shd w:val="clear" w:color="auto" w:fill="auto"/>
            <w:noWrap/>
            <w:vAlign w:val="center"/>
            <w:hideMark/>
          </w:tcPr>
          <w:p w14:paraId="012D3A87"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0.0365</w:t>
            </w:r>
          </w:p>
        </w:tc>
      </w:tr>
      <w:tr w:rsidR="0061117F" w:rsidRPr="00D3667F" w14:paraId="52AF5ED2"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tcPr>
          <w:p w14:paraId="703E3A4C"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b/>
                <w:color w:val="000000"/>
              </w:rPr>
              <w:t>Nigeria</w:t>
            </w:r>
          </w:p>
        </w:tc>
        <w:tc>
          <w:tcPr>
            <w:tcW w:w="1080" w:type="dxa"/>
            <w:tcBorders>
              <w:top w:val="single" w:sz="4" w:space="0" w:color="auto"/>
              <w:left w:val="nil"/>
              <w:bottom w:val="single" w:sz="4" w:space="0" w:color="auto"/>
            </w:tcBorders>
            <w:shd w:val="clear" w:color="auto" w:fill="auto"/>
            <w:noWrap/>
            <w:vAlign w:val="center"/>
          </w:tcPr>
          <w:p w14:paraId="1E4F64F5"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b/>
                <w:color w:val="000000"/>
              </w:rPr>
              <w:t>0.0000</w:t>
            </w:r>
          </w:p>
        </w:tc>
        <w:tc>
          <w:tcPr>
            <w:tcW w:w="3060" w:type="dxa"/>
            <w:tcBorders>
              <w:top w:val="single" w:sz="4" w:space="0" w:color="auto"/>
              <w:bottom w:val="single" w:sz="4" w:space="0" w:color="auto"/>
              <w:right w:val="nil"/>
            </w:tcBorders>
            <w:shd w:val="clear" w:color="auto" w:fill="auto"/>
            <w:noWrap/>
            <w:vAlign w:val="center"/>
          </w:tcPr>
          <w:p w14:paraId="66E0BB7B"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b/>
                <w:bCs/>
                <w:color w:val="000000"/>
              </w:rPr>
              <w:t>[-0.1399, -0.0729]</w:t>
            </w:r>
          </w:p>
        </w:tc>
        <w:tc>
          <w:tcPr>
            <w:tcW w:w="1440" w:type="dxa"/>
            <w:tcBorders>
              <w:top w:val="nil"/>
              <w:left w:val="nil"/>
              <w:bottom w:val="single" w:sz="4" w:space="0" w:color="auto"/>
              <w:right w:val="nil"/>
            </w:tcBorders>
            <w:shd w:val="clear" w:color="auto" w:fill="auto"/>
            <w:noWrap/>
            <w:vAlign w:val="center"/>
          </w:tcPr>
          <w:p w14:paraId="56854B87"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b/>
                <w:color w:val="000000"/>
              </w:rPr>
              <w:t>-0.1033</w:t>
            </w:r>
          </w:p>
        </w:tc>
      </w:tr>
      <w:tr w:rsidR="0061117F" w:rsidRPr="00D3667F" w14:paraId="5B34BD92" w14:textId="77777777" w:rsidTr="006F7C17">
        <w:trPr>
          <w:trHeight w:val="312"/>
        </w:trPr>
        <w:tc>
          <w:tcPr>
            <w:tcW w:w="1350" w:type="dxa"/>
            <w:tcBorders>
              <w:top w:val="single" w:sz="4" w:space="0" w:color="auto"/>
              <w:left w:val="nil"/>
              <w:bottom w:val="nil"/>
              <w:right w:val="nil"/>
            </w:tcBorders>
            <w:shd w:val="clear" w:color="auto" w:fill="auto"/>
            <w:noWrap/>
            <w:vAlign w:val="bottom"/>
          </w:tcPr>
          <w:p w14:paraId="2CD583E5"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Large</w:t>
            </w:r>
          </w:p>
        </w:tc>
        <w:tc>
          <w:tcPr>
            <w:tcW w:w="1080" w:type="dxa"/>
            <w:tcBorders>
              <w:top w:val="single" w:sz="4" w:space="0" w:color="auto"/>
              <w:left w:val="nil"/>
              <w:bottom w:val="nil"/>
            </w:tcBorders>
            <w:shd w:val="clear" w:color="auto" w:fill="auto"/>
            <w:noWrap/>
            <w:vAlign w:val="center"/>
          </w:tcPr>
          <w:p w14:paraId="1631A75C"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0.0000</w:t>
            </w:r>
          </w:p>
        </w:tc>
        <w:tc>
          <w:tcPr>
            <w:tcW w:w="3060" w:type="dxa"/>
            <w:tcBorders>
              <w:top w:val="single" w:sz="4" w:space="0" w:color="auto"/>
              <w:bottom w:val="nil"/>
              <w:right w:val="nil"/>
            </w:tcBorders>
            <w:shd w:val="clear" w:color="auto" w:fill="auto"/>
            <w:noWrap/>
            <w:vAlign w:val="center"/>
          </w:tcPr>
          <w:p w14:paraId="09EE2C9F"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[-0.1704, -0.1107]</w:t>
            </w:r>
          </w:p>
        </w:tc>
        <w:tc>
          <w:tcPr>
            <w:tcW w:w="1440" w:type="dxa"/>
            <w:tcBorders>
              <w:top w:val="single" w:sz="4" w:space="0" w:color="auto"/>
              <w:left w:val="nil"/>
              <w:bottom w:val="nil"/>
              <w:right w:val="nil"/>
            </w:tcBorders>
            <w:shd w:val="clear" w:color="auto" w:fill="auto"/>
            <w:noWrap/>
            <w:vAlign w:val="bottom"/>
          </w:tcPr>
          <w:p w14:paraId="11328C15"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-0.1403</w:t>
            </w:r>
          </w:p>
        </w:tc>
      </w:tr>
      <w:tr w:rsidR="0061117F" w:rsidRPr="00D3667F" w14:paraId="6AA4FB6D" w14:textId="77777777" w:rsidTr="006F7C17">
        <w:trPr>
          <w:trHeight w:val="312"/>
        </w:trPr>
        <w:tc>
          <w:tcPr>
            <w:tcW w:w="1350" w:type="dxa"/>
            <w:tcBorders>
              <w:top w:val="nil"/>
              <w:left w:val="nil"/>
              <w:right w:val="nil"/>
            </w:tcBorders>
            <w:shd w:val="clear" w:color="auto" w:fill="auto"/>
            <w:noWrap/>
            <w:vAlign w:val="bottom"/>
          </w:tcPr>
          <w:p w14:paraId="11596FDF"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Medium</w:t>
            </w:r>
          </w:p>
        </w:tc>
        <w:tc>
          <w:tcPr>
            <w:tcW w:w="1080" w:type="dxa"/>
            <w:tcBorders>
              <w:top w:val="nil"/>
              <w:left w:val="nil"/>
            </w:tcBorders>
            <w:shd w:val="clear" w:color="auto" w:fill="auto"/>
            <w:noWrap/>
            <w:vAlign w:val="center"/>
          </w:tcPr>
          <w:p w14:paraId="2F256BB8"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0.0026</w:t>
            </w:r>
          </w:p>
        </w:tc>
        <w:tc>
          <w:tcPr>
            <w:tcW w:w="3060" w:type="dxa"/>
            <w:tcBorders>
              <w:top w:val="nil"/>
              <w:right w:val="nil"/>
            </w:tcBorders>
            <w:shd w:val="clear" w:color="auto" w:fill="auto"/>
            <w:noWrap/>
            <w:vAlign w:val="center"/>
          </w:tcPr>
          <w:p w14:paraId="49A2440A"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[-0.1390, -0.0398]</w:t>
            </w:r>
          </w:p>
        </w:tc>
        <w:tc>
          <w:tcPr>
            <w:tcW w:w="1440" w:type="dxa"/>
            <w:tcBorders>
              <w:top w:val="nil"/>
              <w:left w:val="nil"/>
              <w:right w:val="nil"/>
            </w:tcBorders>
            <w:shd w:val="clear" w:color="auto" w:fill="auto"/>
            <w:noWrap/>
            <w:vAlign w:val="center"/>
          </w:tcPr>
          <w:p w14:paraId="7119176F"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-0.0793</w:t>
            </w:r>
          </w:p>
        </w:tc>
      </w:tr>
      <w:tr w:rsidR="0061117F" w:rsidRPr="00D3667F" w14:paraId="767D54F9" w14:textId="77777777" w:rsidTr="006F7C17">
        <w:trPr>
          <w:trHeight w:val="312"/>
        </w:trPr>
        <w:tc>
          <w:tcPr>
            <w:tcW w:w="1350" w:type="dxa"/>
            <w:tcBorders>
              <w:left w:val="nil"/>
              <w:bottom w:val="single" w:sz="4" w:space="0" w:color="auto"/>
              <w:right w:val="nil"/>
            </w:tcBorders>
            <w:shd w:val="clear" w:color="auto" w:fill="auto"/>
            <w:noWrap/>
            <w:vAlign w:val="bottom"/>
          </w:tcPr>
          <w:p w14:paraId="564E7969"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Small</w:t>
            </w:r>
          </w:p>
        </w:tc>
        <w:tc>
          <w:tcPr>
            <w:tcW w:w="1080" w:type="dxa"/>
            <w:tcBorders>
              <w:left w:val="nil"/>
              <w:bottom w:val="single" w:sz="4" w:space="0" w:color="auto"/>
            </w:tcBorders>
            <w:shd w:val="clear" w:color="auto" w:fill="auto"/>
            <w:noWrap/>
            <w:vAlign w:val="center"/>
          </w:tcPr>
          <w:p w14:paraId="1B9491CE"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0.5756</w:t>
            </w:r>
          </w:p>
        </w:tc>
        <w:tc>
          <w:tcPr>
            <w:tcW w:w="3060" w:type="dxa"/>
            <w:tcBorders>
              <w:bottom w:val="single" w:sz="4" w:space="0" w:color="auto"/>
              <w:right w:val="nil"/>
            </w:tcBorders>
            <w:shd w:val="clear" w:color="auto" w:fill="auto"/>
            <w:noWrap/>
            <w:vAlign w:val="center"/>
          </w:tcPr>
          <w:p w14:paraId="2DAA4B74"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[-0.0392, 0.0154]</w:t>
            </w:r>
          </w:p>
        </w:tc>
        <w:tc>
          <w:tcPr>
            <w:tcW w:w="1440" w:type="dxa"/>
            <w:tcBorders>
              <w:left w:val="nil"/>
              <w:bottom w:val="single" w:sz="4" w:space="0" w:color="auto"/>
              <w:right w:val="nil"/>
            </w:tcBorders>
            <w:shd w:val="clear" w:color="auto" w:fill="auto"/>
            <w:noWrap/>
            <w:vAlign w:val="center"/>
          </w:tcPr>
          <w:p w14:paraId="791D5CC8"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-0.0100</w:t>
            </w:r>
          </w:p>
        </w:tc>
      </w:tr>
      <w:tr w:rsidR="0061117F" w:rsidRPr="00D3667F" w14:paraId="2449A416"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hideMark/>
          </w:tcPr>
          <w:p w14:paraId="4131B916" w14:textId="77777777" w:rsidR="0061117F" w:rsidRPr="00AF061B" w:rsidRDefault="0061117F" w:rsidP="006F7C17">
            <w:pPr>
              <w:spacing w:line="240" w:lineRule="auto"/>
              <w:rPr>
                <w:rFonts w:ascii="Times New Roman" w:hAnsi="Times New Roman"/>
                <w:b/>
                <w:color w:val="000000"/>
              </w:rPr>
            </w:pPr>
            <w:r w:rsidRPr="00AF061B">
              <w:rPr>
                <w:rFonts w:ascii="Times New Roman" w:hAnsi="Times New Roman"/>
                <w:b/>
                <w:color w:val="000000"/>
              </w:rPr>
              <w:t>Togo</w:t>
            </w:r>
          </w:p>
        </w:tc>
        <w:tc>
          <w:tcPr>
            <w:tcW w:w="1080" w:type="dxa"/>
            <w:tcBorders>
              <w:top w:val="single" w:sz="4" w:space="0" w:color="auto"/>
              <w:left w:val="nil"/>
              <w:bottom w:val="single" w:sz="4" w:space="0" w:color="auto"/>
            </w:tcBorders>
            <w:shd w:val="clear" w:color="auto" w:fill="auto"/>
            <w:noWrap/>
            <w:vAlign w:val="center"/>
            <w:hideMark/>
          </w:tcPr>
          <w:p w14:paraId="2B9658BC"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0.1837</w:t>
            </w:r>
          </w:p>
        </w:tc>
        <w:tc>
          <w:tcPr>
            <w:tcW w:w="3060" w:type="dxa"/>
            <w:tcBorders>
              <w:top w:val="single" w:sz="4" w:space="0" w:color="auto"/>
              <w:bottom w:val="single" w:sz="4" w:space="0" w:color="auto"/>
              <w:right w:val="nil"/>
            </w:tcBorders>
            <w:shd w:val="clear" w:color="auto" w:fill="auto"/>
            <w:noWrap/>
            <w:vAlign w:val="center"/>
            <w:hideMark/>
          </w:tcPr>
          <w:p w14:paraId="41D6F2AC"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[-0.0522, 0.0110]</w:t>
            </w:r>
          </w:p>
        </w:tc>
        <w:tc>
          <w:tcPr>
            <w:tcW w:w="1440" w:type="dxa"/>
            <w:tcBorders>
              <w:top w:val="nil"/>
              <w:left w:val="nil"/>
              <w:bottom w:val="single" w:sz="4" w:space="0" w:color="auto"/>
              <w:right w:val="nil"/>
            </w:tcBorders>
            <w:shd w:val="clear" w:color="auto" w:fill="auto"/>
            <w:noWrap/>
            <w:vAlign w:val="center"/>
            <w:hideMark/>
          </w:tcPr>
          <w:p w14:paraId="6E288A2C" w14:textId="77777777" w:rsidR="0061117F" w:rsidRPr="00AF061B" w:rsidRDefault="0061117F" w:rsidP="006F7C17">
            <w:pPr>
              <w:spacing w:line="240" w:lineRule="auto"/>
              <w:jc w:val="center"/>
              <w:rPr>
                <w:rFonts w:ascii="Times New Roman" w:hAnsi="Times New Roman"/>
                <w:b/>
                <w:color w:val="000000"/>
              </w:rPr>
            </w:pPr>
            <w:r w:rsidRPr="00AF061B">
              <w:rPr>
                <w:rFonts w:ascii="Times New Roman" w:hAnsi="Times New Roman"/>
                <w:b/>
                <w:color w:val="000000"/>
              </w:rPr>
              <w:t>-0.0209</w:t>
            </w:r>
          </w:p>
        </w:tc>
      </w:tr>
      <w:tr w:rsidR="0061117F" w:rsidRPr="00D3667F" w14:paraId="69217A0A" w14:textId="77777777" w:rsidTr="006F7C17">
        <w:trPr>
          <w:trHeight w:val="312"/>
        </w:trPr>
        <w:tc>
          <w:tcPr>
            <w:tcW w:w="1350" w:type="dxa"/>
            <w:tcBorders>
              <w:top w:val="single" w:sz="4" w:space="0" w:color="auto"/>
              <w:left w:val="nil"/>
              <w:bottom w:val="nil"/>
              <w:right w:val="nil"/>
            </w:tcBorders>
            <w:shd w:val="clear" w:color="auto" w:fill="auto"/>
            <w:noWrap/>
            <w:vAlign w:val="bottom"/>
            <w:hideMark/>
          </w:tcPr>
          <w:p w14:paraId="38289B43"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Large</w:t>
            </w:r>
          </w:p>
        </w:tc>
        <w:tc>
          <w:tcPr>
            <w:tcW w:w="1080" w:type="dxa"/>
            <w:tcBorders>
              <w:top w:val="single" w:sz="4" w:space="0" w:color="auto"/>
              <w:left w:val="nil"/>
              <w:bottom w:val="nil"/>
            </w:tcBorders>
            <w:shd w:val="clear" w:color="auto" w:fill="auto"/>
            <w:noWrap/>
            <w:vAlign w:val="center"/>
            <w:hideMark/>
          </w:tcPr>
          <w:p w14:paraId="08D926D2"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0.0000</w:t>
            </w:r>
          </w:p>
        </w:tc>
        <w:tc>
          <w:tcPr>
            <w:tcW w:w="3060" w:type="dxa"/>
            <w:tcBorders>
              <w:top w:val="single" w:sz="4" w:space="0" w:color="auto"/>
              <w:bottom w:val="nil"/>
              <w:right w:val="nil"/>
            </w:tcBorders>
            <w:shd w:val="clear" w:color="auto" w:fill="auto"/>
            <w:noWrap/>
            <w:vAlign w:val="center"/>
            <w:hideMark/>
          </w:tcPr>
          <w:p w14:paraId="0DB2F2BA"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[-0.1358, -0.0812]</w:t>
            </w:r>
          </w:p>
        </w:tc>
        <w:tc>
          <w:tcPr>
            <w:tcW w:w="1440" w:type="dxa"/>
            <w:tcBorders>
              <w:top w:val="nil"/>
              <w:left w:val="nil"/>
              <w:bottom w:val="nil"/>
              <w:right w:val="nil"/>
            </w:tcBorders>
            <w:shd w:val="clear" w:color="auto" w:fill="auto"/>
            <w:noWrap/>
            <w:vAlign w:val="center"/>
            <w:hideMark/>
          </w:tcPr>
          <w:p w14:paraId="25167209"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-0.1111</w:t>
            </w:r>
          </w:p>
        </w:tc>
      </w:tr>
      <w:tr w:rsidR="0061117F" w:rsidRPr="00D3667F" w14:paraId="6AF0A7C9" w14:textId="77777777" w:rsidTr="006F7C17">
        <w:trPr>
          <w:trHeight w:val="312"/>
        </w:trPr>
        <w:tc>
          <w:tcPr>
            <w:tcW w:w="1350" w:type="dxa"/>
            <w:tcBorders>
              <w:top w:val="nil"/>
              <w:left w:val="nil"/>
              <w:bottom w:val="nil"/>
              <w:right w:val="nil"/>
            </w:tcBorders>
            <w:shd w:val="clear" w:color="auto" w:fill="auto"/>
            <w:noWrap/>
            <w:vAlign w:val="bottom"/>
            <w:hideMark/>
          </w:tcPr>
          <w:p w14:paraId="4453C95E"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Medium</w:t>
            </w:r>
          </w:p>
        </w:tc>
        <w:tc>
          <w:tcPr>
            <w:tcW w:w="1080" w:type="dxa"/>
            <w:tcBorders>
              <w:top w:val="nil"/>
              <w:left w:val="nil"/>
              <w:bottom w:val="nil"/>
            </w:tcBorders>
            <w:shd w:val="clear" w:color="auto" w:fill="auto"/>
            <w:noWrap/>
            <w:vAlign w:val="center"/>
            <w:hideMark/>
          </w:tcPr>
          <w:p w14:paraId="5D60FF07"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0.0000</w:t>
            </w:r>
          </w:p>
        </w:tc>
        <w:tc>
          <w:tcPr>
            <w:tcW w:w="3060" w:type="dxa"/>
            <w:tcBorders>
              <w:top w:val="nil"/>
              <w:bottom w:val="nil"/>
              <w:right w:val="nil"/>
            </w:tcBorders>
            <w:shd w:val="clear" w:color="auto" w:fill="auto"/>
            <w:noWrap/>
            <w:vAlign w:val="center"/>
            <w:hideMark/>
          </w:tcPr>
          <w:p w14:paraId="6D248E40"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[0.1561, 0.2667]</w:t>
            </w:r>
          </w:p>
        </w:tc>
        <w:tc>
          <w:tcPr>
            <w:tcW w:w="1440" w:type="dxa"/>
            <w:tcBorders>
              <w:top w:val="nil"/>
              <w:left w:val="nil"/>
              <w:bottom w:val="nil"/>
              <w:right w:val="nil"/>
            </w:tcBorders>
            <w:shd w:val="clear" w:color="auto" w:fill="auto"/>
            <w:noWrap/>
            <w:vAlign w:val="center"/>
            <w:hideMark/>
          </w:tcPr>
          <w:p w14:paraId="2E721DDE"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0.2040</w:t>
            </w:r>
          </w:p>
        </w:tc>
      </w:tr>
      <w:tr w:rsidR="0061117F" w:rsidRPr="00D3667F" w14:paraId="554E7BC2" w14:textId="77777777" w:rsidTr="006F7C17">
        <w:trPr>
          <w:trHeight w:val="312"/>
        </w:trPr>
        <w:tc>
          <w:tcPr>
            <w:tcW w:w="1350" w:type="dxa"/>
            <w:tcBorders>
              <w:top w:val="nil"/>
              <w:left w:val="nil"/>
              <w:bottom w:val="single" w:sz="4" w:space="0" w:color="auto"/>
              <w:right w:val="nil"/>
            </w:tcBorders>
            <w:shd w:val="clear" w:color="auto" w:fill="auto"/>
            <w:noWrap/>
            <w:vAlign w:val="bottom"/>
            <w:hideMark/>
          </w:tcPr>
          <w:p w14:paraId="2D61B791"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Small</w:t>
            </w:r>
          </w:p>
        </w:tc>
        <w:tc>
          <w:tcPr>
            <w:tcW w:w="1080" w:type="dxa"/>
            <w:tcBorders>
              <w:top w:val="nil"/>
              <w:left w:val="nil"/>
              <w:bottom w:val="single" w:sz="4" w:space="0" w:color="auto"/>
            </w:tcBorders>
            <w:shd w:val="clear" w:color="auto" w:fill="auto"/>
            <w:noWrap/>
            <w:vAlign w:val="center"/>
            <w:hideMark/>
          </w:tcPr>
          <w:p w14:paraId="18CBFEBC"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0.0005</w:t>
            </w:r>
          </w:p>
        </w:tc>
        <w:tc>
          <w:tcPr>
            <w:tcW w:w="3060" w:type="dxa"/>
            <w:tcBorders>
              <w:top w:val="nil"/>
              <w:bottom w:val="single" w:sz="4" w:space="0" w:color="auto"/>
              <w:right w:val="nil"/>
            </w:tcBorders>
            <w:shd w:val="clear" w:color="auto" w:fill="auto"/>
            <w:noWrap/>
            <w:vAlign w:val="center"/>
            <w:hideMark/>
          </w:tcPr>
          <w:p w14:paraId="64F82998"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[0.0376, 0.1138]</w:t>
            </w:r>
          </w:p>
        </w:tc>
        <w:tc>
          <w:tcPr>
            <w:tcW w:w="1440" w:type="dxa"/>
            <w:tcBorders>
              <w:top w:val="nil"/>
              <w:left w:val="nil"/>
              <w:bottom w:val="single" w:sz="4" w:space="0" w:color="auto"/>
              <w:right w:val="nil"/>
            </w:tcBorders>
            <w:shd w:val="clear" w:color="auto" w:fill="auto"/>
            <w:noWrap/>
            <w:vAlign w:val="center"/>
            <w:hideMark/>
          </w:tcPr>
          <w:p w14:paraId="1F608802"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0.0768</w:t>
            </w:r>
          </w:p>
        </w:tc>
      </w:tr>
    </w:tbl>
    <w:p w14:paraId="3EEEA2CF" w14:textId="77777777" w:rsidR="0061117F" w:rsidRDefault="0061117F" w:rsidP="0061117F">
      <w:pPr>
        <w:jc w:val="both"/>
        <w:rPr>
          <w:rFonts w:ascii="Times New Roman" w:hAnsi="Times New Roman"/>
          <w:b/>
          <w:bCs/>
        </w:rPr>
      </w:pPr>
    </w:p>
    <w:p w14:paraId="63E8B72A" w14:textId="77777777" w:rsidR="0061117F" w:rsidRDefault="0061117F" w:rsidP="0061117F">
      <w:pPr>
        <w:jc w:val="both"/>
        <w:rPr>
          <w:rFonts w:ascii="Times New Roman" w:hAnsi="Times New Roman"/>
          <w:b/>
          <w:bCs/>
        </w:rPr>
      </w:pPr>
    </w:p>
    <w:p w14:paraId="71C7A989" w14:textId="77777777" w:rsidR="0061117F" w:rsidRDefault="0061117F" w:rsidP="0061117F">
      <w:pPr>
        <w:jc w:val="both"/>
        <w:rPr>
          <w:rFonts w:ascii="Times New Roman" w:hAnsi="Times New Roman"/>
          <w:b/>
          <w:bCs/>
        </w:rPr>
      </w:pPr>
    </w:p>
    <w:p w14:paraId="13BFE076" w14:textId="77777777" w:rsidR="0061117F" w:rsidRDefault="0061117F" w:rsidP="0061117F">
      <w:pPr>
        <w:jc w:val="both"/>
        <w:rPr>
          <w:rFonts w:ascii="Times New Roman" w:hAnsi="Times New Roman"/>
          <w:b/>
          <w:bCs/>
        </w:rPr>
      </w:pPr>
    </w:p>
    <w:p w14:paraId="4312D3BA" w14:textId="77777777" w:rsidR="0061117F" w:rsidRDefault="0061117F" w:rsidP="0061117F">
      <w:pPr>
        <w:jc w:val="both"/>
        <w:rPr>
          <w:rFonts w:ascii="Times New Roman" w:hAnsi="Times New Roman"/>
          <w:b/>
          <w:bCs/>
        </w:rPr>
      </w:pPr>
    </w:p>
    <w:p w14:paraId="44515DA3" w14:textId="77777777" w:rsidR="0061117F" w:rsidRDefault="0061117F" w:rsidP="0061117F">
      <w:pPr>
        <w:jc w:val="both"/>
        <w:rPr>
          <w:rFonts w:ascii="Times New Roman" w:hAnsi="Times New Roman"/>
          <w:b/>
          <w:bCs/>
        </w:rPr>
      </w:pPr>
    </w:p>
    <w:p w14:paraId="0082129B" w14:textId="77777777" w:rsidR="0061117F" w:rsidRDefault="0061117F" w:rsidP="0061117F">
      <w:pPr>
        <w:jc w:val="both"/>
        <w:rPr>
          <w:rFonts w:ascii="Times New Roman" w:hAnsi="Times New Roman"/>
          <w:b/>
          <w:bCs/>
        </w:rPr>
      </w:pPr>
    </w:p>
    <w:p w14:paraId="1910765D" w14:textId="77777777" w:rsidR="0061117F" w:rsidRDefault="0061117F" w:rsidP="0061117F">
      <w:pPr>
        <w:jc w:val="both"/>
        <w:rPr>
          <w:rFonts w:ascii="Times New Roman" w:hAnsi="Times New Roman"/>
          <w:b/>
          <w:bCs/>
        </w:rPr>
      </w:pPr>
    </w:p>
    <w:p w14:paraId="27998E27" w14:textId="77777777" w:rsidR="0061117F" w:rsidRDefault="0061117F" w:rsidP="0061117F">
      <w:pPr>
        <w:jc w:val="both"/>
        <w:rPr>
          <w:rFonts w:ascii="Times New Roman" w:hAnsi="Times New Roman"/>
          <w:b/>
          <w:bCs/>
        </w:rPr>
      </w:pPr>
    </w:p>
    <w:p w14:paraId="48EF2E45" w14:textId="77777777" w:rsidR="0061117F" w:rsidRDefault="0061117F" w:rsidP="0061117F">
      <w:pPr>
        <w:jc w:val="both"/>
        <w:rPr>
          <w:rFonts w:ascii="Times New Roman" w:hAnsi="Times New Roman"/>
          <w:b/>
          <w:bCs/>
        </w:rPr>
      </w:pPr>
    </w:p>
    <w:p w14:paraId="1ACEE2D3" w14:textId="77777777" w:rsidR="0061117F" w:rsidRDefault="0061117F" w:rsidP="0061117F">
      <w:pPr>
        <w:jc w:val="both"/>
        <w:rPr>
          <w:rFonts w:ascii="Times New Roman" w:hAnsi="Times New Roman"/>
          <w:b/>
          <w:bCs/>
        </w:rPr>
      </w:pPr>
    </w:p>
    <w:p w14:paraId="0DE07B0B" w14:textId="77777777" w:rsidR="0061117F" w:rsidRDefault="0061117F" w:rsidP="0061117F">
      <w:pPr>
        <w:jc w:val="both"/>
        <w:rPr>
          <w:rFonts w:ascii="Times New Roman" w:hAnsi="Times New Roman"/>
          <w:b/>
          <w:bCs/>
        </w:rPr>
      </w:pPr>
    </w:p>
    <w:p w14:paraId="77DD05EC" w14:textId="77777777" w:rsidR="0061117F" w:rsidRDefault="0061117F" w:rsidP="0061117F">
      <w:pPr>
        <w:jc w:val="both"/>
        <w:rPr>
          <w:rFonts w:ascii="Times New Roman" w:hAnsi="Times New Roman"/>
          <w:b/>
          <w:bCs/>
        </w:rPr>
      </w:pPr>
    </w:p>
    <w:p w14:paraId="75392006" w14:textId="77777777" w:rsidR="0061117F" w:rsidRDefault="0061117F" w:rsidP="0061117F">
      <w:pPr>
        <w:jc w:val="both"/>
        <w:rPr>
          <w:rFonts w:ascii="Times New Roman" w:hAnsi="Times New Roman"/>
          <w:b/>
          <w:bCs/>
        </w:rPr>
      </w:pPr>
    </w:p>
    <w:p w14:paraId="2B8E7899" w14:textId="77777777" w:rsidR="0061117F" w:rsidRDefault="0061117F" w:rsidP="0061117F">
      <w:pPr>
        <w:jc w:val="both"/>
        <w:rPr>
          <w:rFonts w:ascii="Times New Roman" w:hAnsi="Times New Roman"/>
          <w:b/>
          <w:bCs/>
        </w:rPr>
      </w:pPr>
    </w:p>
    <w:p w14:paraId="13B54726" w14:textId="77777777" w:rsidR="0061117F" w:rsidRDefault="0061117F" w:rsidP="0061117F">
      <w:pPr>
        <w:jc w:val="both"/>
        <w:rPr>
          <w:rFonts w:ascii="Times New Roman" w:hAnsi="Times New Roman"/>
          <w:b/>
          <w:bCs/>
        </w:rPr>
      </w:pPr>
    </w:p>
    <w:p w14:paraId="2C772DCF" w14:textId="77777777" w:rsidR="0061117F" w:rsidRDefault="0061117F" w:rsidP="0061117F">
      <w:pPr>
        <w:jc w:val="both"/>
        <w:rPr>
          <w:rFonts w:ascii="Times New Roman" w:hAnsi="Times New Roman"/>
          <w:b/>
          <w:bCs/>
        </w:rPr>
      </w:pPr>
    </w:p>
    <w:p w14:paraId="73253018" w14:textId="77777777" w:rsidR="0061117F" w:rsidRDefault="0061117F" w:rsidP="0061117F">
      <w:pPr>
        <w:jc w:val="both"/>
        <w:rPr>
          <w:rFonts w:ascii="Times New Roman" w:hAnsi="Times New Roman"/>
          <w:b/>
          <w:bCs/>
        </w:rPr>
      </w:pPr>
    </w:p>
    <w:p w14:paraId="74B2F703" w14:textId="77777777" w:rsidR="0061117F" w:rsidRDefault="0061117F" w:rsidP="0061117F">
      <w:pPr>
        <w:jc w:val="both"/>
        <w:rPr>
          <w:rFonts w:ascii="Times New Roman" w:hAnsi="Times New Roman"/>
          <w:b/>
          <w:bCs/>
        </w:rPr>
      </w:pPr>
    </w:p>
    <w:p w14:paraId="10BB1651" w14:textId="77777777" w:rsidR="0061117F" w:rsidRDefault="0061117F" w:rsidP="0061117F">
      <w:pPr>
        <w:rPr>
          <w:rFonts w:ascii="Times New Roman" w:hAnsi="Times New Roman"/>
          <w:b/>
        </w:rPr>
      </w:pPr>
    </w:p>
    <w:p w14:paraId="7453EE60" w14:textId="77777777" w:rsidR="0061117F" w:rsidRDefault="0061117F" w:rsidP="0061117F">
      <w:pPr>
        <w:rPr>
          <w:rFonts w:ascii="Times New Roman" w:hAnsi="Times New Roman"/>
          <w:b/>
        </w:rPr>
      </w:pPr>
      <w:r>
        <w:rPr>
          <w:rFonts w:ascii="Times New Roman" w:hAnsi="Times New Roman"/>
          <w:b/>
        </w:rPr>
        <w:br w:type="page"/>
      </w:r>
    </w:p>
    <w:p w14:paraId="52ECC79E" w14:textId="2B602FF3" w:rsidR="0061117F" w:rsidRDefault="00972DD8" w:rsidP="00972DD8">
      <w:pPr>
        <w:spacing w:line="240" w:lineRule="auto"/>
        <w:rPr>
          <w:rFonts w:ascii="Times New Roman" w:hAnsi="Times New Roman"/>
          <w:bCs/>
        </w:rPr>
      </w:pPr>
      <w:r w:rsidRPr="006E12E4">
        <w:rPr>
          <w:rFonts w:ascii="Times New Roman" w:hAnsi="Times New Roman"/>
          <w:b/>
        </w:rPr>
        <w:lastRenderedPageBreak/>
        <w:t>Table S</w:t>
      </w:r>
      <w:r w:rsidR="00FA1C69" w:rsidRPr="006E12E4">
        <w:rPr>
          <w:rFonts w:ascii="Times New Roman" w:hAnsi="Times New Roman"/>
          <w:b/>
        </w:rPr>
        <w:t>2</w:t>
      </w:r>
      <w:r w:rsidR="0061117F" w:rsidRPr="00972DD8">
        <w:rPr>
          <w:rFonts w:ascii="Times New Roman" w:hAnsi="Times New Roman"/>
          <w:bCs/>
        </w:rPr>
        <w:t>: Mann-Kendall and Sen's slope test of ratio of sprawl-to-infill growth trend from 2001 – 2020 at a 0.05 alpha value. The bolded numbers are the statistics for the entire study area or country.</w:t>
      </w:r>
    </w:p>
    <w:p w14:paraId="627AC015" w14:textId="77777777" w:rsidR="00972DD8" w:rsidRPr="00972DD8" w:rsidRDefault="00972DD8" w:rsidP="00972DD8">
      <w:pPr>
        <w:spacing w:line="240" w:lineRule="auto"/>
        <w:rPr>
          <w:rFonts w:ascii="Times New Roman" w:hAnsi="Times New Roman"/>
          <w:bCs/>
        </w:rPr>
      </w:pPr>
    </w:p>
    <w:tbl>
      <w:tblPr>
        <w:tblW w:w="6930" w:type="dxa"/>
        <w:tblLook w:val="04A0" w:firstRow="1" w:lastRow="0" w:firstColumn="1" w:lastColumn="0" w:noHBand="0" w:noVBand="1"/>
      </w:tblPr>
      <w:tblGrid>
        <w:gridCol w:w="1350"/>
        <w:gridCol w:w="1080"/>
        <w:gridCol w:w="2970"/>
        <w:gridCol w:w="1530"/>
      </w:tblGrid>
      <w:tr w:rsidR="0061117F" w:rsidRPr="00AF061B" w14:paraId="59D2660E"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tcPr>
          <w:p w14:paraId="60B2E438" w14:textId="77777777" w:rsidR="0061117F" w:rsidRPr="00AF061B" w:rsidRDefault="0061117F" w:rsidP="006F7C17">
            <w:pPr>
              <w:spacing w:line="240" w:lineRule="auto"/>
              <w:rPr>
                <w:rFonts w:ascii="Times New Roman" w:hAnsi="Times New Roman"/>
                <w:b/>
                <w:bCs/>
                <w:color w:val="000000"/>
              </w:rPr>
            </w:pPr>
            <w:r w:rsidRPr="00AF061B">
              <w:rPr>
                <w:rFonts w:ascii="Times New Roman" w:hAnsi="Times New Roman"/>
                <w:b/>
                <w:bCs/>
                <w:color w:val="000000"/>
              </w:rPr>
              <w:t>City Type</w:t>
            </w:r>
          </w:p>
        </w:tc>
        <w:tc>
          <w:tcPr>
            <w:tcW w:w="1080" w:type="dxa"/>
            <w:tcBorders>
              <w:top w:val="single" w:sz="4" w:space="0" w:color="auto"/>
              <w:left w:val="nil"/>
              <w:bottom w:val="single" w:sz="4" w:space="0" w:color="auto"/>
            </w:tcBorders>
            <w:shd w:val="clear" w:color="auto" w:fill="auto"/>
            <w:noWrap/>
            <w:vAlign w:val="center"/>
          </w:tcPr>
          <w:p w14:paraId="49EA20CB"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P-Value</w:t>
            </w:r>
          </w:p>
        </w:tc>
        <w:tc>
          <w:tcPr>
            <w:tcW w:w="2970" w:type="dxa"/>
            <w:tcBorders>
              <w:top w:val="single" w:sz="4" w:space="0" w:color="auto"/>
              <w:bottom w:val="single" w:sz="4" w:space="0" w:color="auto"/>
              <w:right w:val="nil"/>
            </w:tcBorders>
            <w:shd w:val="clear" w:color="auto" w:fill="auto"/>
            <w:noWrap/>
            <w:vAlign w:val="center"/>
          </w:tcPr>
          <w:p w14:paraId="35F8ED87"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Confidence Interval (95%)</w:t>
            </w:r>
          </w:p>
        </w:tc>
        <w:tc>
          <w:tcPr>
            <w:tcW w:w="1530" w:type="dxa"/>
            <w:tcBorders>
              <w:top w:val="single" w:sz="4" w:space="0" w:color="auto"/>
              <w:left w:val="nil"/>
              <w:bottom w:val="single" w:sz="4" w:space="0" w:color="auto"/>
              <w:right w:val="nil"/>
            </w:tcBorders>
            <w:shd w:val="clear" w:color="auto" w:fill="auto"/>
            <w:noWrap/>
            <w:vAlign w:val="center"/>
          </w:tcPr>
          <w:p w14:paraId="29BD2F75"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Sen's Slope</w:t>
            </w:r>
          </w:p>
        </w:tc>
      </w:tr>
      <w:tr w:rsidR="0061117F" w:rsidRPr="00AF061B" w14:paraId="69F85073"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hideMark/>
          </w:tcPr>
          <w:p w14:paraId="77A21D05" w14:textId="77777777" w:rsidR="0061117F" w:rsidRPr="00AF061B" w:rsidRDefault="0061117F" w:rsidP="006F7C17">
            <w:pPr>
              <w:spacing w:line="240" w:lineRule="auto"/>
              <w:rPr>
                <w:rFonts w:ascii="Times New Roman" w:hAnsi="Times New Roman"/>
                <w:b/>
                <w:bCs/>
                <w:color w:val="000000"/>
              </w:rPr>
            </w:pPr>
            <w:r w:rsidRPr="00AF061B">
              <w:rPr>
                <w:rFonts w:ascii="Times New Roman" w:hAnsi="Times New Roman"/>
                <w:b/>
                <w:bCs/>
                <w:color w:val="000000"/>
              </w:rPr>
              <w:t>Benin</w:t>
            </w:r>
          </w:p>
        </w:tc>
        <w:tc>
          <w:tcPr>
            <w:tcW w:w="1080" w:type="dxa"/>
            <w:tcBorders>
              <w:top w:val="single" w:sz="4" w:space="0" w:color="auto"/>
              <w:left w:val="nil"/>
              <w:bottom w:val="single" w:sz="4" w:space="0" w:color="auto"/>
            </w:tcBorders>
            <w:shd w:val="clear" w:color="auto" w:fill="auto"/>
            <w:noWrap/>
            <w:vAlign w:val="center"/>
            <w:hideMark/>
          </w:tcPr>
          <w:p w14:paraId="21404546"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0.0000</w:t>
            </w:r>
          </w:p>
        </w:tc>
        <w:tc>
          <w:tcPr>
            <w:tcW w:w="2970" w:type="dxa"/>
            <w:tcBorders>
              <w:top w:val="single" w:sz="4" w:space="0" w:color="auto"/>
              <w:bottom w:val="single" w:sz="4" w:space="0" w:color="auto"/>
              <w:right w:val="nil"/>
            </w:tcBorders>
            <w:shd w:val="clear" w:color="auto" w:fill="auto"/>
            <w:noWrap/>
            <w:vAlign w:val="center"/>
            <w:hideMark/>
          </w:tcPr>
          <w:p w14:paraId="39AE5D08"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[0.0424, 0.075]</w:t>
            </w:r>
          </w:p>
        </w:tc>
        <w:tc>
          <w:tcPr>
            <w:tcW w:w="1530" w:type="dxa"/>
            <w:tcBorders>
              <w:top w:val="single" w:sz="4" w:space="0" w:color="auto"/>
              <w:left w:val="nil"/>
              <w:bottom w:val="single" w:sz="4" w:space="0" w:color="auto"/>
              <w:right w:val="nil"/>
            </w:tcBorders>
            <w:shd w:val="clear" w:color="auto" w:fill="auto"/>
            <w:noWrap/>
            <w:vAlign w:val="center"/>
            <w:hideMark/>
          </w:tcPr>
          <w:p w14:paraId="7133C422"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0.0575</w:t>
            </w:r>
          </w:p>
        </w:tc>
      </w:tr>
      <w:tr w:rsidR="0061117F" w:rsidRPr="00AF061B" w14:paraId="7EEA5EBF" w14:textId="77777777" w:rsidTr="006F7C17">
        <w:trPr>
          <w:trHeight w:val="312"/>
        </w:trPr>
        <w:tc>
          <w:tcPr>
            <w:tcW w:w="1350" w:type="dxa"/>
            <w:tcBorders>
              <w:top w:val="single" w:sz="4" w:space="0" w:color="auto"/>
              <w:left w:val="nil"/>
              <w:bottom w:val="nil"/>
              <w:right w:val="nil"/>
            </w:tcBorders>
            <w:shd w:val="clear" w:color="auto" w:fill="auto"/>
            <w:noWrap/>
            <w:vAlign w:val="bottom"/>
            <w:hideMark/>
          </w:tcPr>
          <w:p w14:paraId="76332E9B"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Large</w:t>
            </w:r>
          </w:p>
        </w:tc>
        <w:tc>
          <w:tcPr>
            <w:tcW w:w="1080" w:type="dxa"/>
            <w:tcBorders>
              <w:top w:val="single" w:sz="4" w:space="0" w:color="auto"/>
              <w:left w:val="nil"/>
              <w:bottom w:val="nil"/>
            </w:tcBorders>
            <w:shd w:val="clear" w:color="auto" w:fill="auto"/>
            <w:noWrap/>
            <w:vAlign w:val="center"/>
            <w:hideMark/>
          </w:tcPr>
          <w:p w14:paraId="248FE08E"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0.0179</w:t>
            </w:r>
          </w:p>
        </w:tc>
        <w:tc>
          <w:tcPr>
            <w:tcW w:w="2970" w:type="dxa"/>
            <w:tcBorders>
              <w:top w:val="single" w:sz="4" w:space="0" w:color="auto"/>
              <w:bottom w:val="nil"/>
              <w:right w:val="nil"/>
            </w:tcBorders>
            <w:shd w:val="clear" w:color="auto" w:fill="auto"/>
            <w:noWrap/>
            <w:vAlign w:val="center"/>
            <w:hideMark/>
          </w:tcPr>
          <w:p w14:paraId="3EA65EF5"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[0.0028, 0.0339]</w:t>
            </w:r>
          </w:p>
        </w:tc>
        <w:tc>
          <w:tcPr>
            <w:tcW w:w="1530" w:type="dxa"/>
            <w:tcBorders>
              <w:top w:val="single" w:sz="4" w:space="0" w:color="auto"/>
              <w:left w:val="nil"/>
              <w:bottom w:val="nil"/>
              <w:right w:val="nil"/>
            </w:tcBorders>
            <w:shd w:val="clear" w:color="auto" w:fill="auto"/>
            <w:noWrap/>
            <w:vAlign w:val="center"/>
            <w:hideMark/>
          </w:tcPr>
          <w:p w14:paraId="0F95BFC3"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0.0168</w:t>
            </w:r>
          </w:p>
        </w:tc>
      </w:tr>
      <w:tr w:rsidR="0061117F" w:rsidRPr="00AF061B" w14:paraId="2D069CE4" w14:textId="77777777" w:rsidTr="006F7C17">
        <w:trPr>
          <w:trHeight w:val="312"/>
        </w:trPr>
        <w:tc>
          <w:tcPr>
            <w:tcW w:w="1350" w:type="dxa"/>
            <w:tcBorders>
              <w:top w:val="nil"/>
              <w:left w:val="nil"/>
              <w:bottom w:val="nil"/>
              <w:right w:val="nil"/>
            </w:tcBorders>
            <w:shd w:val="clear" w:color="auto" w:fill="auto"/>
            <w:noWrap/>
            <w:vAlign w:val="bottom"/>
            <w:hideMark/>
          </w:tcPr>
          <w:p w14:paraId="0041CD76"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Medium</w:t>
            </w:r>
          </w:p>
        </w:tc>
        <w:tc>
          <w:tcPr>
            <w:tcW w:w="1080" w:type="dxa"/>
            <w:tcBorders>
              <w:top w:val="nil"/>
              <w:left w:val="nil"/>
              <w:bottom w:val="nil"/>
            </w:tcBorders>
            <w:shd w:val="clear" w:color="auto" w:fill="auto"/>
            <w:noWrap/>
            <w:vAlign w:val="center"/>
            <w:hideMark/>
          </w:tcPr>
          <w:p w14:paraId="7773D5F2"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0.0000</w:t>
            </w:r>
          </w:p>
        </w:tc>
        <w:tc>
          <w:tcPr>
            <w:tcW w:w="2970" w:type="dxa"/>
            <w:tcBorders>
              <w:top w:val="nil"/>
              <w:bottom w:val="nil"/>
              <w:right w:val="nil"/>
            </w:tcBorders>
            <w:shd w:val="clear" w:color="auto" w:fill="auto"/>
            <w:noWrap/>
            <w:vAlign w:val="center"/>
            <w:hideMark/>
          </w:tcPr>
          <w:p w14:paraId="31E399F4"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[0.0414, 0.0797]</w:t>
            </w:r>
          </w:p>
        </w:tc>
        <w:tc>
          <w:tcPr>
            <w:tcW w:w="1530" w:type="dxa"/>
            <w:tcBorders>
              <w:top w:val="nil"/>
              <w:left w:val="nil"/>
              <w:bottom w:val="nil"/>
              <w:right w:val="nil"/>
            </w:tcBorders>
            <w:shd w:val="clear" w:color="auto" w:fill="auto"/>
            <w:noWrap/>
            <w:vAlign w:val="center"/>
            <w:hideMark/>
          </w:tcPr>
          <w:p w14:paraId="0396033B"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0.0624</w:t>
            </w:r>
          </w:p>
        </w:tc>
      </w:tr>
      <w:tr w:rsidR="0061117F" w:rsidRPr="00AF061B" w14:paraId="0A8E46C4" w14:textId="77777777" w:rsidTr="006F7C17">
        <w:trPr>
          <w:trHeight w:val="312"/>
        </w:trPr>
        <w:tc>
          <w:tcPr>
            <w:tcW w:w="1350" w:type="dxa"/>
            <w:tcBorders>
              <w:top w:val="nil"/>
              <w:left w:val="nil"/>
              <w:bottom w:val="single" w:sz="4" w:space="0" w:color="auto"/>
              <w:right w:val="nil"/>
            </w:tcBorders>
            <w:shd w:val="clear" w:color="auto" w:fill="auto"/>
            <w:noWrap/>
            <w:vAlign w:val="bottom"/>
            <w:hideMark/>
          </w:tcPr>
          <w:p w14:paraId="71BDA1FA"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Small</w:t>
            </w:r>
          </w:p>
        </w:tc>
        <w:tc>
          <w:tcPr>
            <w:tcW w:w="1080" w:type="dxa"/>
            <w:tcBorders>
              <w:top w:val="nil"/>
              <w:left w:val="nil"/>
              <w:bottom w:val="single" w:sz="4" w:space="0" w:color="auto"/>
            </w:tcBorders>
            <w:shd w:val="clear" w:color="auto" w:fill="auto"/>
            <w:noWrap/>
            <w:vAlign w:val="center"/>
            <w:hideMark/>
          </w:tcPr>
          <w:p w14:paraId="12FBFB25"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0.0150</w:t>
            </w:r>
          </w:p>
        </w:tc>
        <w:tc>
          <w:tcPr>
            <w:tcW w:w="2970" w:type="dxa"/>
            <w:tcBorders>
              <w:top w:val="nil"/>
              <w:bottom w:val="single" w:sz="4" w:space="0" w:color="auto"/>
              <w:right w:val="nil"/>
            </w:tcBorders>
            <w:shd w:val="clear" w:color="auto" w:fill="auto"/>
            <w:noWrap/>
            <w:vAlign w:val="center"/>
            <w:hideMark/>
          </w:tcPr>
          <w:p w14:paraId="67DE6FB7"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[0.0322, 0.2307]</w:t>
            </w:r>
          </w:p>
        </w:tc>
        <w:tc>
          <w:tcPr>
            <w:tcW w:w="1530" w:type="dxa"/>
            <w:tcBorders>
              <w:top w:val="nil"/>
              <w:left w:val="nil"/>
              <w:bottom w:val="single" w:sz="4" w:space="0" w:color="auto"/>
              <w:right w:val="nil"/>
            </w:tcBorders>
            <w:shd w:val="clear" w:color="auto" w:fill="auto"/>
            <w:noWrap/>
            <w:vAlign w:val="center"/>
            <w:hideMark/>
          </w:tcPr>
          <w:p w14:paraId="5B709EF0"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0.1327</w:t>
            </w:r>
          </w:p>
        </w:tc>
      </w:tr>
      <w:tr w:rsidR="0061117F" w:rsidRPr="00AF061B" w14:paraId="2512ECD7"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hideMark/>
          </w:tcPr>
          <w:p w14:paraId="0F3D7E0F" w14:textId="77777777" w:rsidR="0061117F" w:rsidRPr="00AF061B" w:rsidRDefault="0061117F" w:rsidP="006F7C17">
            <w:pPr>
              <w:spacing w:line="240" w:lineRule="auto"/>
              <w:rPr>
                <w:rFonts w:ascii="Times New Roman" w:hAnsi="Times New Roman"/>
                <w:b/>
                <w:bCs/>
                <w:color w:val="000000"/>
              </w:rPr>
            </w:pPr>
            <w:r w:rsidRPr="00AF061B">
              <w:rPr>
                <w:rFonts w:ascii="Times New Roman" w:hAnsi="Times New Roman"/>
                <w:b/>
                <w:bCs/>
                <w:color w:val="000000"/>
              </w:rPr>
              <w:t>Ghana</w:t>
            </w:r>
          </w:p>
        </w:tc>
        <w:tc>
          <w:tcPr>
            <w:tcW w:w="1080" w:type="dxa"/>
            <w:tcBorders>
              <w:top w:val="single" w:sz="4" w:space="0" w:color="auto"/>
              <w:left w:val="nil"/>
              <w:bottom w:val="single" w:sz="4" w:space="0" w:color="auto"/>
            </w:tcBorders>
            <w:shd w:val="clear" w:color="auto" w:fill="auto"/>
            <w:noWrap/>
            <w:vAlign w:val="center"/>
            <w:hideMark/>
          </w:tcPr>
          <w:p w14:paraId="4519C969"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0.0003</w:t>
            </w:r>
          </w:p>
        </w:tc>
        <w:tc>
          <w:tcPr>
            <w:tcW w:w="2970" w:type="dxa"/>
            <w:tcBorders>
              <w:top w:val="single" w:sz="4" w:space="0" w:color="auto"/>
              <w:bottom w:val="single" w:sz="4" w:space="0" w:color="auto"/>
              <w:right w:val="nil"/>
            </w:tcBorders>
            <w:shd w:val="clear" w:color="auto" w:fill="auto"/>
            <w:noWrap/>
            <w:vAlign w:val="center"/>
            <w:hideMark/>
          </w:tcPr>
          <w:p w14:paraId="09509152"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[0.0471, 0.1210]</w:t>
            </w:r>
          </w:p>
        </w:tc>
        <w:tc>
          <w:tcPr>
            <w:tcW w:w="1530" w:type="dxa"/>
            <w:tcBorders>
              <w:top w:val="single" w:sz="4" w:space="0" w:color="auto"/>
              <w:left w:val="nil"/>
              <w:bottom w:val="single" w:sz="4" w:space="0" w:color="auto"/>
              <w:right w:val="nil"/>
            </w:tcBorders>
            <w:shd w:val="clear" w:color="auto" w:fill="auto"/>
            <w:noWrap/>
            <w:vAlign w:val="center"/>
            <w:hideMark/>
          </w:tcPr>
          <w:p w14:paraId="72E3B7E6"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0.0810</w:t>
            </w:r>
          </w:p>
        </w:tc>
      </w:tr>
      <w:tr w:rsidR="0061117F" w:rsidRPr="00AF061B" w14:paraId="047A8500" w14:textId="77777777" w:rsidTr="006F7C17">
        <w:trPr>
          <w:trHeight w:val="312"/>
        </w:trPr>
        <w:tc>
          <w:tcPr>
            <w:tcW w:w="1350" w:type="dxa"/>
            <w:tcBorders>
              <w:top w:val="single" w:sz="4" w:space="0" w:color="auto"/>
              <w:left w:val="nil"/>
              <w:bottom w:val="nil"/>
              <w:right w:val="nil"/>
            </w:tcBorders>
            <w:shd w:val="clear" w:color="auto" w:fill="auto"/>
            <w:noWrap/>
            <w:vAlign w:val="bottom"/>
            <w:hideMark/>
          </w:tcPr>
          <w:p w14:paraId="6214B85D"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Large</w:t>
            </w:r>
          </w:p>
        </w:tc>
        <w:tc>
          <w:tcPr>
            <w:tcW w:w="1080" w:type="dxa"/>
            <w:tcBorders>
              <w:top w:val="single" w:sz="4" w:space="0" w:color="auto"/>
              <w:left w:val="nil"/>
              <w:bottom w:val="nil"/>
            </w:tcBorders>
            <w:shd w:val="clear" w:color="auto" w:fill="auto"/>
            <w:noWrap/>
            <w:vAlign w:val="center"/>
            <w:hideMark/>
          </w:tcPr>
          <w:p w14:paraId="4FF1B3D5"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0.0026</w:t>
            </w:r>
          </w:p>
        </w:tc>
        <w:tc>
          <w:tcPr>
            <w:tcW w:w="2970" w:type="dxa"/>
            <w:tcBorders>
              <w:top w:val="single" w:sz="4" w:space="0" w:color="auto"/>
              <w:bottom w:val="nil"/>
              <w:right w:val="nil"/>
            </w:tcBorders>
            <w:shd w:val="clear" w:color="auto" w:fill="auto"/>
            <w:noWrap/>
            <w:vAlign w:val="center"/>
            <w:hideMark/>
          </w:tcPr>
          <w:p w14:paraId="068CC960"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[0.0155, 0.0907]</w:t>
            </w:r>
          </w:p>
        </w:tc>
        <w:tc>
          <w:tcPr>
            <w:tcW w:w="1530" w:type="dxa"/>
            <w:tcBorders>
              <w:top w:val="single" w:sz="4" w:space="0" w:color="auto"/>
              <w:left w:val="nil"/>
              <w:bottom w:val="nil"/>
              <w:right w:val="nil"/>
            </w:tcBorders>
            <w:shd w:val="clear" w:color="auto" w:fill="auto"/>
            <w:noWrap/>
            <w:vAlign w:val="center"/>
            <w:hideMark/>
          </w:tcPr>
          <w:p w14:paraId="621616EE"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0.0453</w:t>
            </w:r>
          </w:p>
        </w:tc>
      </w:tr>
      <w:tr w:rsidR="0061117F" w:rsidRPr="00AF061B" w14:paraId="3474F4D0" w14:textId="77777777" w:rsidTr="006F7C17">
        <w:trPr>
          <w:trHeight w:val="312"/>
        </w:trPr>
        <w:tc>
          <w:tcPr>
            <w:tcW w:w="1350" w:type="dxa"/>
            <w:tcBorders>
              <w:top w:val="nil"/>
              <w:left w:val="nil"/>
              <w:bottom w:val="nil"/>
              <w:right w:val="nil"/>
            </w:tcBorders>
            <w:shd w:val="clear" w:color="auto" w:fill="auto"/>
            <w:noWrap/>
            <w:vAlign w:val="bottom"/>
            <w:hideMark/>
          </w:tcPr>
          <w:p w14:paraId="6B4D10FD"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Medium</w:t>
            </w:r>
          </w:p>
        </w:tc>
        <w:tc>
          <w:tcPr>
            <w:tcW w:w="1080" w:type="dxa"/>
            <w:tcBorders>
              <w:top w:val="nil"/>
              <w:left w:val="nil"/>
              <w:bottom w:val="nil"/>
            </w:tcBorders>
            <w:shd w:val="clear" w:color="auto" w:fill="auto"/>
            <w:noWrap/>
            <w:vAlign w:val="center"/>
            <w:hideMark/>
          </w:tcPr>
          <w:p w14:paraId="06919866"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0.0001</w:t>
            </w:r>
          </w:p>
        </w:tc>
        <w:tc>
          <w:tcPr>
            <w:tcW w:w="2970" w:type="dxa"/>
            <w:tcBorders>
              <w:top w:val="nil"/>
              <w:bottom w:val="nil"/>
              <w:right w:val="nil"/>
            </w:tcBorders>
            <w:shd w:val="clear" w:color="auto" w:fill="auto"/>
            <w:noWrap/>
            <w:vAlign w:val="center"/>
            <w:hideMark/>
          </w:tcPr>
          <w:p w14:paraId="1A90367B"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[0.0858, 01820]</w:t>
            </w:r>
          </w:p>
        </w:tc>
        <w:tc>
          <w:tcPr>
            <w:tcW w:w="1530" w:type="dxa"/>
            <w:tcBorders>
              <w:top w:val="nil"/>
              <w:left w:val="nil"/>
              <w:bottom w:val="nil"/>
              <w:right w:val="nil"/>
            </w:tcBorders>
            <w:shd w:val="clear" w:color="auto" w:fill="auto"/>
            <w:noWrap/>
            <w:vAlign w:val="center"/>
            <w:hideMark/>
          </w:tcPr>
          <w:p w14:paraId="2986D3B8"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0.1401</w:t>
            </w:r>
          </w:p>
        </w:tc>
      </w:tr>
      <w:tr w:rsidR="0061117F" w:rsidRPr="00AF061B" w14:paraId="339204A4" w14:textId="77777777" w:rsidTr="006F7C17">
        <w:trPr>
          <w:trHeight w:val="312"/>
        </w:trPr>
        <w:tc>
          <w:tcPr>
            <w:tcW w:w="1350" w:type="dxa"/>
            <w:tcBorders>
              <w:top w:val="nil"/>
              <w:left w:val="nil"/>
              <w:bottom w:val="single" w:sz="4" w:space="0" w:color="auto"/>
              <w:right w:val="nil"/>
            </w:tcBorders>
            <w:shd w:val="clear" w:color="auto" w:fill="auto"/>
            <w:noWrap/>
            <w:vAlign w:val="bottom"/>
            <w:hideMark/>
          </w:tcPr>
          <w:p w14:paraId="05E0A788"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Small</w:t>
            </w:r>
          </w:p>
        </w:tc>
        <w:tc>
          <w:tcPr>
            <w:tcW w:w="1080" w:type="dxa"/>
            <w:tcBorders>
              <w:top w:val="nil"/>
              <w:left w:val="nil"/>
              <w:bottom w:val="single" w:sz="4" w:space="0" w:color="auto"/>
            </w:tcBorders>
            <w:shd w:val="clear" w:color="auto" w:fill="auto"/>
            <w:noWrap/>
            <w:vAlign w:val="center"/>
            <w:hideMark/>
          </w:tcPr>
          <w:p w14:paraId="1687C953"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0.0001</w:t>
            </w:r>
          </w:p>
        </w:tc>
        <w:tc>
          <w:tcPr>
            <w:tcW w:w="2970" w:type="dxa"/>
            <w:tcBorders>
              <w:top w:val="nil"/>
              <w:bottom w:val="single" w:sz="4" w:space="0" w:color="auto"/>
              <w:right w:val="nil"/>
            </w:tcBorders>
            <w:shd w:val="clear" w:color="auto" w:fill="auto"/>
            <w:noWrap/>
            <w:vAlign w:val="center"/>
            <w:hideMark/>
          </w:tcPr>
          <w:p w14:paraId="7243427A"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[0.1600, 0.3048]</w:t>
            </w:r>
          </w:p>
        </w:tc>
        <w:tc>
          <w:tcPr>
            <w:tcW w:w="1530" w:type="dxa"/>
            <w:tcBorders>
              <w:top w:val="nil"/>
              <w:left w:val="nil"/>
              <w:bottom w:val="single" w:sz="4" w:space="0" w:color="auto"/>
              <w:right w:val="nil"/>
            </w:tcBorders>
            <w:shd w:val="clear" w:color="auto" w:fill="auto"/>
            <w:noWrap/>
            <w:vAlign w:val="center"/>
            <w:hideMark/>
          </w:tcPr>
          <w:p w14:paraId="195A2D8C"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0.2483</w:t>
            </w:r>
          </w:p>
        </w:tc>
      </w:tr>
      <w:tr w:rsidR="0061117F" w:rsidRPr="00AF061B" w14:paraId="7D027EFD"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hideMark/>
          </w:tcPr>
          <w:p w14:paraId="03C8C493" w14:textId="77777777" w:rsidR="0061117F" w:rsidRPr="00AF061B" w:rsidRDefault="0061117F" w:rsidP="006F7C17">
            <w:pPr>
              <w:spacing w:line="240" w:lineRule="auto"/>
              <w:rPr>
                <w:rFonts w:ascii="Times New Roman" w:hAnsi="Times New Roman"/>
                <w:b/>
                <w:bCs/>
                <w:color w:val="000000"/>
              </w:rPr>
            </w:pPr>
            <w:r w:rsidRPr="00AF061B">
              <w:rPr>
                <w:rFonts w:ascii="Times New Roman" w:hAnsi="Times New Roman"/>
                <w:b/>
                <w:bCs/>
                <w:color w:val="000000"/>
              </w:rPr>
              <w:t>Nigeria</w:t>
            </w:r>
          </w:p>
        </w:tc>
        <w:tc>
          <w:tcPr>
            <w:tcW w:w="1080" w:type="dxa"/>
            <w:tcBorders>
              <w:top w:val="single" w:sz="4" w:space="0" w:color="auto"/>
              <w:left w:val="nil"/>
              <w:bottom w:val="single" w:sz="4" w:space="0" w:color="auto"/>
            </w:tcBorders>
            <w:shd w:val="clear" w:color="auto" w:fill="auto"/>
            <w:noWrap/>
            <w:vAlign w:val="center"/>
            <w:hideMark/>
          </w:tcPr>
          <w:p w14:paraId="4829E955"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0.2561</w:t>
            </w:r>
          </w:p>
        </w:tc>
        <w:tc>
          <w:tcPr>
            <w:tcW w:w="2970" w:type="dxa"/>
            <w:tcBorders>
              <w:top w:val="single" w:sz="4" w:space="0" w:color="auto"/>
              <w:bottom w:val="single" w:sz="4" w:space="0" w:color="auto"/>
              <w:right w:val="nil"/>
            </w:tcBorders>
            <w:shd w:val="clear" w:color="auto" w:fill="auto"/>
            <w:noWrap/>
            <w:vAlign w:val="center"/>
            <w:hideMark/>
          </w:tcPr>
          <w:p w14:paraId="0AE948FC"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[-0.0260, 0.0645]</w:t>
            </w:r>
          </w:p>
        </w:tc>
        <w:tc>
          <w:tcPr>
            <w:tcW w:w="1530" w:type="dxa"/>
            <w:tcBorders>
              <w:top w:val="single" w:sz="4" w:space="0" w:color="auto"/>
              <w:left w:val="nil"/>
              <w:bottom w:val="single" w:sz="4" w:space="0" w:color="auto"/>
              <w:right w:val="nil"/>
            </w:tcBorders>
            <w:shd w:val="clear" w:color="auto" w:fill="auto"/>
            <w:noWrap/>
            <w:vAlign w:val="center"/>
            <w:hideMark/>
          </w:tcPr>
          <w:p w14:paraId="32A19CA0"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0.0209</w:t>
            </w:r>
          </w:p>
        </w:tc>
      </w:tr>
      <w:tr w:rsidR="0061117F" w:rsidRPr="00AF061B" w14:paraId="75A2BB17" w14:textId="77777777" w:rsidTr="006F7C17">
        <w:trPr>
          <w:trHeight w:val="312"/>
        </w:trPr>
        <w:tc>
          <w:tcPr>
            <w:tcW w:w="1350" w:type="dxa"/>
            <w:tcBorders>
              <w:top w:val="single" w:sz="4" w:space="0" w:color="auto"/>
              <w:left w:val="nil"/>
              <w:bottom w:val="nil"/>
              <w:right w:val="nil"/>
            </w:tcBorders>
            <w:shd w:val="clear" w:color="auto" w:fill="auto"/>
            <w:noWrap/>
            <w:vAlign w:val="bottom"/>
            <w:hideMark/>
          </w:tcPr>
          <w:p w14:paraId="63CE9A15"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Large</w:t>
            </w:r>
          </w:p>
        </w:tc>
        <w:tc>
          <w:tcPr>
            <w:tcW w:w="1080" w:type="dxa"/>
            <w:tcBorders>
              <w:top w:val="single" w:sz="4" w:space="0" w:color="auto"/>
              <w:left w:val="nil"/>
              <w:bottom w:val="nil"/>
            </w:tcBorders>
            <w:shd w:val="clear" w:color="auto" w:fill="auto"/>
            <w:noWrap/>
            <w:vAlign w:val="center"/>
            <w:hideMark/>
          </w:tcPr>
          <w:p w14:paraId="07FA004F"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0.7212</w:t>
            </w:r>
          </w:p>
        </w:tc>
        <w:tc>
          <w:tcPr>
            <w:tcW w:w="2970" w:type="dxa"/>
            <w:tcBorders>
              <w:top w:val="single" w:sz="4" w:space="0" w:color="auto"/>
              <w:bottom w:val="nil"/>
              <w:right w:val="nil"/>
            </w:tcBorders>
            <w:shd w:val="clear" w:color="auto" w:fill="auto"/>
            <w:noWrap/>
            <w:vAlign w:val="center"/>
            <w:hideMark/>
          </w:tcPr>
          <w:p w14:paraId="1CEA80A9"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[-0.0257, 0.0220]</w:t>
            </w:r>
          </w:p>
        </w:tc>
        <w:tc>
          <w:tcPr>
            <w:tcW w:w="1530" w:type="dxa"/>
            <w:tcBorders>
              <w:top w:val="single" w:sz="4" w:space="0" w:color="auto"/>
              <w:left w:val="nil"/>
              <w:bottom w:val="nil"/>
              <w:right w:val="nil"/>
            </w:tcBorders>
            <w:shd w:val="clear" w:color="auto" w:fill="auto"/>
            <w:noWrap/>
            <w:vAlign w:val="center"/>
            <w:hideMark/>
          </w:tcPr>
          <w:p w14:paraId="6B56A271"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-0.0047</w:t>
            </w:r>
          </w:p>
        </w:tc>
      </w:tr>
      <w:tr w:rsidR="0061117F" w:rsidRPr="00AF061B" w14:paraId="275F05B2" w14:textId="77777777" w:rsidTr="006F7C17">
        <w:trPr>
          <w:trHeight w:val="312"/>
        </w:trPr>
        <w:tc>
          <w:tcPr>
            <w:tcW w:w="1350" w:type="dxa"/>
            <w:tcBorders>
              <w:top w:val="nil"/>
              <w:left w:val="nil"/>
              <w:bottom w:val="nil"/>
              <w:right w:val="nil"/>
            </w:tcBorders>
            <w:shd w:val="clear" w:color="auto" w:fill="auto"/>
            <w:noWrap/>
            <w:vAlign w:val="bottom"/>
            <w:hideMark/>
          </w:tcPr>
          <w:p w14:paraId="7EF04CE0"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Medium</w:t>
            </w:r>
          </w:p>
        </w:tc>
        <w:tc>
          <w:tcPr>
            <w:tcW w:w="1080" w:type="dxa"/>
            <w:tcBorders>
              <w:top w:val="nil"/>
              <w:left w:val="nil"/>
              <w:bottom w:val="nil"/>
            </w:tcBorders>
            <w:shd w:val="clear" w:color="auto" w:fill="auto"/>
            <w:noWrap/>
            <w:vAlign w:val="center"/>
            <w:hideMark/>
          </w:tcPr>
          <w:p w14:paraId="63C22063"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0.2300</w:t>
            </w:r>
          </w:p>
        </w:tc>
        <w:tc>
          <w:tcPr>
            <w:tcW w:w="2970" w:type="dxa"/>
            <w:tcBorders>
              <w:top w:val="nil"/>
              <w:bottom w:val="nil"/>
              <w:right w:val="nil"/>
            </w:tcBorders>
            <w:shd w:val="clear" w:color="auto" w:fill="auto"/>
            <w:noWrap/>
            <w:vAlign w:val="center"/>
            <w:hideMark/>
          </w:tcPr>
          <w:p w14:paraId="29616F47"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[-0.0284, 0.8034]</w:t>
            </w:r>
          </w:p>
        </w:tc>
        <w:tc>
          <w:tcPr>
            <w:tcW w:w="1530" w:type="dxa"/>
            <w:tcBorders>
              <w:top w:val="nil"/>
              <w:left w:val="nil"/>
              <w:bottom w:val="nil"/>
              <w:right w:val="nil"/>
            </w:tcBorders>
            <w:shd w:val="clear" w:color="auto" w:fill="auto"/>
            <w:noWrap/>
            <w:vAlign w:val="center"/>
            <w:hideMark/>
          </w:tcPr>
          <w:p w14:paraId="19F6AD32"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0.0284</w:t>
            </w:r>
          </w:p>
        </w:tc>
      </w:tr>
      <w:tr w:rsidR="0061117F" w:rsidRPr="00AF061B" w14:paraId="5143FF15" w14:textId="77777777" w:rsidTr="006F7C17">
        <w:trPr>
          <w:trHeight w:val="312"/>
        </w:trPr>
        <w:tc>
          <w:tcPr>
            <w:tcW w:w="1350" w:type="dxa"/>
            <w:tcBorders>
              <w:top w:val="nil"/>
              <w:left w:val="nil"/>
              <w:bottom w:val="single" w:sz="4" w:space="0" w:color="auto"/>
              <w:right w:val="nil"/>
            </w:tcBorders>
            <w:shd w:val="clear" w:color="auto" w:fill="auto"/>
            <w:noWrap/>
            <w:vAlign w:val="bottom"/>
            <w:hideMark/>
          </w:tcPr>
          <w:p w14:paraId="036A4FCA"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Small</w:t>
            </w:r>
          </w:p>
        </w:tc>
        <w:tc>
          <w:tcPr>
            <w:tcW w:w="1080" w:type="dxa"/>
            <w:tcBorders>
              <w:top w:val="nil"/>
              <w:left w:val="nil"/>
              <w:bottom w:val="single" w:sz="4" w:space="0" w:color="auto"/>
            </w:tcBorders>
            <w:shd w:val="clear" w:color="auto" w:fill="auto"/>
            <w:noWrap/>
            <w:vAlign w:val="center"/>
            <w:hideMark/>
          </w:tcPr>
          <w:p w14:paraId="2083AEDC"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0.0000</w:t>
            </w:r>
          </w:p>
        </w:tc>
        <w:tc>
          <w:tcPr>
            <w:tcW w:w="2970" w:type="dxa"/>
            <w:tcBorders>
              <w:top w:val="nil"/>
              <w:bottom w:val="single" w:sz="4" w:space="0" w:color="auto"/>
              <w:right w:val="nil"/>
            </w:tcBorders>
            <w:shd w:val="clear" w:color="auto" w:fill="auto"/>
            <w:noWrap/>
            <w:vAlign w:val="center"/>
            <w:hideMark/>
          </w:tcPr>
          <w:p w14:paraId="76D7E36B"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[0.1471, 0.3280]</w:t>
            </w:r>
          </w:p>
        </w:tc>
        <w:tc>
          <w:tcPr>
            <w:tcW w:w="1530" w:type="dxa"/>
            <w:tcBorders>
              <w:top w:val="nil"/>
              <w:left w:val="nil"/>
              <w:bottom w:val="single" w:sz="4" w:space="0" w:color="auto"/>
              <w:right w:val="nil"/>
            </w:tcBorders>
            <w:shd w:val="clear" w:color="auto" w:fill="auto"/>
            <w:noWrap/>
            <w:vAlign w:val="center"/>
            <w:hideMark/>
          </w:tcPr>
          <w:p w14:paraId="533C743C"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0.2235</w:t>
            </w:r>
          </w:p>
        </w:tc>
      </w:tr>
      <w:tr w:rsidR="0061117F" w:rsidRPr="00AF061B" w14:paraId="7441A49A" w14:textId="77777777" w:rsidTr="006F7C17">
        <w:trPr>
          <w:trHeight w:val="312"/>
        </w:trPr>
        <w:tc>
          <w:tcPr>
            <w:tcW w:w="1350" w:type="dxa"/>
            <w:tcBorders>
              <w:top w:val="single" w:sz="4" w:space="0" w:color="auto"/>
              <w:left w:val="nil"/>
              <w:bottom w:val="single" w:sz="4" w:space="0" w:color="auto"/>
              <w:right w:val="nil"/>
            </w:tcBorders>
            <w:shd w:val="clear" w:color="auto" w:fill="auto"/>
            <w:noWrap/>
            <w:vAlign w:val="bottom"/>
            <w:hideMark/>
          </w:tcPr>
          <w:p w14:paraId="389DA7F0" w14:textId="77777777" w:rsidR="0061117F" w:rsidRPr="00AF061B" w:rsidRDefault="0061117F" w:rsidP="006F7C17">
            <w:pPr>
              <w:spacing w:line="240" w:lineRule="auto"/>
              <w:rPr>
                <w:rFonts w:ascii="Times New Roman" w:hAnsi="Times New Roman"/>
                <w:b/>
                <w:bCs/>
                <w:color w:val="000000"/>
              </w:rPr>
            </w:pPr>
            <w:r w:rsidRPr="00AF061B">
              <w:rPr>
                <w:rFonts w:ascii="Times New Roman" w:hAnsi="Times New Roman"/>
                <w:b/>
                <w:bCs/>
                <w:color w:val="000000"/>
              </w:rPr>
              <w:t>Togo</w:t>
            </w:r>
          </w:p>
        </w:tc>
        <w:tc>
          <w:tcPr>
            <w:tcW w:w="1080" w:type="dxa"/>
            <w:tcBorders>
              <w:top w:val="single" w:sz="4" w:space="0" w:color="auto"/>
              <w:left w:val="nil"/>
              <w:bottom w:val="single" w:sz="4" w:space="0" w:color="auto"/>
            </w:tcBorders>
            <w:shd w:val="clear" w:color="auto" w:fill="auto"/>
            <w:noWrap/>
            <w:vAlign w:val="center"/>
            <w:hideMark/>
          </w:tcPr>
          <w:p w14:paraId="13407DD4"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0.0000</w:t>
            </w:r>
          </w:p>
        </w:tc>
        <w:tc>
          <w:tcPr>
            <w:tcW w:w="2970" w:type="dxa"/>
            <w:tcBorders>
              <w:top w:val="single" w:sz="4" w:space="0" w:color="auto"/>
              <w:bottom w:val="single" w:sz="4" w:space="0" w:color="auto"/>
              <w:right w:val="nil"/>
            </w:tcBorders>
            <w:shd w:val="clear" w:color="auto" w:fill="auto"/>
            <w:noWrap/>
            <w:vAlign w:val="center"/>
            <w:hideMark/>
          </w:tcPr>
          <w:p w14:paraId="2C27E71D"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[0.0672, 0.1128]</w:t>
            </w:r>
          </w:p>
        </w:tc>
        <w:tc>
          <w:tcPr>
            <w:tcW w:w="1530" w:type="dxa"/>
            <w:tcBorders>
              <w:top w:val="single" w:sz="4" w:space="0" w:color="auto"/>
              <w:left w:val="nil"/>
              <w:bottom w:val="single" w:sz="4" w:space="0" w:color="auto"/>
              <w:right w:val="nil"/>
            </w:tcBorders>
            <w:shd w:val="clear" w:color="auto" w:fill="auto"/>
            <w:noWrap/>
            <w:vAlign w:val="center"/>
            <w:hideMark/>
          </w:tcPr>
          <w:p w14:paraId="11DA06C0" w14:textId="77777777" w:rsidR="0061117F" w:rsidRPr="00AF061B" w:rsidRDefault="0061117F" w:rsidP="006F7C17">
            <w:pPr>
              <w:spacing w:line="240" w:lineRule="auto"/>
              <w:jc w:val="center"/>
              <w:rPr>
                <w:rFonts w:ascii="Times New Roman" w:hAnsi="Times New Roman"/>
                <w:b/>
                <w:bCs/>
                <w:color w:val="000000"/>
              </w:rPr>
            </w:pPr>
            <w:r w:rsidRPr="00AF061B">
              <w:rPr>
                <w:rFonts w:ascii="Times New Roman" w:hAnsi="Times New Roman"/>
                <w:b/>
                <w:bCs/>
                <w:color w:val="000000"/>
              </w:rPr>
              <w:t>0.0842</w:t>
            </w:r>
          </w:p>
        </w:tc>
      </w:tr>
      <w:tr w:rsidR="0061117F" w:rsidRPr="00AF061B" w14:paraId="35AF8841" w14:textId="77777777" w:rsidTr="006F7C17">
        <w:trPr>
          <w:trHeight w:val="312"/>
        </w:trPr>
        <w:tc>
          <w:tcPr>
            <w:tcW w:w="1350" w:type="dxa"/>
            <w:tcBorders>
              <w:top w:val="single" w:sz="4" w:space="0" w:color="auto"/>
              <w:left w:val="nil"/>
              <w:bottom w:val="nil"/>
              <w:right w:val="nil"/>
            </w:tcBorders>
            <w:shd w:val="clear" w:color="auto" w:fill="auto"/>
            <w:noWrap/>
            <w:vAlign w:val="bottom"/>
            <w:hideMark/>
          </w:tcPr>
          <w:p w14:paraId="15549246"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Large</w:t>
            </w:r>
          </w:p>
        </w:tc>
        <w:tc>
          <w:tcPr>
            <w:tcW w:w="1080" w:type="dxa"/>
            <w:tcBorders>
              <w:top w:val="single" w:sz="4" w:space="0" w:color="auto"/>
              <w:left w:val="nil"/>
              <w:bottom w:val="nil"/>
            </w:tcBorders>
            <w:shd w:val="clear" w:color="auto" w:fill="auto"/>
            <w:noWrap/>
            <w:vAlign w:val="center"/>
            <w:hideMark/>
          </w:tcPr>
          <w:p w14:paraId="687C3150"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0.0644</w:t>
            </w:r>
          </w:p>
        </w:tc>
        <w:tc>
          <w:tcPr>
            <w:tcW w:w="2970" w:type="dxa"/>
            <w:tcBorders>
              <w:top w:val="single" w:sz="4" w:space="0" w:color="auto"/>
              <w:bottom w:val="nil"/>
              <w:right w:val="nil"/>
            </w:tcBorders>
            <w:shd w:val="clear" w:color="auto" w:fill="auto"/>
            <w:noWrap/>
            <w:vAlign w:val="center"/>
            <w:hideMark/>
          </w:tcPr>
          <w:p w14:paraId="7F7CB881"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[-0.0015, 0.0508]</w:t>
            </w:r>
          </w:p>
        </w:tc>
        <w:tc>
          <w:tcPr>
            <w:tcW w:w="1530" w:type="dxa"/>
            <w:tcBorders>
              <w:top w:val="single" w:sz="4" w:space="0" w:color="auto"/>
              <w:left w:val="nil"/>
              <w:bottom w:val="nil"/>
              <w:right w:val="nil"/>
            </w:tcBorders>
            <w:shd w:val="clear" w:color="auto" w:fill="auto"/>
            <w:noWrap/>
            <w:vAlign w:val="center"/>
            <w:hideMark/>
          </w:tcPr>
          <w:p w14:paraId="6EBF2306"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0.0179</w:t>
            </w:r>
          </w:p>
        </w:tc>
      </w:tr>
      <w:tr w:rsidR="0061117F" w:rsidRPr="00AF061B" w14:paraId="291BCFFD" w14:textId="77777777" w:rsidTr="006F7C17">
        <w:trPr>
          <w:trHeight w:val="312"/>
        </w:trPr>
        <w:tc>
          <w:tcPr>
            <w:tcW w:w="1350" w:type="dxa"/>
            <w:tcBorders>
              <w:top w:val="nil"/>
              <w:left w:val="nil"/>
              <w:bottom w:val="nil"/>
              <w:right w:val="nil"/>
            </w:tcBorders>
            <w:shd w:val="clear" w:color="auto" w:fill="auto"/>
            <w:noWrap/>
            <w:vAlign w:val="bottom"/>
            <w:hideMark/>
          </w:tcPr>
          <w:p w14:paraId="2A0AEED2"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Medium</w:t>
            </w:r>
          </w:p>
        </w:tc>
        <w:tc>
          <w:tcPr>
            <w:tcW w:w="1080" w:type="dxa"/>
            <w:tcBorders>
              <w:top w:val="nil"/>
              <w:left w:val="nil"/>
              <w:bottom w:val="nil"/>
            </w:tcBorders>
            <w:shd w:val="clear" w:color="auto" w:fill="auto"/>
            <w:noWrap/>
            <w:vAlign w:val="center"/>
            <w:hideMark/>
          </w:tcPr>
          <w:p w14:paraId="0078B387"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0.0000</w:t>
            </w:r>
          </w:p>
        </w:tc>
        <w:tc>
          <w:tcPr>
            <w:tcW w:w="2970" w:type="dxa"/>
            <w:tcBorders>
              <w:top w:val="nil"/>
              <w:bottom w:val="nil"/>
              <w:right w:val="nil"/>
            </w:tcBorders>
            <w:shd w:val="clear" w:color="auto" w:fill="auto"/>
            <w:noWrap/>
            <w:vAlign w:val="center"/>
            <w:hideMark/>
          </w:tcPr>
          <w:p w14:paraId="318BEF3A"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[0.2195, 0.4150]</w:t>
            </w:r>
          </w:p>
        </w:tc>
        <w:tc>
          <w:tcPr>
            <w:tcW w:w="1530" w:type="dxa"/>
            <w:tcBorders>
              <w:top w:val="nil"/>
              <w:left w:val="nil"/>
              <w:bottom w:val="nil"/>
              <w:right w:val="nil"/>
            </w:tcBorders>
            <w:shd w:val="clear" w:color="auto" w:fill="auto"/>
            <w:noWrap/>
            <w:vAlign w:val="center"/>
            <w:hideMark/>
          </w:tcPr>
          <w:p w14:paraId="60654BDA"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0.3422</w:t>
            </w:r>
          </w:p>
        </w:tc>
      </w:tr>
      <w:tr w:rsidR="0061117F" w:rsidRPr="00AF061B" w14:paraId="762C2898" w14:textId="77777777" w:rsidTr="006F7C17">
        <w:trPr>
          <w:trHeight w:val="312"/>
        </w:trPr>
        <w:tc>
          <w:tcPr>
            <w:tcW w:w="1350" w:type="dxa"/>
            <w:tcBorders>
              <w:top w:val="nil"/>
              <w:left w:val="nil"/>
              <w:bottom w:val="single" w:sz="4" w:space="0" w:color="auto"/>
              <w:right w:val="nil"/>
            </w:tcBorders>
            <w:shd w:val="clear" w:color="auto" w:fill="auto"/>
            <w:noWrap/>
            <w:vAlign w:val="bottom"/>
            <w:hideMark/>
          </w:tcPr>
          <w:p w14:paraId="2B06DA5A" w14:textId="77777777" w:rsidR="0061117F" w:rsidRPr="00AF061B" w:rsidRDefault="0061117F" w:rsidP="006F7C17">
            <w:pPr>
              <w:spacing w:line="240" w:lineRule="auto"/>
              <w:rPr>
                <w:rFonts w:ascii="Times New Roman" w:hAnsi="Times New Roman"/>
                <w:color w:val="000000"/>
              </w:rPr>
            </w:pPr>
            <w:r w:rsidRPr="00AF061B">
              <w:rPr>
                <w:rFonts w:ascii="Times New Roman" w:hAnsi="Times New Roman"/>
                <w:color w:val="000000"/>
              </w:rPr>
              <w:t>Small</w:t>
            </w:r>
          </w:p>
        </w:tc>
        <w:tc>
          <w:tcPr>
            <w:tcW w:w="1080" w:type="dxa"/>
            <w:tcBorders>
              <w:top w:val="nil"/>
              <w:left w:val="nil"/>
              <w:bottom w:val="single" w:sz="4" w:space="0" w:color="auto"/>
            </w:tcBorders>
            <w:shd w:val="clear" w:color="auto" w:fill="auto"/>
            <w:noWrap/>
            <w:vAlign w:val="center"/>
            <w:hideMark/>
          </w:tcPr>
          <w:p w14:paraId="40F38670"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0.0000</w:t>
            </w:r>
          </w:p>
        </w:tc>
        <w:tc>
          <w:tcPr>
            <w:tcW w:w="2970" w:type="dxa"/>
            <w:tcBorders>
              <w:top w:val="nil"/>
              <w:bottom w:val="single" w:sz="4" w:space="0" w:color="auto"/>
              <w:right w:val="nil"/>
            </w:tcBorders>
            <w:shd w:val="clear" w:color="auto" w:fill="auto"/>
            <w:noWrap/>
            <w:vAlign w:val="center"/>
            <w:hideMark/>
          </w:tcPr>
          <w:p w14:paraId="59794510"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[0.4570, 0.6060]</w:t>
            </w:r>
          </w:p>
        </w:tc>
        <w:tc>
          <w:tcPr>
            <w:tcW w:w="1530" w:type="dxa"/>
            <w:tcBorders>
              <w:top w:val="nil"/>
              <w:left w:val="nil"/>
              <w:bottom w:val="single" w:sz="4" w:space="0" w:color="auto"/>
              <w:right w:val="nil"/>
            </w:tcBorders>
            <w:shd w:val="clear" w:color="auto" w:fill="auto"/>
            <w:noWrap/>
            <w:vAlign w:val="center"/>
            <w:hideMark/>
          </w:tcPr>
          <w:p w14:paraId="1C5B5081" w14:textId="77777777" w:rsidR="0061117F" w:rsidRPr="00AF061B" w:rsidRDefault="0061117F" w:rsidP="006F7C17">
            <w:pPr>
              <w:spacing w:line="240" w:lineRule="auto"/>
              <w:jc w:val="center"/>
              <w:rPr>
                <w:rFonts w:ascii="Times New Roman" w:hAnsi="Times New Roman"/>
                <w:color w:val="000000"/>
              </w:rPr>
            </w:pPr>
            <w:r w:rsidRPr="00AF061B">
              <w:rPr>
                <w:rFonts w:ascii="Times New Roman" w:hAnsi="Times New Roman"/>
                <w:color w:val="000000"/>
              </w:rPr>
              <w:t>0.5319</w:t>
            </w:r>
          </w:p>
        </w:tc>
      </w:tr>
    </w:tbl>
    <w:p w14:paraId="171E5737" w14:textId="77777777" w:rsidR="0061117F" w:rsidRDefault="0061117F" w:rsidP="0061117F">
      <w:pPr>
        <w:rPr>
          <w:rFonts w:ascii="Times New Roman" w:hAnsi="Times New Roman"/>
          <w:b/>
          <w:bCs/>
        </w:rPr>
      </w:pPr>
    </w:p>
    <w:p w14:paraId="0204A689" w14:textId="77777777" w:rsidR="0061117F" w:rsidRDefault="0061117F" w:rsidP="0061117F">
      <w:pPr>
        <w:rPr>
          <w:rFonts w:ascii="Times New Roman" w:hAnsi="Times New Roman"/>
          <w:b/>
        </w:rPr>
      </w:pPr>
      <w:r>
        <w:rPr>
          <w:rFonts w:ascii="Times New Roman" w:hAnsi="Times New Roman"/>
          <w:b/>
        </w:rPr>
        <w:br w:type="page"/>
      </w:r>
    </w:p>
    <w:p w14:paraId="431C27B1" w14:textId="77777777" w:rsidR="0061117F" w:rsidRPr="00140F9D" w:rsidRDefault="0061117F" w:rsidP="0061117F">
      <w:pPr>
        <w:rPr>
          <w:rFonts w:ascii="Times New Roman" w:hAnsi="Times New Roman"/>
        </w:rPr>
      </w:pPr>
      <w:r>
        <w:rPr>
          <w:rFonts w:ascii="Times New Roman" w:hAnsi="Times New Roman"/>
          <w:noProof/>
          <w:lang w:bidi="ar-SA"/>
        </w:rPr>
        <w:lastRenderedPageBreak/>
        <w:drawing>
          <wp:inline distT="0" distB="0" distL="0" distR="0" wp14:anchorId="59A6D58E" wp14:editId="705B95AE">
            <wp:extent cx="5759196" cy="3959352"/>
            <wp:effectExtent l="0" t="0" r="0" b="3175"/>
            <wp:docPr id="112422818" name="Picture 8" descr="A graph with a line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2818" name="Picture 8" descr="A graph with a line and dot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59196" cy="3959352"/>
                    </a:xfrm>
                    <a:prstGeom prst="rect">
                      <a:avLst/>
                    </a:prstGeom>
                  </pic:spPr>
                </pic:pic>
              </a:graphicData>
            </a:graphic>
          </wp:inline>
        </w:drawing>
      </w:r>
    </w:p>
    <w:p w14:paraId="6B87E3B1" w14:textId="738FD366" w:rsidR="00FA1C69" w:rsidRPr="00FA1C69" w:rsidRDefault="00FA1C69" w:rsidP="00FA1C69">
      <w:pPr>
        <w:spacing w:line="240" w:lineRule="auto"/>
        <w:rPr>
          <w:rFonts w:ascii="Times New Roman" w:hAnsi="Times New Roman"/>
          <w:bCs/>
        </w:rPr>
      </w:pPr>
      <w:r w:rsidRPr="006E12E4">
        <w:rPr>
          <w:rFonts w:ascii="Times New Roman" w:hAnsi="Times New Roman"/>
          <w:b/>
        </w:rPr>
        <w:t>Figure S2</w:t>
      </w:r>
      <w:r w:rsidRPr="00FA1C69">
        <w:rPr>
          <w:rFonts w:ascii="Times New Roman" w:hAnsi="Times New Roman"/>
          <w:bCs/>
        </w:rPr>
        <w:t>: Relationship between annual expansion rate (2001-2020) and initial developed area (2001) across the study area. The blue line shows the smooth curve, and the gray portion is the 95% confidence bounds.</w:t>
      </w:r>
    </w:p>
    <w:p w14:paraId="2A2B7F71" w14:textId="77777777" w:rsidR="0061117F" w:rsidRDefault="0061117F" w:rsidP="0061117F">
      <w:pPr>
        <w:rPr>
          <w:rFonts w:ascii="Times New Roman" w:hAnsi="Times New Roman"/>
          <w:b/>
          <w:bCs/>
        </w:rPr>
      </w:pPr>
      <w:r>
        <w:rPr>
          <w:rFonts w:ascii="Times New Roman" w:hAnsi="Times New Roman"/>
          <w:b/>
          <w:bCs/>
        </w:rPr>
        <w:br w:type="page"/>
      </w:r>
    </w:p>
    <w:p w14:paraId="5AE7F802" w14:textId="77777777" w:rsidR="0061117F" w:rsidRDefault="0061117F" w:rsidP="0061117F">
      <w:pPr>
        <w:rPr>
          <w:rFonts w:ascii="Times New Roman" w:hAnsi="Times New Roman"/>
          <w:b/>
          <w:bCs/>
        </w:rPr>
      </w:pPr>
      <w:r w:rsidRPr="002D183C">
        <w:rPr>
          <w:rFonts w:ascii="Times New Roman" w:hAnsi="Times New Roman"/>
          <w:noProof/>
          <w:lang w:bidi="ar-SA"/>
        </w:rPr>
        <w:lastRenderedPageBreak/>
        <w:drawing>
          <wp:inline distT="0" distB="0" distL="0" distR="0" wp14:anchorId="048A2009" wp14:editId="1E4071A9">
            <wp:extent cx="5879624" cy="4579951"/>
            <wp:effectExtent l="0" t="0" r="6985" b="0"/>
            <wp:docPr id="961189067" name="Picture 1" descr="A map of a large area with different colored are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89067" name="Picture 1" descr="A map of a large area with different colored areas&#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83305" cy="4582818"/>
                    </a:xfrm>
                    <a:prstGeom prst="rect">
                      <a:avLst/>
                    </a:prstGeom>
                  </pic:spPr>
                </pic:pic>
              </a:graphicData>
            </a:graphic>
          </wp:inline>
        </w:drawing>
      </w:r>
    </w:p>
    <w:p w14:paraId="5584ACA6" w14:textId="3D6FF6FA" w:rsidR="00FA1C69" w:rsidRPr="00FA1C69" w:rsidRDefault="00FA1C69" w:rsidP="0061624D">
      <w:pPr>
        <w:spacing w:line="240" w:lineRule="auto"/>
        <w:rPr>
          <w:rFonts w:ascii="Times New Roman" w:hAnsi="Times New Roman"/>
        </w:rPr>
      </w:pPr>
      <w:r w:rsidRPr="006E12E4">
        <w:rPr>
          <w:rFonts w:ascii="Times New Roman" w:hAnsi="Times New Roman"/>
          <w:b/>
          <w:bCs/>
        </w:rPr>
        <w:t>Figure S3</w:t>
      </w:r>
      <w:r w:rsidRPr="00FA1C69">
        <w:rPr>
          <w:rFonts w:ascii="Times New Roman" w:hAnsi="Times New Roman"/>
        </w:rPr>
        <w:t xml:space="preserve">: Gravity index for small and medium cities near large cities across the study area. Higher indexes are located close to the large cities. </w:t>
      </w:r>
    </w:p>
    <w:p w14:paraId="102241F1" w14:textId="77777777" w:rsidR="0061117F" w:rsidRDefault="0061117F" w:rsidP="0061117F">
      <w:pPr>
        <w:rPr>
          <w:rFonts w:ascii="Times New Roman" w:hAnsi="Times New Roman"/>
        </w:rPr>
      </w:pPr>
    </w:p>
    <w:p w14:paraId="4D18A884" w14:textId="77777777" w:rsidR="00D40232" w:rsidRDefault="00D40232" w:rsidP="0061117F">
      <w:pPr>
        <w:rPr>
          <w:rFonts w:ascii="Times New Roman" w:hAnsi="Times New Roman"/>
        </w:rPr>
      </w:pPr>
    </w:p>
    <w:p w14:paraId="604FF970" w14:textId="77777777" w:rsidR="00D40232" w:rsidRDefault="00D40232" w:rsidP="0061117F">
      <w:pPr>
        <w:rPr>
          <w:rFonts w:ascii="Times New Roman" w:hAnsi="Times New Roman"/>
        </w:rPr>
      </w:pPr>
    </w:p>
    <w:p w14:paraId="4C316079" w14:textId="77777777" w:rsidR="00D40232" w:rsidRDefault="00D40232" w:rsidP="0061117F">
      <w:pPr>
        <w:rPr>
          <w:rFonts w:ascii="Times New Roman" w:hAnsi="Times New Roman"/>
        </w:rPr>
      </w:pPr>
    </w:p>
    <w:p w14:paraId="75307455" w14:textId="77777777" w:rsidR="00D40232" w:rsidRDefault="00D40232" w:rsidP="0061117F">
      <w:pPr>
        <w:rPr>
          <w:rFonts w:ascii="Times New Roman" w:hAnsi="Times New Roman"/>
        </w:rPr>
      </w:pPr>
    </w:p>
    <w:p w14:paraId="15FF243B" w14:textId="77777777" w:rsidR="00D40232" w:rsidRDefault="00D40232" w:rsidP="0061117F">
      <w:pPr>
        <w:rPr>
          <w:rFonts w:ascii="Times New Roman" w:hAnsi="Times New Roman"/>
        </w:rPr>
      </w:pPr>
    </w:p>
    <w:p w14:paraId="7031D165" w14:textId="77777777" w:rsidR="0061117F" w:rsidRDefault="0061117F" w:rsidP="007A3E34">
      <w:pPr>
        <w:rPr>
          <w:lang w:bidi="ar-SA"/>
        </w:rPr>
      </w:pPr>
    </w:p>
    <w:p w14:paraId="02C37EEF" w14:textId="668637B8" w:rsidR="0061117F" w:rsidRPr="007A3E34" w:rsidRDefault="0061117F" w:rsidP="00397A7D">
      <w:pPr>
        <w:pStyle w:val="Heading2"/>
        <w:numPr>
          <w:ilvl w:val="0"/>
          <w:numId w:val="0"/>
        </w:numPr>
        <w:ind w:left="792"/>
      </w:pPr>
      <w:bookmarkStart w:id="189" w:name="_Toc172288774"/>
      <w:r>
        <w:lastRenderedPageBreak/>
        <w:t>Chapter Four</w:t>
      </w:r>
      <w:bookmarkEnd w:id="189"/>
    </w:p>
    <w:p w14:paraId="77DAB916" w14:textId="241C582B" w:rsidR="00B44118" w:rsidRPr="00FA1C69" w:rsidRDefault="00FA1C69" w:rsidP="00CB0EF3">
      <w:pPr>
        <w:spacing w:line="240" w:lineRule="auto"/>
        <w:rPr>
          <w:rFonts w:ascii="Times New Roman" w:hAnsi="Times New Roman"/>
        </w:rPr>
      </w:pPr>
      <w:r w:rsidRPr="006E12E4">
        <w:rPr>
          <w:rFonts w:ascii="Times New Roman" w:hAnsi="Times New Roman"/>
          <w:b/>
          <w:bCs/>
        </w:rPr>
        <w:t>Table S3</w:t>
      </w:r>
      <w:r w:rsidR="00B44118" w:rsidRPr="00FA1C69">
        <w:rPr>
          <w:rFonts w:ascii="Times New Roman" w:hAnsi="Times New Roman"/>
        </w:rPr>
        <w:t>: Summaries of generalized linear modes across large, medium, and small cities in Benin and Ghana.</w:t>
      </w:r>
    </w:p>
    <w:p w14:paraId="6C01F928" w14:textId="77777777" w:rsidR="00CB0EF3" w:rsidRPr="00CB0EF3" w:rsidRDefault="00CB0EF3" w:rsidP="00CB0EF3">
      <w:pPr>
        <w:spacing w:line="240" w:lineRule="auto"/>
        <w:rPr>
          <w:rFonts w:ascii="Times New Roman" w:hAnsi="Times New Roman"/>
        </w:rPr>
      </w:pPr>
    </w:p>
    <w:tbl>
      <w:tblPr>
        <w:tblW w:w="9220" w:type="dxa"/>
        <w:tblInd w:w="108" w:type="dxa"/>
        <w:tblLook w:val="04A0" w:firstRow="1" w:lastRow="0" w:firstColumn="1" w:lastColumn="0" w:noHBand="0" w:noVBand="1"/>
      </w:tblPr>
      <w:tblGrid>
        <w:gridCol w:w="967"/>
        <w:gridCol w:w="792"/>
        <w:gridCol w:w="675"/>
        <w:gridCol w:w="623"/>
        <w:gridCol w:w="589"/>
        <w:gridCol w:w="675"/>
        <w:gridCol w:w="647"/>
        <w:gridCol w:w="631"/>
        <w:gridCol w:w="675"/>
        <w:gridCol w:w="611"/>
        <w:gridCol w:w="763"/>
        <w:gridCol w:w="762"/>
        <w:gridCol w:w="810"/>
      </w:tblGrid>
      <w:tr w:rsidR="00F859C9" w:rsidRPr="00AB4D2E" w14:paraId="10C26A87" w14:textId="77777777" w:rsidTr="000F27C1">
        <w:trPr>
          <w:trHeight w:val="295"/>
        </w:trPr>
        <w:tc>
          <w:tcPr>
            <w:tcW w:w="967" w:type="dxa"/>
            <w:tcBorders>
              <w:top w:val="single" w:sz="4" w:space="0" w:color="auto"/>
              <w:left w:val="nil"/>
              <w:bottom w:val="nil"/>
              <w:right w:val="nil"/>
            </w:tcBorders>
            <w:shd w:val="clear" w:color="auto" w:fill="auto"/>
            <w:noWrap/>
            <w:vAlign w:val="bottom"/>
            <w:hideMark/>
          </w:tcPr>
          <w:p w14:paraId="1CFB882A"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Benin</w:t>
            </w:r>
          </w:p>
        </w:tc>
        <w:tc>
          <w:tcPr>
            <w:tcW w:w="2090" w:type="dxa"/>
            <w:gridSpan w:val="3"/>
            <w:tcBorders>
              <w:top w:val="single" w:sz="4" w:space="0" w:color="auto"/>
              <w:left w:val="nil"/>
              <w:bottom w:val="nil"/>
              <w:right w:val="nil"/>
            </w:tcBorders>
            <w:shd w:val="clear" w:color="auto" w:fill="auto"/>
            <w:noWrap/>
            <w:vAlign w:val="bottom"/>
            <w:hideMark/>
          </w:tcPr>
          <w:p w14:paraId="78A380CE"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Estimate</w:t>
            </w:r>
          </w:p>
        </w:tc>
        <w:tc>
          <w:tcPr>
            <w:tcW w:w="1911" w:type="dxa"/>
            <w:gridSpan w:val="3"/>
            <w:tcBorders>
              <w:top w:val="single" w:sz="4" w:space="0" w:color="auto"/>
              <w:left w:val="nil"/>
              <w:bottom w:val="nil"/>
              <w:right w:val="nil"/>
            </w:tcBorders>
            <w:shd w:val="clear" w:color="auto" w:fill="auto"/>
            <w:noWrap/>
            <w:vAlign w:val="bottom"/>
            <w:hideMark/>
          </w:tcPr>
          <w:p w14:paraId="33915EF7"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Std. Error</w:t>
            </w:r>
          </w:p>
        </w:tc>
        <w:tc>
          <w:tcPr>
            <w:tcW w:w="1917" w:type="dxa"/>
            <w:gridSpan w:val="3"/>
            <w:tcBorders>
              <w:top w:val="single" w:sz="4" w:space="0" w:color="auto"/>
              <w:left w:val="nil"/>
              <w:bottom w:val="nil"/>
              <w:right w:val="nil"/>
            </w:tcBorders>
            <w:shd w:val="clear" w:color="auto" w:fill="auto"/>
            <w:noWrap/>
            <w:vAlign w:val="bottom"/>
            <w:hideMark/>
          </w:tcPr>
          <w:p w14:paraId="6AF4F495"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Z Value</w:t>
            </w:r>
          </w:p>
        </w:tc>
        <w:tc>
          <w:tcPr>
            <w:tcW w:w="2335"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5257E393"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 xml:space="preserve">Pr(&gt;|z|) </w:t>
            </w:r>
          </w:p>
        </w:tc>
      </w:tr>
      <w:tr w:rsidR="00F859C9" w:rsidRPr="00AB4D2E" w14:paraId="1E68454F" w14:textId="77777777" w:rsidTr="000F27C1">
        <w:trPr>
          <w:trHeight w:val="295"/>
        </w:trPr>
        <w:tc>
          <w:tcPr>
            <w:tcW w:w="967" w:type="dxa"/>
            <w:tcBorders>
              <w:top w:val="nil"/>
              <w:left w:val="nil"/>
              <w:bottom w:val="single" w:sz="4" w:space="0" w:color="auto"/>
              <w:right w:val="nil"/>
            </w:tcBorders>
            <w:shd w:val="clear" w:color="auto" w:fill="auto"/>
            <w:noWrap/>
            <w:vAlign w:val="bottom"/>
            <w:hideMark/>
          </w:tcPr>
          <w:p w14:paraId="0D7D74A5"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Predictor</w:t>
            </w:r>
          </w:p>
        </w:tc>
        <w:tc>
          <w:tcPr>
            <w:tcW w:w="792" w:type="dxa"/>
            <w:tcBorders>
              <w:top w:val="nil"/>
              <w:left w:val="nil"/>
              <w:bottom w:val="single" w:sz="4" w:space="0" w:color="auto"/>
              <w:right w:val="nil"/>
            </w:tcBorders>
            <w:shd w:val="clear" w:color="auto" w:fill="auto"/>
            <w:noWrap/>
            <w:vAlign w:val="bottom"/>
            <w:hideMark/>
          </w:tcPr>
          <w:p w14:paraId="20F088E1"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675" w:type="dxa"/>
            <w:tcBorders>
              <w:top w:val="nil"/>
              <w:left w:val="nil"/>
              <w:bottom w:val="single" w:sz="4" w:space="0" w:color="auto"/>
              <w:right w:val="nil"/>
            </w:tcBorders>
            <w:shd w:val="clear" w:color="auto" w:fill="auto"/>
            <w:noWrap/>
            <w:vAlign w:val="bottom"/>
            <w:hideMark/>
          </w:tcPr>
          <w:p w14:paraId="46BFD649"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622" w:type="dxa"/>
            <w:tcBorders>
              <w:top w:val="nil"/>
              <w:left w:val="nil"/>
              <w:bottom w:val="single" w:sz="4" w:space="0" w:color="auto"/>
              <w:right w:val="nil"/>
            </w:tcBorders>
            <w:shd w:val="clear" w:color="auto" w:fill="auto"/>
            <w:noWrap/>
            <w:vAlign w:val="bottom"/>
            <w:hideMark/>
          </w:tcPr>
          <w:p w14:paraId="488C915A"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Large</w:t>
            </w:r>
          </w:p>
        </w:tc>
        <w:tc>
          <w:tcPr>
            <w:tcW w:w="589" w:type="dxa"/>
            <w:tcBorders>
              <w:top w:val="nil"/>
              <w:left w:val="nil"/>
              <w:bottom w:val="single" w:sz="4" w:space="0" w:color="auto"/>
              <w:right w:val="nil"/>
            </w:tcBorders>
            <w:shd w:val="clear" w:color="auto" w:fill="auto"/>
            <w:noWrap/>
            <w:vAlign w:val="bottom"/>
            <w:hideMark/>
          </w:tcPr>
          <w:p w14:paraId="53B0F393"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675" w:type="dxa"/>
            <w:tcBorders>
              <w:top w:val="nil"/>
              <w:left w:val="nil"/>
              <w:bottom w:val="single" w:sz="4" w:space="0" w:color="auto"/>
              <w:right w:val="nil"/>
            </w:tcBorders>
            <w:shd w:val="clear" w:color="auto" w:fill="auto"/>
            <w:noWrap/>
            <w:vAlign w:val="bottom"/>
            <w:hideMark/>
          </w:tcPr>
          <w:p w14:paraId="467D2BFD"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646" w:type="dxa"/>
            <w:tcBorders>
              <w:top w:val="nil"/>
              <w:left w:val="nil"/>
              <w:bottom w:val="single" w:sz="4" w:space="0" w:color="auto"/>
              <w:right w:val="nil"/>
            </w:tcBorders>
            <w:shd w:val="clear" w:color="auto" w:fill="auto"/>
            <w:noWrap/>
            <w:vAlign w:val="bottom"/>
            <w:hideMark/>
          </w:tcPr>
          <w:p w14:paraId="4B0D5DBB"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Large</w:t>
            </w:r>
          </w:p>
        </w:tc>
        <w:tc>
          <w:tcPr>
            <w:tcW w:w="631" w:type="dxa"/>
            <w:tcBorders>
              <w:top w:val="nil"/>
              <w:left w:val="nil"/>
              <w:bottom w:val="single" w:sz="4" w:space="0" w:color="auto"/>
              <w:right w:val="nil"/>
            </w:tcBorders>
            <w:shd w:val="clear" w:color="auto" w:fill="auto"/>
            <w:noWrap/>
            <w:vAlign w:val="bottom"/>
            <w:hideMark/>
          </w:tcPr>
          <w:p w14:paraId="5AD19A16"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675" w:type="dxa"/>
            <w:tcBorders>
              <w:top w:val="nil"/>
              <w:left w:val="nil"/>
              <w:bottom w:val="single" w:sz="4" w:space="0" w:color="auto"/>
              <w:right w:val="nil"/>
            </w:tcBorders>
            <w:shd w:val="clear" w:color="auto" w:fill="auto"/>
            <w:noWrap/>
            <w:vAlign w:val="bottom"/>
            <w:hideMark/>
          </w:tcPr>
          <w:p w14:paraId="36111EF3"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610" w:type="dxa"/>
            <w:tcBorders>
              <w:top w:val="nil"/>
              <w:left w:val="nil"/>
              <w:bottom w:val="single" w:sz="4" w:space="0" w:color="auto"/>
              <w:right w:val="nil"/>
            </w:tcBorders>
            <w:shd w:val="clear" w:color="auto" w:fill="auto"/>
            <w:noWrap/>
            <w:vAlign w:val="bottom"/>
            <w:hideMark/>
          </w:tcPr>
          <w:p w14:paraId="49DD2BC4"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Large</w:t>
            </w:r>
          </w:p>
        </w:tc>
        <w:tc>
          <w:tcPr>
            <w:tcW w:w="763" w:type="dxa"/>
            <w:tcBorders>
              <w:top w:val="nil"/>
              <w:left w:val="single" w:sz="4" w:space="0" w:color="auto"/>
              <w:bottom w:val="single" w:sz="4" w:space="0" w:color="auto"/>
              <w:right w:val="nil"/>
            </w:tcBorders>
            <w:shd w:val="clear" w:color="auto" w:fill="auto"/>
            <w:noWrap/>
            <w:vAlign w:val="center"/>
            <w:hideMark/>
          </w:tcPr>
          <w:p w14:paraId="44E4CFBA"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762" w:type="dxa"/>
            <w:tcBorders>
              <w:top w:val="nil"/>
              <w:left w:val="nil"/>
              <w:bottom w:val="single" w:sz="4" w:space="0" w:color="auto"/>
              <w:right w:val="nil"/>
            </w:tcBorders>
            <w:shd w:val="clear" w:color="auto" w:fill="auto"/>
            <w:noWrap/>
            <w:vAlign w:val="center"/>
            <w:hideMark/>
          </w:tcPr>
          <w:p w14:paraId="1901DE07"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808" w:type="dxa"/>
            <w:tcBorders>
              <w:top w:val="nil"/>
              <w:left w:val="nil"/>
              <w:bottom w:val="single" w:sz="4" w:space="0" w:color="auto"/>
              <w:right w:val="single" w:sz="4" w:space="0" w:color="auto"/>
            </w:tcBorders>
            <w:shd w:val="clear" w:color="auto" w:fill="auto"/>
            <w:noWrap/>
            <w:vAlign w:val="center"/>
            <w:hideMark/>
          </w:tcPr>
          <w:p w14:paraId="77AF62A5"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Large</w:t>
            </w:r>
          </w:p>
        </w:tc>
      </w:tr>
      <w:tr w:rsidR="00F859C9" w:rsidRPr="00AB4D2E" w14:paraId="7E7F46E4" w14:textId="77777777" w:rsidTr="000F27C1">
        <w:trPr>
          <w:trHeight w:val="295"/>
        </w:trPr>
        <w:tc>
          <w:tcPr>
            <w:tcW w:w="967" w:type="dxa"/>
            <w:tcBorders>
              <w:top w:val="nil"/>
              <w:left w:val="nil"/>
              <w:bottom w:val="single" w:sz="4" w:space="0" w:color="auto"/>
              <w:right w:val="nil"/>
            </w:tcBorders>
            <w:shd w:val="clear" w:color="auto" w:fill="auto"/>
            <w:noWrap/>
            <w:vAlign w:val="bottom"/>
            <w:hideMark/>
          </w:tcPr>
          <w:p w14:paraId="2137BACC"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Intercept</w:t>
            </w:r>
          </w:p>
        </w:tc>
        <w:tc>
          <w:tcPr>
            <w:tcW w:w="792" w:type="dxa"/>
            <w:tcBorders>
              <w:top w:val="nil"/>
              <w:left w:val="nil"/>
              <w:bottom w:val="single" w:sz="4" w:space="0" w:color="auto"/>
              <w:right w:val="nil"/>
            </w:tcBorders>
            <w:shd w:val="clear" w:color="auto" w:fill="auto"/>
            <w:noWrap/>
            <w:vAlign w:val="center"/>
            <w:hideMark/>
          </w:tcPr>
          <w:p w14:paraId="7205E871" w14:textId="30A729C8"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-1.28</w:t>
            </w:r>
            <w:r w:rsidR="003617F4" w:rsidRPr="00AB4D2E">
              <w:rPr>
                <w:rFonts w:cstheme="minorHAnsi"/>
                <w:b/>
                <w:bCs/>
                <w:color w:val="000000"/>
                <w:sz w:val="12"/>
                <w:szCs w:val="12"/>
              </w:rPr>
              <w:t>6</w:t>
            </w:r>
          </w:p>
        </w:tc>
        <w:tc>
          <w:tcPr>
            <w:tcW w:w="675" w:type="dxa"/>
            <w:tcBorders>
              <w:top w:val="nil"/>
              <w:left w:val="nil"/>
              <w:bottom w:val="single" w:sz="4" w:space="0" w:color="auto"/>
              <w:right w:val="nil"/>
            </w:tcBorders>
            <w:shd w:val="clear" w:color="auto" w:fill="auto"/>
            <w:noWrap/>
            <w:vAlign w:val="center"/>
            <w:hideMark/>
          </w:tcPr>
          <w:p w14:paraId="67B32A10" w14:textId="1290E8E0"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-0.995</w:t>
            </w:r>
          </w:p>
        </w:tc>
        <w:tc>
          <w:tcPr>
            <w:tcW w:w="622" w:type="dxa"/>
            <w:tcBorders>
              <w:top w:val="nil"/>
              <w:left w:val="nil"/>
              <w:bottom w:val="single" w:sz="4" w:space="0" w:color="auto"/>
              <w:right w:val="nil"/>
            </w:tcBorders>
            <w:shd w:val="clear" w:color="auto" w:fill="auto"/>
            <w:noWrap/>
            <w:vAlign w:val="center"/>
            <w:hideMark/>
          </w:tcPr>
          <w:p w14:paraId="5F61A11F" w14:textId="4854FA2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-0.94</w:t>
            </w:r>
            <w:r w:rsidR="00542DF5" w:rsidRPr="00AB4D2E">
              <w:rPr>
                <w:rFonts w:cstheme="minorHAnsi"/>
                <w:b/>
                <w:bCs/>
                <w:color w:val="000000"/>
                <w:sz w:val="12"/>
                <w:szCs w:val="12"/>
              </w:rPr>
              <w:t>3</w:t>
            </w:r>
          </w:p>
        </w:tc>
        <w:tc>
          <w:tcPr>
            <w:tcW w:w="589" w:type="dxa"/>
            <w:tcBorders>
              <w:top w:val="nil"/>
              <w:left w:val="nil"/>
              <w:bottom w:val="single" w:sz="4" w:space="0" w:color="auto"/>
              <w:right w:val="nil"/>
            </w:tcBorders>
            <w:shd w:val="clear" w:color="auto" w:fill="auto"/>
            <w:noWrap/>
            <w:vAlign w:val="center"/>
            <w:hideMark/>
          </w:tcPr>
          <w:p w14:paraId="3F6EFF06" w14:textId="0A0E6EE8"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0.38</w:t>
            </w:r>
            <w:r w:rsidR="00542DF5" w:rsidRPr="00AB4D2E">
              <w:rPr>
                <w:rFonts w:cstheme="minorHAnsi"/>
                <w:b/>
                <w:bCs/>
                <w:color w:val="000000"/>
                <w:sz w:val="12"/>
                <w:szCs w:val="12"/>
              </w:rPr>
              <w:t>9</w:t>
            </w:r>
          </w:p>
        </w:tc>
        <w:tc>
          <w:tcPr>
            <w:tcW w:w="675" w:type="dxa"/>
            <w:tcBorders>
              <w:top w:val="nil"/>
              <w:left w:val="nil"/>
              <w:bottom w:val="single" w:sz="4" w:space="0" w:color="auto"/>
              <w:right w:val="nil"/>
            </w:tcBorders>
            <w:shd w:val="clear" w:color="auto" w:fill="auto"/>
            <w:noWrap/>
            <w:vAlign w:val="center"/>
            <w:hideMark/>
          </w:tcPr>
          <w:p w14:paraId="203A5E13"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0.701</w:t>
            </w:r>
          </w:p>
        </w:tc>
        <w:tc>
          <w:tcPr>
            <w:tcW w:w="646" w:type="dxa"/>
            <w:tcBorders>
              <w:top w:val="nil"/>
              <w:left w:val="nil"/>
              <w:bottom w:val="single" w:sz="4" w:space="0" w:color="auto"/>
              <w:right w:val="nil"/>
            </w:tcBorders>
            <w:shd w:val="clear" w:color="auto" w:fill="auto"/>
            <w:noWrap/>
            <w:vAlign w:val="center"/>
            <w:hideMark/>
          </w:tcPr>
          <w:p w14:paraId="7A37D105" w14:textId="66C1624A"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1.462</w:t>
            </w:r>
          </w:p>
        </w:tc>
        <w:tc>
          <w:tcPr>
            <w:tcW w:w="631" w:type="dxa"/>
            <w:tcBorders>
              <w:top w:val="nil"/>
              <w:left w:val="nil"/>
              <w:bottom w:val="single" w:sz="4" w:space="0" w:color="auto"/>
              <w:right w:val="nil"/>
            </w:tcBorders>
            <w:shd w:val="clear" w:color="auto" w:fill="auto"/>
            <w:noWrap/>
            <w:vAlign w:val="center"/>
            <w:hideMark/>
          </w:tcPr>
          <w:p w14:paraId="4A5AB004"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-3.309</w:t>
            </w:r>
          </w:p>
        </w:tc>
        <w:tc>
          <w:tcPr>
            <w:tcW w:w="675" w:type="dxa"/>
            <w:tcBorders>
              <w:top w:val="nil"/>
              <w:left w:val="nil"/>
              <w:bottom w:val="single" w:sz="4" w:space="0" w:color="auto"/>
              <w:right w:val="nil"/>
            </w:tcBorders>
            <w:shd w:val="clear" w:color="auto" w:fill="auto"/>
            <w:noWrap/>
            <w:vAlign w:val="center"/>
            <w:hideMark/>
          </w:tcPr>
          <w:p w14:paraId="141F6565" w14:textId="23E4B0F0"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-1.42</w:t>
            </w:r>
            <w:r w:rsidR="00542DF5" w:rsidRPr="00AB4D2E">
              <w:rPr>
                <w:rFonts w:cstheme="minorHAnsi"/>
                <w:b/>
                <w:bCs/>
                <w:color w:val="000000"/>
                <w:sz w:val="12"/>
                <w:szCs w:val="12"/>
              </w:rPr>
              <w:t>0</w:t>
            </w:r>
          </w:p>
        </w:tc>
        <w:tc>
          <w:tcPr>
            <w:tcW w:w="610" w:type="dxa"/>
            <w:tcBorders>
              <w:top w:val="nil"/>
              <w:left w:val="nil"/>
              <w:bottom w:val="single" w:sz="4" w:space="0" w:color="auto"/>
              <w:right w:val="nil"/>
            </w:tcBorders>
            <w:shd w:val="clear" w:color="auto" w:fill="auto"/>
            <w:noWrap/>
            <w:vAlign w:val="center"/>
            <w:hideMark/>
          </w:tcPr>
          <w:p w14:paraId="1381824D"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-0.645</w:t>
            </w:r>
          </w:p>
        </w:tc>
        <w:tc>
          <w:tcPr>
            <w:tcW w:w="763" w:type="dxa"/>
            <w:tcBorders>
              <w:top w:val="nil"/>
              <w:left w:val="single" w:sz="4" w:space="0" w:color="auto"/>
              <w:bottom w:val="single" w:sz="4" w:space="0" w:color="auto"/>
              <w:right w:val="nil"/>
            </w:tcBorders>
            <w:shd w:val="clear" w:color="auto" w:fill="auto"/>
            <w:noWrap/>
            <w:vAlign w:val="center"/>
            <w:hideMark/>
          </w:tcPr>
          <w:p w14:paraId="6A7076B2"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0.0009***</w:t>
            </w:r>
          </w:p>
        </w:tc>
        <w:tc>
          <w:tcPr>
            <w:tcW w:w="762" w:type="dxa"/>
            <w:tcBorders>
              <w:top w:val="nil"/>
              <w:left w:val="nil"/>
              <w:bottom w:val="single" w:sz="4" w:space="0" w:color="auto"/>
              <w:right w:val="nil"/>
            </w:tcBorders>
            <w:shd w:val="clear" w:color="auto" w:fill="auto"/>
            <w:noWrap/>
            <w:vAlign w:val="center"/>
            <w:hideMark/>
          </w:tcPr>
          <w:p w14:paraId="778689BD"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0.1556</w:t>
            </w:r>
          </w:p>
        </w:tc>
        <w:tc>
          <w:tcPr>
            <w:tcW w:w="808" w:type="dxa"/>
            <w:tcBorders>
              <w:top w:val="nil"/>
              <w:left w:val="nil"/>
              <w:bottom w:val="single" w:sz="4" w:space="0" w:color="auto"/>
              <w:right w:val="single" w:sz="4" w:space="0" w:color="auto"/>
            </w:tcBorders>
            <w:shd w:val="clear" w:color="auto" w:fill="auto"/>
            <w:noWrap/>
            <w:vAlign w:val="center"/>
            <w:hideMark/>
          </w:tcPr>
          <w:p w14:paraId="7F5F1A42" w14:textId="77777777" w:rsidR="00B44118" w:rsidRPr="00AB4D2E" w:rsidRDefault="00B44118" w:rsidP="0093026D">
            <w:pPr>
              <w:spacing w:line="240" w:lineRule="auto"/>
              <w:jc w:val="center"/>
              <w:rPr>
                <w:rFonts w:cstheme="minorHAnsi"/>
                <w:b/>
                <w:bCs/>
                <w:color w:val="000000"/>
                <w:sz w:val="12"/>
                <w:szCs w:val="12"/>
              </w:rPr>
            </w:pPr>
            <w:r w:rsidRPr="00AB4D2E">
              <w:rPr>
                <w:rFonts w:cstheme="minorHAnsi"/>
                <w:b/>
                <w:bCs/>
                <w:color w:val="000000"/>
                <w:sz w:val="12"/>
                <w:szCs w:val="12"/>
              </w:rPr>
              <w:t>0.5191</w:t>
            </w:r>
          </w:p>
        </w:tc>
      </w:tr>
      <w:tr w:rsidR="00F859C9" w:rsidRPr="00AB4D2E" w14:paraId="5F025222" w14:textId="77777777" w:rsidTr="000F27C1">
        <w:trPr>
          <w:trHeight w:val="295"/>
        </w:trPr>
        <w:tc>
          <w:tcPr>
            <w:tcW w:w="967" w:type="dxa"/>
            <w:tcBorders>
              <w:top w:val="nil"/>
              <w:left w:val="nil"/>
              <w:bottom w:val="nil"/>
              <w:right w:val="nil"/>
            </w:tcBorders>
            <w:shd w:val="clear" w:color="auto" w:fill="auto"/>
            <w:noWrap/>
            <w:vAlign w:val="bottom"/>
            <w:hideMark/>
          </w:tcPr>
          <w:p w14:paraId="73CF8ED6"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DevPressure</w:t>
            </w:r>
          </w:p>
        </w:tc>
        <w:tc>
          <w:tcPr>
            <w:tcW w:w="792" w:type="dxa"/>
            <w:tcBorders>
              <w:top w:val="nil"/>
              <w:left w:val="nil"/>
              <w:bottom w:val="nil"/>
              <w:right w:val="nil"/>
            </w:tcBorders>
            <w:shd w:val="clear" w:color="auto" w:fill="auto"/>
            <w:noWrap/>
            <w:vAlign w:val="center"/>
            <w:hideMark/>
          </w:tcPr>
          <w:p w14:paraId="7CA7AB3D" w14:textId="42D765D8"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0.44</w:t>
            </w:r>
            <w:r w:rsidR="000B65E8" w:rsidRPr="00AB4D2E">
              <w:rPr>
                <w:rFonts w:cstheme="minorHAnsi"/>
                <w:color w:val="000000"/>
                <w:sz w:val="12"/>
                <w:szCs w:val="12"/>
              </w:rPr>
              <w:t>5</w:t>
            </w:r>
          </w:p>
        </w:tc>
        <w:tc>
          <w:tcPr>
            <w:tcW w:w="675" w:type="dxa"/>
            <w:tcBorders>
              <w:top w:val="nil"/>
              <w:left w:val="nil"/>
              <w:bottom w:val="nil"/>
              <w:right w:val="nil"/>
            </w:tcBorders>
            <w:shd w:val="clear" w:color="auto" w:fill="auto"/>
            <w:noWrap/>
            <w:vAlign w:val="center"/>
            <w:hideMark/>
          </w:tcPr>
          <w:p w14:paraId="47613AF8" w14:textId="199C0C4F"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0.367</w:t>
            </w:r>
          </w:p>
        </w:tc>
        <w:tc>
          <w:tcPr>
            <w:tcW w:w="622" w:type="dxa"/>
            <w:tcBorders>
              <w:top w:val="nil"/>
              <w:left w:val="nil"/>
              <w:bottom w:val="nil"/>
              <w:right w:val="nil"/>
            </w:tcBorders>
            <w:shd w:val="clear" w:color="auto" w:fill="auto"/>
            <w:noWrap/>
            <w:vAlign w:val="center"/>
            <w:hideMark/>
          </w:tcPr>
          <w:p w14:paraId="78202703" w14:textId="6B0B58BE"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0.19</w:t>
            </w:r>
            <w:r w:rsidR="000468E1" w:rsidRPr="00AB4D2E">
              <w:rPr>
                <w:rFonts w:cstheme="minorHAnsi"/>
                <w:color w:val="000000"/>
                <w:sz w:val="12"/>
                <w:szCs w:val="12"/>
              </w:rPr>
              <w:t>1</w:t>
            </w:r>
          </w:p>
        </w:tc>
        <w:tc>
          <w:tcPr>
            <w:tcW w:w="589" w:type="dxa"/>
            <w:tcBorders>
              <w:top w:val="nil"/>
              <w:left w:val="nil"/>
              <w:bottom w:val="nil"/>
              <w:right w:val="nil"/>
            </w:tcBorders>
            <w:shd w:val="clear" w:color="auto" w:fill="auto"/>
            <w:noWrap/>
            <w:vAlign w:val="center"/>
            <w:hideMark/>
          </w:tcPr>
          <w:p w14:paraId="0485A604" w14:textId="28469993"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w:t>
            </w:r>
            <w:r w:rsidR="000468E1" w:rsidRPr="00AB4D2E">
              <w:rPr>
                <w:rFonts w:cstheme="minorHAnsi"/>
                <w:color w:val="000000"/>
                <w:sz w:val="12"/>
                <w:szCs w:val="12"/>
              </w:rPr>
              <w:t>8</w:t>
            </w:r>
          </w:p>
        </w:tc>
        <w:tc>
          <w:tcPr>
            <w:tcW w:w="675" w:type="dxa"/>
            <w:tcBorders>
              <w:top w:val="nil"/>
              <w:left w:val="nil"/>
              <w:bottom w:val="nil"/>
              <w:right w:val="nil"/>
            </w:tcBorders>
            <w:shd w:val="clear" w:color="auto" w:fill="auto"/>
            <w:noWrap/>
            <w:vAlign w:val="center"/>
            <w:hideMark/>
          </w:tcPr>
          <w:p w14:paraId="163E87C0" w14:textId="59167614"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w:t>
            </w:r>
            <w:r w:rsidR="000468E1" w:rsidRPr="00AB4D2E">
              <w:rPr>
                <w:rFonts w:cstheme="minorHAnsi"/>
                <w:color w:val="000000"/>
                <w:sz w:val="12"/>
                <w:szCs w:val="12"/>
              </w:rPr>
              <w:t>5</w:t>
            </w:r>
          </w:p>
        </w:tc>
        <w:tc>
          <w:tcPr>
            <w:tcW w:w="646" w:type="dxa"/>
            <w:tcBorders>
              <w:top w:val="nil"/>
              <w:left w:val="nil"/>
              <w:bottom w:val="nil"/>
              <w:right w:val="nil"/>
            </w:tcBorders>
            <w:shd w:val="clear" w:color="auto" w:fill="auto"/>
            <w:noWrap/>
            <w:vAlign w:val="center"/>
            <w:hideMark/>
          </w:tcPr>
          <w:p w14:paraId="77EA8F3D" w14:textId="46F9A9E6"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0.03</w:t>
            </w:r>
            <w:r w:rsidR="000468E1" w:rsidRPr="00AB4D2E">
              <w:rPr>
                <w:rFonts w:cstheme="minorHAnsi"/>
                <w:color w:val="000000"/>
                <w:sz w:val="12"/>
                <w:szCs w:val="12"/>
              </w:rPr>
              <w:t>6</w:t>
            </w:r>
          </w:p>
        </w:tc>
        <w:tc>
          <w:tcPr>
            <w:tcW w:w="631" w:type="dxa"/>
            <w:tcBorders>
              <w:top w:val="nil"/>
              <w:left w:val="nil"/>
              <w:bottom w:val="nil"/>
              <w:right w:val="nil"/>
            </w:tcBorders>
            <w:shd w:val="clear" w:color="auto" w:fill="auto"/>
            <w:noWrap/>
            <w:vAlign w:val="center"/>
            <w:hideMark/>
          </w:tcPr>
          <w:p w14:paraId="7C8603BA" w14:textId="7729DBA4"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15.99</w:t>
            </w:r>
            <w:r w:rsidR="004565E4" w:rsidRPr="00AB4D2E">
              <w:rPr>
                <w:rFonts w:cstheme="minorHAnsi"/>
                <w:color w:val="000000"/>
                <w:sz w:val="12"/>
                <w:szCs w:val="12"/>
              </w:rPr>
              <w:t>0</w:t>
            </w:r>
          </w:p>
        </w:tc>
        <w:tc>
          <w:tcPr>
            <w:tcW w:w="675" w:type="dxa"/>
            <w:tcBorders>
              <w:top w:val="nil"/>
              <w:left w:val="nil"/>
              <w:bottom w:val="nil"/>
              <w:right w:val="nil"/>
            </w:tcBorders>
            <w:shd w:val="clear" w:color="auto" w:fill="auto"/>
            <w:noWrap/>
            <w:vAlign w:val="center"/>
            <w:hideMark/>
          </w:tcPr>
          <w:p w14:paraId="3C49FE6A"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14.808</w:t>
            </w:r>
          </w:p>
        </w:tc>
        <w:tc>
          <w:tcPr>
            <w:tcW w:w="610" w:type="dxa"/>
            <w:tcBorders>
              <w:top w:val="nil"/>
              <w:left w:val="nil"/>
              <w:bottom w:val="nil"/>
              <w:right w:val="nil"/>
            </w:tcBorders>
            <w:shd w:val="clear" w:color="auto" w:fill="auto"/>
            <w:noWrap/>
            <w:vAlign w:val="center"/>
            <w:hideMark/>
          </w:tcPr>
          <w:p w14:paraId="7DB20E7B"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5.307</w:t>
            </w:r>
          </w:p>
        </w:tc>
        <w:tc>
          <w:tcPr>
            <w:tcW w:w="763" w:type="dxa"/>
            <w:tcBorders>
              <w:top w:val="nil"/>
              <w:left w:val="single" w:sz="4" w:space="0" w:color="auto"/>
              <w:bottom w:val="nil"/>
              <w:right w:val="nil"/>
            </w:tcBorders>
            <w:shd w:val="clear" w:color="auto" w:fill="auto"/>
            <w:noWrap/>
            <w:vAlign w:val="center"/>
            <w:hideMark/>
          </w:tcPr>
          <w:p w14:paraId="32E28D0E"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w:t>
            </w:r>
          </w:p>
        </w:tc>
        <w:tc>
          <w:tcPr>
            <w:tcW w:w="762" w:type="dxa"/>
            <w:tcBorders>
              <w:top w:val="nil"/>
              <w:left w:val="nil"/>
              <w:bottom w:val="nil"/>
              <w:right w:val="nil"/>
            </w:tcBorders>
            <w:shd w:val="clear" w:color="auto" w:fill="auto"/>
            <w:noWrap/>
            <w:vAlign w:val="center"/>
            <w:hideMark/>
          </w:tcPr>
          <w:p w14:paraId="384A1C0A"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w:t>
            </w:r>
          </w:p>
        </w:tc>
        <w:tc>
          <w:tcPr>
            <w:tcW w:w="808" w:type="dxa"/>
            <w:tcBorders>
              <w:top w:val="nil"/>
              <w:left w:val="nil"/>
              <w:bottom w:val="nil"/>
              <w:right w:val="single" w:sz="4" w:space="0" w:color="auto"/>
            </w:tcBorders>
            <w:shd w:val="clear" w:color="auto" w:fill="auto"/>
            <w:noWrap/>
            <w:vAlign w:val="center"/>
            <w:hideMark/>
          </w:tcPr>
          <w:p w14:paraId="0E229031"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0493DC23" w14:textId="77777777" w:rsidTr="000F27C1">
        <w:trPr>
          <w:trHeight w:val="295"/>
        </w:trPr>
        <w:tc>
          <w:tcPr>
            <w:tcW w:w="967" w:type="dxa"/>
            <w:tcBorders>
              <w:top w:val="nil"/>
              <w:left w:val="nil"/>
              <w:bottom w:val="nil"/>
              <w:right w:val="nil"/>
            </w:tcBorders>
            <w:shd w:val="clear" w:color="auto" w:fill="auto"/>
            <w:noWrap/>
            <w:vAlign w:val="bottom"/>
            <w:hideMark/>
          </w:tcPr>
          <w:p w14:paraId="7715D43D"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DLRoads</w:t>
            </w:r>
          </w:p>
        </w:tc>
        <w:tc>
          <w:tcPr>
            <w:tcW w:w="792" w:type="dxa"/>
            <w:tcBorders>
              <w:top w:val="nil"/>
              <w:left w:val="nil"/>
              <w:bottom w:val="nil"/>
              <w:right w:val="nil"/>
            </w:tcBorders>
            <w:shd w:val="clear" w:color="auto" w:fill="auto"/>
            <w:noWrap/>
            <w:vAlign w:val="center"/>
            <w:hideMark/>
          </w:tcPr>
          <w:p w14:paraId="1B7C2BF6" w14:textId="6869B662"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w:t>
            </w:r>
            <w:r w:rsidR="00C379E8" w:rsidRPr="00AB4D2E">
              <w:rPr>
                <w:rFonts w:cstheme="minorHAnsi"/>
                <w:color w:val="000000"/>
                <w:sz w:val="12"/>
                <w:szCs w:val="12"/>
              </w:rPr>
              <w:t>1</w:t>
            </w:r>
          </w:p>
        </w:tc>
        <w:tc>
          <w:tcPr>
            <w:tcW w:w="675" w:type="dxa"/>
            <w:tcBorders>
              <w:top w:val="nil"/>
              <w:left w:val="nil"/>
              <w:bottom w:val="nil"/>
              <w:right w:val="nil"/>
            </w:tcBorders>
            <w:shd w:val="clear" w:color="auto" w:fill="auto"/>
            <w:noWrap/>
            <w:vAlign w:val="center"/>
            <w:hideMark/>
          </w:tcPr>
          <w:p w14:paraId="05AF4354" w14:textId="029F5113"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w:t>
            </w:r>
            <w:r w:rsidR="00970CDF" w:rsidRPr="00AB4D2E">
              <w:rPr>
                <w:rFonts w:cstheme="minorHAnsi"/>
                <w:color w:val="000000"/>
                <w:sz w:val="12"/>
                <w:szCs w:val="12"/>
              </w:rPr>
              <w:t>30</w:t>
            </w:r>
          </w:p>
        </w:tc>
        <w:tc>
          <w:tcPr>
            <w:tcW w:w="622" w:type="dxa"/>
            <w:tcBorders>
              <w:top w:val="nil"/>
              <w:left w:val="nil"/>
              <w:bottom w:val="nil"/>
              <w:right w:val="nil"/>
            </w:tcBorders>
            <w:shd w:val="clear" w:color="auto" w:fill="auto"/>
            <w:noWrap/>
            <w:vAlign w:val="center"/>
            <w:hideMark/>
          </w:tcPr>
          <w:p w14:paraId="2FB6A184" w14:textId="67D9BA38"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-0.07</w:t>
            </w:r>
            <w:r w:rsidR="000468E1" w:rsidRPr="00AB4D2E">
              <w:rPr>
                <w:rFonts w:cstheme="minorHAnsi"/>
                <w:color w:val="000000"/>
                <w:sz w:val="12"/>
                <w:szCs w:val="12"/>
              </w:rPr>
              <w:t>1</w:t>
            </w:r>
          </w:p>
        </w:tc>
        <w:tc>
          <w:tcPr>
            <w:tcW w:w="589" w:type="dxa"/>
            <w:tcBorders>
              <w:top w:val="nil"/>
              <w:left w:val="nil"/>
              <w:bottom w:val="nil"/>
              <w:right w:val="nil"/>
            </w:tcBorders>
            <w:shd w:val="clear" w:color="auto" w:fill="auto"/>
            <w:noWrap/>
            <w:vAlign w:val="center"/>
            <w:hideMark/>
          </w:tcPr>
          <w:p w14:paraId="0C5F210B" w14:textId="377E69A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0.013</w:t>
            </w:r>
          </w:p>
        </w:tc>
        <w:tc>
          <w:tcPr>
            <w:tcW w:w="675" w:type="dxa"/>
            <w:tcBorders>
              <w:top w:val="nil"/>
              <w:left w:val="nil"/>
              <w:bottom w:val="nil"/>
              <w:right w:val="nil"/>
            </w:tcBorders>
            <w:shd w:val="clear" w:color="auto" w:fill="auto"/>
            <w:noWrap/>
            <w:vAlign w:val="center"/>
            <w:hideMark/>
          </w:tcPr>
          <w:p w14:paraId="38835F8A" w14:textId="490927FA"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0.013</w:t>
            </w:r>
          </w:p>
        </w:tc>
        <w:tc>
          <w:tcPr>
            <w:tcW w:w="646" w:type="dxa"/>
            <w:tcBorders>
              <w:top w:val="nil"/>
              <w:left w:val="nil"/>
              <w:bottom w:val="nil"/>
              <w:right w:val="nil"/>
            </w:tcBorders>
            <w:shd w:val="clear" w:color="auto" w:fill="auto"/>
            <w:noWrap/>
            <w:vAlign w:val="center"/>
            <w:hideMark/>
          </w:tcPr>
          <w:p w14:paraId="22F501FC" w14:textId="60C5DEB3"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0.033</w:t>
            </w:r>
          </w:p>
        </w:tc>
        <w:tc>
          <w:tcPr>
            <w:tcW w:w="631" w:type="dxa"/>
            <w:tcBorders>
              <w:top w:val="nil"/>
              <w:left w:val="nil"/>
              <w:bottom w:val="nil"/>
              <w:right w:val="nil"/>
            </w:tcBorders>
            <w:shd w:val="clear" w:color="auto" w:fill="auto"/>
            <w:noWrap/>
            <w:vAlign w:val="center"/>
            <w:hideMark/>
          </w:tcPr>
          <w:p w14:paraId="2C59D3A6"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-0.807</w:t>
            </w:r>
          </w:p>
        </w:tc>
        <w:tc>
          <w:tcPr>
            <w:tcW w:w="675" w:type="dxa"/>
            <w:tcBorders>
              <w:top w:val="nil"/>
              <w:left w:val="nil"/>
              <w:bottom w:val="nil"/>
              <w:right w:val="nil"/>
            </w:tcBorders>
            <w:shd w:val="clear" w:color="auto" w:fill="auto"/>
            <w:noWrap/>
            <w:vAlign w:val="center"/>
            <w:hideMark/>
          </w:tcPr>
          <w:p w14:paraId="0D195C80"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2.251</w:t>
            </w:r>
          </w:p>
        </w:tc>
        <w:tc>
          <w:tcPr>
            <w:tcW w:w="610" w:type="dxa"/>
            <w:tcBorders>
              <w:top w:val="nil"/>
              <w:left w:val="nil"/>
              <w:bottom w:val="nil"/>
              <w:right w:val="nil"/>
            </w:tcBorders>
            <w:shd w:val="clear" w:color="auto" w:fill="auto"/>
            <w:noWrap/>
            <w:vAlign w:val="center"/>
            <w:hideMark/>
          </w:tcPr>
          <w:p w14:paraId="20FE6222"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-2.119</w:t>
            </w:r>
          </w:p>
        </w:tc>
        <w:tc>
          <w:tcPr>
            <w:tcW w:w="763" w:type="dxa"/>
            <w:tcBorders>
              <w:top w:val="nil"/>
              <w:left w:val="single" w:sz="4" w:space="0" w:color="auto"/>
              <w:bottom w:val="nil"/>
              <w:right w:val="nil"/>
            </w:tcBorders>
            <w:shd w:val="clear" w:color="auto" w:fill="auto"/>
            <w:noWrap/>
            <w:vAlign w:val="center"/>
            <w:hideMark/>
          </w:tcPr>
          <w:p w14:paraId="5A077EB4"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0.4197</w:t>
            </w:r>
          </w:p>
        </w:tc>
        <w:tc>
          <w:tcPr>
            <w:tcW w:w="762" w:type="dxa"/>
            <w:tcBorders>
              <w:top w:val="nil"/>
              <w:left w:val="nil"/>
              <w:bottom w:val="nil"/>
              <w:right w:val="nil"/>
            </w:tcBorders>
            <w:shd w:val="clear" w:color="auto" w:fill="auto"/>
            <w:noWrap/>
            <w:vAlign w:val="center"/>
            <w:hideMark/>
          </w:tcPr>
          <w:p w14:paraId="6C949CC0"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0.0244*</w:t>
            </w:r>
          </w:p>
        </w:tc>
        <w:tc>
          <w:tcPr>
            <w:tcW w:w="808" w:type="dxa"/>
            <w:tcBorders>
              <w:top w:val="nil"/>
              <w:left w:val="nil"/>
              <w:bottom w:val="nil"/>
              <w:right w:val="single" w:sz="4" w:space="0" w:color="auto"/>
            </w:tcBorders>
            <w:shd w:val="clear" w:color="auto" w:fill="auto"/>
            <w:noWrap/>
            <w:vAlign w:val="center"/>
            <w:hideMark/>
          </w:tcPr>
          <w:p w14:paraId="1C4E5808"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0.0341</w:t>
            </w:r>
          </w:p>
        </w:tc>
      </w:tr>
      <w:tr w:rsidR="00F859C9" w:rsidRPr="00AB4D2E" w14:paraId="7ECE313D" w14:textId="77777777" w:rsidTr="000F27C1">
        <w:trPr>
          <w:trHeight w:val="295"/>
        </w:trPr>
        <w:tc>
          <w:tcPr>
            <w:tcW w:w="967" w:type="dxa"/>
            <w:tcBorders>
              <w:top w:val="nil"/>
              <w:left w:val="nil"/>
              <w:bottom w:val="nil"/>
              <w:right w:val="nil"/>
            </w:tcBorders>
            <w:shd w:val="clear" w:color="auto" w:fill="auto"/>
            <w:noWrap/>
            <w:vAlign w:val="bottom"/>
            <w:hideMark/>
          </w:tcPr>
          <w:p w14:paraId="3770EB27"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DPCities</w:t>
            </w:r>
          </w:p>
        </w:tc>
        <w:tc>
          <w:tcPr>
            <w:tcW w:w="792" w:type="dxa"/>
            <w:tcBorders>
              <w:top w:val="nil"/>
              <w:left w:val="nil"/>
              <w:bottom w:val="nil"/>
              <w:right w:val="nil"/>
            </w:tcBorders>
            <w:shd w:val="clear" w:color="auto" w:fill="auto"/>
            <w:noWrap/>
            <w:vAlign w:val="center"/>
            <w:hideMark/>
          </w:tcPr>
          <w:p w14:paraId="01FA191A" w14:textId="3A86C0C5"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0.012</w:t>
            </w:r>
          </w:p>
        </w:tc>
        <w:tc>
          <w:tcPr>
            <w:tcW w:w="675" w:type="dxa"/>
            <w:tcBorders>
              <w:top w:val="nil"/>
              <w:left w:val="nil"/>
              <w:bottom w:val="nil"/>
              <w:right w:val="nil"/>
            </w:tcBorders>
            <w:shd w:val="clear" w:color="auto" w:fill="auto"/>
            <w:noWrap/>
            <w:vAlign w:val="center"/>
            <w:hideMark/>
          </w:tcPr>
          <w:p w14:paraId="72A1BD6E" w14:textId="786D00CB"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w:t>
            </w:r>
            <w:r w:rsidR="00970CDF" w:rsidRPr="00AB4D2E">
              <w:rPr>
                <w:rFonts w:cstheme="minorHAnsi"/>
                <w:color w:val="000000"/>
                <w:sz w:val="12"/>
                <w:szCs w:val="12"/>
              </w:rPr>
              <w:t>6</w:t>
            </w:r>
          </w:p>
        </w:tc>
        <w:tc>
          <w:tcPr>
            <w:tcW w:w="622" w:type="dxa"/>
            <w:tcBorders>
              <w:top w:val="nil"/>
              <w:left w:val="nil"/>
              <w:bottom w:val="nil"/>
              <w:right w:val="nil"/>
            </w:tcBorders>
            <w:shd w:val="clear" w:color="auto" w:fill="auto"/>
            <w:noWrap/>
            <w:vAlign w:val="center"/>
            <w:hideMark/>
          </w:tcPr>
          <w:p w14:paraId="41ED0DA3" w14:textId="6C9F8872"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-0.08</w:t>
            </w:r>
            <w:r w:rsidR="000468E1" w:rsidRPr="00AB4D2E">
              <w:rPr>
                <w:rFonts w:cstheme="minorHAnsi"/>
                <w:color w:val="000000"/>
                <w:sz w:val="12"/>
                <w:szCs w:val="12"/>
              </w:rPr>
              <w:t>2</w:t>
            </w:r>
          </w:p>
        </w:tc>
        <w:tc>
          <w:tcPr>
            <w:tcW w:w="589" w:type="dxa"/>
            <w:tcBorders>
              <w:top w:val="nil"/>
              <w:left w:val="nil"/>
              <w:bottom w:val="nil"/>
              <w:right w:val="nil"/>
            </w:tcBorders>
            <w:shd w:val="clear" w:color="auto" w:fill="auto"/>
            <w:noWrap/>
            <w:vAlign w:val="center"/>
            <w:hideMark/>
          </w:tcPr>
          <w:p w14:paraId="3E310D8B" w14:textId="0E6F2B5F"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0.013</w:t>
            </w:r>
          </w:p>
        </w:tc>
        <w:tc>
          <w:tcPr>
            <w:tcW w:w="675" w:type="dxa"/>
            <w:tcBorders>
              <w:top w:val="nil"/>
              <w:left w:val="nil"/>
              <w:bottom w:val="nil"/>
              <w:right w:val="nil"/>
            </w:tcBorders>
            <w:shd w:val="clear" w:color="auto" w:fill="auto"/>
            <w:noWrap/>
            <w:vAlign w:val="center"/>
            <w:hideMark/>
          </w:tcPr>
          <w:p w14:paraId="7AE1537A" w14:textId="7F4F894B"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0.013</w:t>
            </w:r>
          </w:p>
        </w:tc>
        <w:tc>
          <w:tcPr>
            <w:tcW w:w="646" w:type="dxa"/>
            <w:tcBorders>
              <w:top w:val="nil"/>
              <w:left w:val="nil"/>
              <w:bottom w:val="nil"/>
              <w:right w:val="nil"/>
            </w:tcBorders>
            <w:shd w:val="clear" w:color="auto" w:fill="auto"/>
            <w:noWrap/>
            <w:vAlign w:val="center"/>
            <w:hideMark/>
          </w:tcPr>
          <w:p w14:paraId="314C6230" w14:textId="44AA9FEB"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w:t>
            </w:r>
            <w:r w:rsidR="000468E1" w:rsidRPr="00AB4D2E">
              <w:rPr>
                <w:rFonts w:cstheme="minorHAnsi"/>
                <w:color w:val="000000"/>
                <w:sz w:val="12"/>
                <w:szCs w:val="12"/>
              </w:rPr>
              <w:t>7</w:t>
            </w:r>
          </w:p>
        </w:tc>
        <w:tc>
          <w:tcPr>
            <w:tcW w:w="631" w:type="dxa"/>
            <w:tcBorders>
              <w:top w:val="nil"/>
              <w:left w:val="nil"/>
              <w:bottom w:val="nil"/>
              <w:right w:val="nil"/>
            </w:tcBorders>
            <w:shd w:val="clear" w:color="auto" w:fill="auto"/>
            <w:noWrap/>
            <w:vAlign w:val="center"/>
            <w:hideMark/>
          </w:tcPr>
          <w:p w14:paraId="5A5F9072"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0.936</w:t>
            </w:r>
          </w:p>
        </w:tc>
        <w:tc>
          <w:tcPr>
            <w:tcW w:w="675" w:type="dxa"/>
            <w:tcBorders>
              <w:top w:val="nil"/>
              <w:left w:val="nil"/>
              <w:bottom w:val="nil"/>
              <w:right w:val="nil"/>
            </w:tcBorders>
            <w:shd w:val="clear" w:color="auto" w:fill="auto"/>
            <w:noWrap/>
            <w:vAlign w:val="center"/>
            <w:hideMark/>
          </w:tcPr>
          <w:p w14:paraId="1F354A6B"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-1.97</w:t>
            </w:r>
          </w:p>
        </w:tc>
        <w:tc>
          <w:tcPr>
            <w:tcW w:w="610" w:type="dxa"/>
            <w:tcBorders>
              <w:top w:val="nil"/>
              <w:left w:val="nil"/>
              <w:bottom w:val="nil"/>
              <w:right w:val="nil"/>
            </w:tcBorders>
            <w:shd w:val="clear" w:color="auto" w:fill="auto"/>
            <w:noWrap/>
            <w:vAlign w:val="center"/>
            <w:hideMark/>
          </w:tcPr>
          <w:p w14:paraId="5A74BF04"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-4.864</w:t>
            </w:r>
          </w:p>
        </w:tc>
        <w:tc>
          <w:tcPr>
            <w:tcW w:w="763" w:type="dxa"/>
            <w:tcBorders>
              <w:top w:val="nil"/>
              <w:left w:val="single" w:sz="4" w:space="0" w:color="auto"/>
              <w:bottom w:val="nil"/>
              <w:right w:val="nil"/>
            </w:tcBorders>
            <w:shd w:val="clear" w:color="auto" w:fill="auto"/>
            <w:noWrap/>
            <w:vAlign w:val="center"/>
            <w:hideMark/>
          </w:tcPr>
          <w:p w14:paraId="4BD0D59E"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0.3493</w:t>
            </w:r>
          </w:p>
        </w:tc>
        <w:tc>
          <w:tcPr>
            <w:tcW w:w="762" w:type="dxa"/>
            <w:tcBorders>
              <w:top w:val="nil"/>
              <w:left w:val="nil"/>
              <w:bottom w:val="nil"/>
              <w:right w:val="nil"/>
            </w:tcBorders>
            <w:shd w:val="clear" w:color="auto" w:fill="auto"/>
            <w:noWrap/>
            <w:vAlign w:val="center"/>
            <w:hideMark/>
          </w:tcPr>
          <w:p w14:paraId="259FEE15"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0.0488*</w:t>
            </w:r>
          </w:p>
        </w:tc>
        <w:tc>
          <w:tcPr>
            <w:tcW w:w="808" w:type="dxa"/>
            <w:tcBorders>
              <w:top w:val="nil"/>
              <w:left w:val="nil"/>
              <w:bottom w:val="nil"/>
              <w:right w:val="single" w:sz="4" w:space="0" w:color="auto"/>
            </w:tcBorders>
            <w:shd w:val="clear" w:color="auto" w:fill="auto"/>
            <w:noWrap/>
            <w:vAlign w:val="center"/>
            <w:hideMark/>
          </w:tcPr>
          <w:p w14:paraId="037D73C0"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79591BA1" w14:textId="77777777" w:rsidTr="000F27C1">
        <w:trPr>
          <w:trHeight w:val="295"/>
        </w:trPr>
        <w:tc>
          <w:tcPr>
            <w:tcW w:w="967" w:type="dxa"/>
            <w:tcBorders>
              <w:top w:val="nil"/>
              <w:left w:val="nil"/>
              <w:bottom w:val="nil"/>
              <w:right w:val="nil"/>
            </w:tcBorders>
            <w:shd w:val="clear" w:color="auto" w:fill="auto"/>
            <w:noWrap/>
            <w:vAlign w:val="bottom"/>
            <w:hideMark/>
          </w:tcPr>
          <w:p w14:paraId="4743DC9B"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DSRoads</w:t>
            </w:r>
          </w:p>
        </w:tc>
        <w:tc>
          <w:tcPr>
            <w:tcW w:w="792" w:type="dxa"/>
            <w:tcBorders>
              <w:top w:val="nil"/>
              <w:left w:val="nil"/>
              <w:bottom w:val="nil"/>
              <w:right w:val="nil"/>
            </w:tcBorders>
            <w:shd w:val="clear" w:color="auto" w:fill="auto"/>
            <w:noWrap/>
            <w:vAlign w:val="center"/>
            <w:hideMark/>
          </w:tcPr>
          <w:p w14:paraId="1173126F" w14:textId="5E9E0B79"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0.011</w:t>
            </w:r>
          </w:p>
        </w:tc>
        <w:tc>
          <w:tcPr>
            <w:tcW w:w="675" w:type="dxa"/>
            <w:tcBorders>
              <w:top w:val="nil"/>
              <w:left w:val="nil"/>
              <w:bottom w:val="nil"/>
              <w:right w:val="nil"/>
            </w:tcBorders>
            <w:shd w:val="clear" w:color="auto" w:fill="auto"/>
            <w:noWrap/>
            <w:vAlign w:val="center"/>
            <w:hideMark/>
          </w:tcPr>
          <w:p w14:paraId="0696E3ED" w14:textId="7D6E12E3"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w:t>
            </w:r>
            <w:r w:rsidR="00970CDF" w:rsidRPr="00AB4D2E">
              <w:rPr>
                <w:rFonts w:cstheme="minorHAnsi"/>
                <w:color w:val="000000"/>
                <w:sz w:val="12"/>
                <w:szCs w:val="12"/>
              </w:rPr>
              <w:t>6</w:t>
            </w:r>
          </w:p>
        </w:tc>
        <w:tc>
          <w:tcPr>
            <w:tcW w:w="622" w:type="dxa"/>
            <w:tcBorders>
              <w:top w:val="nil"/>
              <w:left w:val="nil"/>
              <w:bottom w:val="nil"/>
              <w:right w:val="nil"/>
            </w:tcBorders>
            <w:shd w:val="clear" w:color="auto" w:fill="auto"/>
            <w:noWrap/>
            <w:vAlign w:val="center"/>
            <w:hideMark/>
          </w:tcPr>
          <w:p w14:paraId="65B2A608" w14:textId="6A9B78E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0.05</w:t>
            </w:r>
            <w:r w:rsidR="000468E1" w:rsidRPr="00AB4D2E">
              <w:rPr>
                <w:rFonts w:cstheme="minorHAnsi"/>
                <w:color w:val="000000"/>
                <w:sz w:val="12"/>
                <w:szCs w:val="12"/>
              </w:rPr>
              <w:t>4</w:t>
            </w:r>
          </w:p>
        </w:tc>
        <w:tc>
          <w:tcPr>
            <w:tcW w:w="589" w:type="dxa"/>
            <w:tcBorders>
              <w:top w:val="nil"/>
              <w:left w:val="nil"/>
              <w:bottom w:val="nil"/>
              <w:right w:val="nil"/>
            </w:tcBorders>
            <w:shd w:val="clear" w:color="auto" w:fill="auto"/>
            <w:noWrap/>
            <w:vAlign w:val="center"/>
            <w:hideMark/>
          </w:tcPr>
          <w:p w14:paraId="11985DD2" w14:textId="3CEDEB78"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w:t>
            </w:r>
            <w:r w:rsidR="004565E4" w:rsidRPr="00AB4D2E">
              <w:rPr>
                <w:rFonts w:cstheme="minorHAnsi"/>
                <w:color w:val="000000"/>
                <w:sz w:val="12"/>
                <w:szCs w:val="12"/>
              </w:rPr>
              <w:t>1</w:t>
            </w:r>
          </w:p>
        </w:tc>
        <w:tc>
          <w:tcPr>
            <w:tcW w:w="675" w:type="dxa"/>
            <w:tcBorders>
              <w:top w:val="nil"/>
              <w:left w:val="nil"/>
              <w:bottom w:val="nil"/>
              <w:right w:val="nil"/>
            </w:tcBorders>
            <w:shd w:val="clear" w:color="auto" w:fill="auto"/>
            <w:noWrap/>
            <w:vAlign w:val="center"/>
            <w:hideMark/>
          </w:tcPr>
          <w:p w14:paraId="1D53FDC2" w14:textId="0758DD2E"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w:t>
            </w:r>
            <w:r w:rsidR="004565E4" w:rsidRPr="00AB4D2E">
              <w:rPr>
                <w:rFonts w:cstheme="minorHAnsi"/>
                <w:color w:val="000000"/>
                <w:sz w:val="12"/>
                <w:szCs w:val="12"/>
              </w:rPr>
              <w:t>20</w:t>
            </w:r>
          </w:p>
        </w:tc>
        <w:tc>
          <w:tcPr>
            <w:tcW w:w="646" w:type="dxa"/>
            <w:tcBorders>
              <w:top w:val="nil"/>
              <w:left w:val="nil"/>
              <w:bottom w:val="nil"/>
              <w:right w:val="nil"/>
            </w:tcBorders>
            <w:shd w:val="clear" w:color="auto" w:fill="auto"/>
            <w:noWrap/>
            <w:vAlign w:val="center"/>
            <w:hideMark/>
          </w:tcPr>
          <w:p w14:paraId="3A3AC55B" w14:textId="6E7D2685"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0.037</w:t>
            </w:r>
          </w:p>
        </w:tc>
        <w:tc>
          <w:tcPr>
            <w:tcW w:w="631" w:type="dxa"/>
            <w:tcBorders>
              <w:top w:val="nil"/>
              <w:left w:val="nil"/>
              <w:bottom w:val="nil"/>
              <w:right w:val="nil"/>
            </w:tcBorders>
            <w:shd w:val="clear" w:color="auto" w:fill="auto"/>
            <w:noWrap/>
            <w:vAlign w:val="center"/>
            <w:hideMark/>
          </w:tcPr>
          <w:p w14:paraId="7BB211A4"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1.017</w:t>
            </w:r>
          </w:p>
        </w:tc>
        <w:tc>
          <w:tcPr>
            <w:tcW w:w="675" w:type="dxa"/>
            <w:tcBorders>
              <w:top w:val="nil"/>
              <w:left w:val="nil"/>
              <w:bottom w:val="nil"/>
              <w:right w:val="nil"/>
            </w:tcBorders>
            <w:shd w:val="clear" w:color="auto" w:fill="auto"/>
            <w:noWrap/>
            <w:vAlign w:val="center"/>
            <w:hideMark/>
          </w:tcPr>
          <w:p w14:paraId="795BBBC2"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-0.778</w:t>
            </w:r>
          </w:p>
        </w:tc>
        <w:tc>
          <w:tcPr>
            <w:tcW w:w="610" w:type="dxa"/>
            <w:tcBorders>
              <w:top w:val="nil"/>
              <w:left w:val="nil"/>
              <w:bottom w:val="nil"/>
              <w:right w:val="nil"/>
            </w:tcBorders>
            <w:shd w:val="clear" w:color="auto" w:fill="auto"/>
            <w:noWrap/>
            <w:vAlign w:val="center"/>
            <w:hideMark/>
          </w:tcPr>
          <w:p w14:paraId="4F3EF2FE"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1.443</w:t>
            </w:r>
          </w:p>
        </w:tc>
        <w:tc>
          <w:tcPr>
            <w:tcW w:w="763" w:type="dxa"/>
            <w:tcBorders>
              <w:top w:val="nil"/>
              <w:left w:val="single" w:sz="4" w:space="0" w:color="auto"/>
              <w:bottom w:val="nil"/>
              <w:right w:val="nil"/>
            </w:tcBorders>
            <w:shd w:val="clear" w:color="auto" w:fill="auto"/>
            <w:noWrap/>
            <w:vAlign w:val="center"/>
            <w:hideMark/>
          </w:tcPr>
          <w:p w14:paraId="3CFCDB4E"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0.3092</w:t>
            </w:r>
          </w:p>
        </w:tc>
        <w:tc>
          <w:tcPr>
            <w:tcW w:w="762" w:type="dxa"/>
            <w:tcBorders>
              <w:top w:val="nil"/>
              <w:left w:val="nil"/>
              <w:bottom w:val="nil"/>
              <w:right w:val="nil"/>
            </w:tcBorders>
            <w:shd w:val="clear" w:color="auto" w:fill="auto"/>
            <w:noWrap/>
            <w:vAlign w:val="center"/>
            <w:hideMark/>
          </w:tcPr>
          <w:p w14:paraId="4B7621CB"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0.4366</w:t>
            </w:r>
          </w:p>
        </w:tc>
        <w:tc>
          <w:tcPr>
            <w:tcW w:w="808" w:type="dxa"/>
            <w:tcBorders>
              <w:top w:val="nil"/>
              <w:left w:val="nil"/>
              <w:bottom w:val="nil"/>
              <w:right w:val="single" w:sz="4" w:space="0" w:color="auto"/>
            </w:tcBorders>
            <w:shd w:val="clear" w:color="auto" w:fill="auto"/>
            <w:noWrap/>
            <w:vAlign w:val="center"/>
            <w:hideMark/>
          </w:tcPr>
          <w:p w14:paraId="0DFB3627"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0.149</w:t>
            </w:r>
          </w:p>
        </w:tc>
      </w:tr>
      <w:tr w:rsidR="00F859C9" w:rsidRPr="00AB4D2E" w14:paraId="061C7C3C" w14:textId="77777777" w:rsidTr="000F27C1">
        <w:trPr>
          <w:trHeight w:val="295"/>
        </w:trPr>
        <w:tc>
          <w:tcPr>
            <w:tcW w:w="967" w:type="dxa"/>
            <w:tcBorders>
              <w:top w:val="nil"/>
              <w:left w:val="nil"/>
              <w:bottom w:val="nil"/>
              <w:right w:val="nil"/>
            </w:tcBorders>
            <w:shd w:val="clear" w:color="auto" w:fill="auto"/>
            <w:noWrap/>
            <w:vAlign w:val="bottom"/>
            <w:hideMark/>
          </w:tcPr>
          <w:p w14:paraId="6A85E8CB"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DACities</w:t>
            </w:r>
          </w:p>
        </w:tc>
        <w:tc>
          <w:tcPr>
            <w:tcW w:w="792" w:type="dxa"/>
            <w:tcBorders>
              <w:top w:val="nil"/>
              <w:left w:val="nil"/>
              <w:bottom w:val="nil"/>
              <w:right w:val="nil"/>
            </w:tcBorders>
            <w:shd w:val="clear" w:color="auto" w:fill="auto"/>
            <w:noWrap/>
            <w:vAlign w:val="center"/>
            <w:hideMark/>
          </w:tcPr>
          <w:p w14:paraId="2E40B6F2" w14:textId="702B0CDA"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-0.187</w:t>
            </w:r>
          </w:p>
        </w:tc>
        <w:tc>
          <w:tcPr>
            <w:tcW w:w="675" w:type="dxa"/>
            <w:tcBorders>
              <w:top w:val="nil"/>
              <w:left w:val="nil"/>
              <w:bottom w:val="nil"/>
              <w:right w:val="nil"/>
            </w:tcBorders>
            <w:shd w:val="clear" w:color="auto" w:fill="auto"/>
            <w:noWrap/>
            <w:vAlign w:val="center"/>
            <w:hideMark/>
          </w:tcPr>
          <w:p w14:paraId="03B73DC8" w14:textId="0C9B2249"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-0.16</w:t>
            </w:r>
            <w:r w:rsidR="00970CDF" w:rsidRPr="00AB4D2E">
              <w:rPr>
                <w:rFonts w:cstheme="minorHAnsi"/>
                <w:color w:val="000000"/>
                <w:sz w:val="12"/>
                <w:szCs w:val="12"/>
              </w:rPr>
              <w:t>5</w:t>
            </w:r>
          </w:p>
        </w:tc>
        <w:tc>
          <w:tcPr>
            <w:tcW w:w="622" w:type="dxa"/>
            <w:tcBorders>
              <w:top w:val="nil"/>
              <w:left w:val="nil"/>
              <w:bottom w:val="nil"/>
              <w:right w:val="nil"/>
            </w:tcBorders>
            <w:shd w:val="clear" w:color="auto" w:fill="auto"/>
            <w:noWrap/>
            <w:vAlign w:val="center"/>
            <w:hideMark/>
          </w:tcPr>
          <w:p w14:paraId="27C9C94C" w14:textId="697A2509"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-0.240</w:t>
            </w:r>
          </w:p>
        </w:tc>
        <w:tc>
          <w:tcPr>
            <w:tcW w:w="589" w:type="dxa"/>
            <w:tcBorders>
              <w:top w:val="nil"/>
              <w:left w:val="nil"/>
              <w:bottom w:val="nil"/>
              <w:right w:val="nil"/>
            </w:tcBorders>
            <w:shd w:val="clear" w:color="auto" w:fill="auto"/>
            <w:noWrap/>
            <w:vAlign w:val="center"/>
            <w:hideMark/>
          </w:tcPr>
          <w:p w14:paraId="033C1F76" w14:textId="1B3FDA91"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0.04</w:t>
            </w:r>
            <w:r w:rsidR="004565E4" w:rsidRPr="00AB4D2E">
              <w:rPr>
                <w:rFonts w:cstheme="minorHAnsi"/>
                <w:color w:val="000000"/>
                <w:sz w:val="12"/>
                <w:szCs w:val="12"/>
              </w:rPr>
              <w:t>8</w:t>
            </w:r>
          </w:p>
        </w:tc>
        <w:tc>
          <w:tcPr>
            <w:tcW w:w="675" w:type="dxa"/>
            <w:tcBorders>
              <w:top w:val="nil"/>
              <w:left w:val="nil"/>
              <w:bottom w:val="nil"/>
              <w:right w:val="nil"/>
            </w:tcBorders>
            <w:shd w:val="clear" w:color="auto" w:fill="auto"/>
            <w:noWrap/>
            <w:vAlign w:val="center"/>
            <w:hideMark/>
          </w:tcPr>
          <w:p w14:paraId="348FA3D8" w14:textId="505ADE26"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0.026</w:t>
            </w:r>
          </w:p>
        </w:tc>
        <w:tc>
          <w:tcPr>
            <w:tcW w:w="646" w:type="dxa"/>
            <w:tcBorders>
              <w:top w:val="nil"/>
              <w:left w:val="nil"/>
              <w:bottom w:val="nil"/>
              <w:right w:val="nil"/>
            </w:tcBorders>
            <w:shd w:val="clear" w:color="auto" w:fill="auto"/>
            <w:noWrap/>
            <w:vAlign w:val="center"/>
            <w:hideMark/>
          </w:tcPr>
          <w:p w14:paraId="058D753C" w14:textId="7A409071"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w:t>
            </w:r>
            <w:r w:rsidR="005D7839" w:rsidRPr="00AB4D2E">
              <w:rPr>
                <w:rFonts w:cstheme="minorHAnsi"/>
                <w:color w:val="000000"/>
                <w:sz w:val="12"/>
                <w:szCs w:val="12"/>
              </w:rPr>
              <w:t>5</w:t>
            </w:r>
          </w:p>
        </w:tc>
        <w:tc>
          <w:tcPr>
            <w:tcW w:w="631" w:type="dxa"/>
            <w:tcBorders>
              <w:top w:val="nil"/>
              <w:left w:val="nil"/>
              <w:bottom w:val="nil"/>
              <w:right w:val="nil"/>
            </w:tcBorders>
            <w:shd w:val="clear" w:color="auto" w:fill="auto"/>
            <w:noWrap/>
            <w:vAlign w:val="center"/>
            <w:hideMark/>
          </w:tcPr>
          <w:p w14:paraId="1ED72829"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-3.925</w:t>
            </w:r>
          </w:p>
        </w:tc>
        <w:tc>
          <w:tcPr>
            <w:tcW w:w="675" w:type="dxa"/>
            <w:tcBorders>
              <w:top w:val="nil"/>
              <w:left w:val="nil"/>
              <w:bottom w:val="nil"/>
              <w:right w:val="nil"/>
            </w:tcBorders>
            <w:shd w:val="clear" w:color="auto" w:fill="auto"/>
            <w:noWrap/>
            <w:vAlign w:val="center"/>
            <w:hideMark/>
          </w:tcPr>
          <w:p w14:paraId="3F2C6A90"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-6.27</w:t>
            </w:r>
          </w:p>
        </w:tc>
        <w:tc>
          <w:tcPr>
            <w:tcW w:w="610" w:type="dxa"/>
            <w:tcBorders>
              <w:top w:val="nil"/>
              <w:left w:val="nil"/>
              <w:bottom w:val="nil"/>
              <w:right w:val="nil"/>
            </w:tcBorders>
            <w:shd w:val="clear" w:color="auto" w:fill="auto"/>
            <w:noWrap/>
            <w:vAlign w:val="center"/>
            <w:hideMark/>
          </w:tcPr>
          <w:p w14:paraId="2600DC99"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-9.825</w:t>
            </w:r>
          </w:p>
        </w:tc>
        <w:tc>
          <w:tcPr>
            <w:tcW w:w="763" w:type="dxa"/>
            <w:tcBorders>
              <w:top w:val="nil"/>
              <w:left w:val="single" w:sz="4" w:space="0" w:color="auto"/>
              <w:bottom w:val="nil"/>
              <w:right w:val="nil"/>
            </w:tcBorders>
            <w:shd w:val="clear" w:color="auto" w:fill="auto"/>
            <w:noWrap/>
            <w:vAlign w:val="center"/>
            <w:hideMark/>
          </w:tcPr>
          <w:p w14:paraId="0A1B9B99"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w:t>
            </w:r>
          </w:p>
        </w:tc>
        <w:tc>
          <w:tcPr>
            <w:tcW w:w="762" w:type="dxa"/>
            <w:tcBorders>
              <w:top w:val="nil"/>
              <w:left w:val="nil"/>
              <w:bottom w:val="nil"/>
              <w:right w:val="nil"/>
            </w:tcBorders>
            <w:shd w:val="clear" w:color="auto" w:fill="auto"/>
            <w:noWrap/>
            <w:vAlign w:val="center"/>
            <w:hideMark/>
          </w:tcPr>
          <w:p w14:paraId="602CF108"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w:t>
            </w:r>
          </w:p>
        </w:tc>
        <w:tc>
          <w:tcPr>
            <w:tcW w:w="808" w:type="dxa"/>
            <w:tcBorders>
              <w:top w:val="nil"/>
              <w:left w:val="nil"/>
              <w:bottom w:val="nil"/>
              <w:right w:val="single" w:sz="4" w:space="0" w:color="auto"/>
            </w:tcBorders>
            <w:shd w:val="clear" w:color="auto" w:fill="auto"/>
            <w:noWrap/>
            <w:vAlign w:val="center"/>
            <w:hideMark/>
          </w:tcPr>
          <w:p w14:paraId="37279F71"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531E2FEC" w14:textId="77777777" w:rsidTr="000F27C1">
        <w:trPr>
          <w:trHeight w:val="295"/>
        </w:trPr>
        <w:tc>
          <w:tcPr>
            <w:tcW w:w="967" w:type="dxa"/>
            <w:tcBorders>
              <w:top w:val="nil"/>
              <w:left w:val="nil"/>
              <w:bottom w:val="nil"/>
              <w:right w:val="nil"/>
            </w:tcBorders>
            <w:shd w:val="clear" w:color="auto" w:fill="auto"/>
            <w:noWrap/>
            <w:vAlign w:val="bottom"/>
            <w:hideMark/>
          </w:tcPr>
          <w:p w14:paraId="0DD6B688"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DARoads</w:t>
            </w:r>
          </w:p>
        </w:tc>
        <w:tc>
          <w:tcPr>
            <w:tcW w:w="792" w:type="dxa"/>
            <w:tcBorders>
              <w:top w:val="nil"/>
              <w:left w:val="nil"/>
              <w:bottom w:val="nil"/>
              <w:right w:val="nil"/>
            </w:tcBorders>
            <w:shd w:val="clear" w:color="auto" w:fill="auto"/>
            <w:noWrap/>
            <w:vAlign w:val="center"/>
            <w:hideMark/>
          </w:tcPr>
          <w:p w14:paraId="012543BF" w14:textId="338D4098"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w:t>
            </w:r>
            <w:r w:rsidR="00C379E8" w:rsidRPr="00AB4D2E">
              <w:rPr>
                <w:rFonts w:cstheme="minorHAnsi"/>
                <w:color w:val="000000"/>
                <w:sz w:val="12"/>
                <w:szCs w:val="12"/>
              </w:rPr>
              <w:t>20</w:t>
            </w:r>
          </w:p>
        </w:tc>
        <w:tc>
          <w:tcPr>
            <w:tcW w:w="675" w:type="dxa"/>
            <w:tcBorders>
              <w:top w:val="nil"/>
              <w:left w:val="nil"/>
              <w:bottom w:val="nil"/>
              <w:right w:val="nil"/>
            </w:tcBorders>
            <w:shd w:val="clear" w:color="auto" w:fill="auto"/>
            <w:noWrap/>
            <w:vAlign w:val="center"/>
            <w:hideMark/>
          </w:tcPr>
          <w:p w14:paraId="0DA49CAE" w14:textId="76295FAD"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-0.11</w:t>
            </w:r>
            <w:r w:rsidR="002C35F2" w:rsidRPr="00AB4D2E">
              <w:rPr>
                <w:rFonts w:cstheme="minorHAnsi"/>
                <w:color w:val="000000"/>
                <w:sz w:val="12"/>
                <w:szCs w:val="12"/>
              </w:rPr>
              <w:t>4</w:t>
            </w:r>
          </w:p>
        </w:tc>
        <w:tc>
          <w:tcPr>
            <w:tcW w:w="622" w:type="dxa"/>
            <w:tcBorders>
              <w:top w:val="nil"/>
              <w:left w:val="nil"/>
              <w:bottom w:val="nil"/>
              <w:right w:val="nil"/>
            </w:tcBorders>
            <w:shd w:val="clear" w:color="auto" w:fill="auto"/>
            <w:noWrap/>
            <w:vAlign w:val="center"/>
            <w:hideMark/>
          </w:tcPr>
          <w:p w14:paraId="7F1B6BB7" w14:textId="6CE9479F"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-0.2</w:t>
            </w:r>
            <w:r w:rsidR="003637E9" w:rsidRPr="00AB4D2E">
              <w:rPr>
                <w:rFonts w:cstheme="minorHAnsi"/>
                <w:color w:val="000000"/>
                <w:sz w:val="12"/>
                <w:szCs w:val="12"/>
              </w:rPr>
              <w:t>20</w:t>
            </w:r>
          </w:p>
        </w:tc>
        <w:tc>
          <w:tcPr>
            <w:tcW w:w="589" w:type="dxa"/>
            <w:tcBorders>
              <w:top w:val="nil"/>
              <w:left w:val="nil"/>
              <w:bottom w:val="nil"/>
              <w:right w:val="nil"/>
            </w:tcBorders>
            <w:shd w:val="clear" w:color="auto" w:fill="auto"/>
            <w:noWrap/>
            <w:vAlign w:val="center"/>
            <w:hideMark/>
          </w:tcPr>
          <w:p w14:paraId="5A005323" w14:textId="7EF043F4"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0.08</w:t>
            </w:r>
            <w:r w:rsidR="004565E4" w:rsidRPr="00AB4D2E">
              <w:rPr>
                <w:rFonts w:cstheme="minorHAnsi"/>
                <w:color w:val="000000"/>
                <w:sz w:val="12"/>
                <w:szCs w:val="12"/>
              </w:rPr>
              <w:t>9</w:t>
            </w:r>
          </w:p>
        </w:tc>
        <w:tc>
          <w:tcPr>
            <w:tcW w:w="675" w:type="dxa"/>
            <w:tcBorders>
              <w:top w:val="nil"/>
              <w:left w:val="nil"/>
              <w:bottom w:val="nil"/>
              <w:right w:val="nil"/>
            </w:tcBorders>
            <w:shd w:val="clear" w:color="auto" w:fill="auto"/>
            <w:noWrap/>
            <w:vAlign w:val="center"/>
            <w:hideMark/>
          </w:tcPr>
          <w:p w14:paraId="59824D7D" w14:textId="313938CB"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0.084</w:t>
            </w:r>
          </w:p>
        </w:tc>
        <w:tc>
          <w:tcPr>
            <w:tcW w:w="646" w:type="dxa"/>
            <w:tcBorders>
              <w:top w:val="nil"/>
              <w:left w:val="nil"/>
              <w:bottom w:val="nil"/>
              <w:right w:val="nil"/>
            </w:tcBorders>
            <w:shd w:val="clear" w:color="auto" w:fill="auto"/>
            <w:noWrap/>
            <w:vAlign w:val="center"/>
            <w:hideMark/>
          </w:tcPr>
          <w:p w14:paraId="76E3A433" w14:textId="1764AAED"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0.098</w:t>
            </w:r>
          </w:p>
        </w:tc>
        <w:tc>
          <w:tcPr>
            <w:tcW w:w="631" w:type="dxa"/>
            <w:tcBorders>
              <w:top w:val="nil"/>
              <w:left w:val="nil"/>
              <w:bottom w:val="nil"/>
              <w:right w:val="nil"/>
            </w:tcBorders>
            <w:shd w:val="clear" w:color="auto" w:fill="auto"/>
            <w:noWrap/>
            <w:vAlign w:val="center"/>
            <w:hideMark/>
          </w:tcPr>
          <w:p w14:paraId="161F3908"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-0.221</w:t>
            </w:r>
          </w:p>
        </w:tc>
        <w:tc>
          <w:tcPr>
            <w:tcW w:w="675" w:type="dxa"/>
            <w:tcBorders>
              <w:top w:val="nil"/>
              <w:left w:val="nil"/>
              <w:bottom w:val="nil"/>
              <w:right w:val="nil"/>
            </w:tcBorders>
            <w:shd w:val="clear" w:color="auto" w:fill="auto"/>
            <w:noWrap/>
            <w:vAlign w:val="center"/>
            <w:hideMark/>
          </w:tcPr>
          <w:p w14:paraId="46DBAF2A"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-1.348</w:t>
            </w:r>
          </w:p>
        </w:tc>
        <w:tc>
          <w:tcPr>
            <w:tcW w:w="610" w:type="dxa"/>
            <w:tcBorders>
              <w:top w:val="nil"/>
              <w:left w:val="nil"/>
              <w:bottom w:val="nil"/>
              <w:right w:val="nil"/>
            </w:tcBorders>
            <w:shd w:val="clear" w:color="auto" w:fill="auto"/>
            <w:noWrap/>
            <w:vAlign w:val="center"/>
            <w:hideMark/>
          </w:tcPr>
          <w:p w14:paraId="74DBAE21"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-2.233</w:t>
            </w:r>
          </w:p>
        </w:tc>
        <w:tc>
          <w:tcPr>
            <w:tcW w:w="763" w:type="dxa"/>
            <w:tcBorders>
              <w:top w:val="nil"/>
              <w:left w:val="single" w:sz="4" w:space="0" w:color="auto"/>
              <w:bottom w:val="nil"/>
              <w:right w:val="nil"/>
            </w:tcBorders>
            <w:shd w:val="clear" w:color="auto" w:fill="auto"/>
            <w:noWrap/>
            <w:vAlign w:val="center"/>
            <w:hideMark/>
          </w:tcPr>
          <w:p w14:paraId="2AB419F5"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0.8253</w:t>
            </w:r>
          </w:p>
        </w:tc>
        <w:tc>
          <w:tcPr>
            <w:tcW w:w="762" w:type="dxa"/>
            <w:tcBorders>
              <w:top w:val="nil"/>
              <w:left w:val="nil"/>
              <w:bottom w:val="nil"/>
              <w:right w:val="nil"/>
            </w:tcBorders>
            <w:shd w:val="clear" w:color="auto" w:fill="auto"/>
            <w:noWrap/>
            <w:vAlign w:val="center"/>
            <w:hideMark/>
          </w:tcPr>
          <w:p w14:paraId="5A548A1E"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0.1776</w:t>
            </w:r>
          </w:p>
        </w:tc>
        <w:tc>
          <w:tcPr>
            <w:tcW w:w="808" w:type="dxa"/>
            <w:tcBorders>
              <w:top w:val="nil"/>
              <w:left w:val="nil"/>
              <w:bottom w:val="nil"/>
              <w:right w:val="single" w:sz="4" w:space="0" w:color="auto"/>
            </w:tcBorders>
            <w:shd w:val="clear" w:color="auto" w:fill="auto"/>
            <w:noWrap/>
            <w:vAlign w:val="center"/>
            <w:hideMark/>
          </w:tcPr>
          <w:p w14:paraId="784390FD" w14:textId="4D4D7263"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0.0255 *</w:t>
            </w:r>
          </w:p>
        </w:tc>
      </w:tr>
      <w:tr w:rsidR="00F859C9" w:rsidRPr="00AB4D2E" w14:paraId="379BBA0E" w14:textId="77777777" w:rsidTr="000F27C1">
        <w:trPr>
          <w:trHeight w:val="295"/>
        </w:trPr>
        <w:tc>
          <w:tcPr>
            <w:tcW w:w="967" w:type="dxa"/>
            <w:tcBorders>
              <w:top w:val="nil"/>
              <w:left w:val="nil"/>
              <w:bottom w:val="nil"/>
              <w:right w:val="nil"/>
            </w:tcBorders>
            <w:shd w:val="clear" w:color="auto" w:fill="auto"/>
            <w:noWrap/>
            <w:vAlign w:val="bottom"/>
            <w:hideMark/>
          </w:tcPr>
          <w:p w14:paraId="48214DDF"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DTRoads</w:t>
            </w:r>
          </w:p>
        </w:tc>
        <w:tc>
          <w:tcPr>
            <w:tcW w:w="792" w:type="dxa"/>
            <w:tcBorders>
              <w:top w:val="nil"/>
              <w:left w:val="nil"/>
              <w:bottom w:val="nil"/>
              <w:right w:val="nil"/>
            </w:tcBorders>
            <w:shd w:val="clear" w:color="auto" w:fill="auto"/>
            <w:noWrap/>
            <w:vAlign w:val="center"/>
            <w:hideMark/>
          </w:tcPr>
          <w:p w14:paraId="40B53562" w14:textId="0F70045C"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0.04</w:t>
            </w:r>
            <w:r w:rsidR="00C379E8" w:rsidRPr="00AB4D2E">
              <w:rPr>
                <w:rFonts w:cstheme="minorHAnsi"/>
                <w:color w:val="000000"/>
                <w:sz w:val="12"/>
                <w:szCs w:val="12"/>
              </w:rPr>
              <w:t>5</w:t>
            </w:r>
          </w:p>
        </w:tc>
        <w:tc>
          <w:tcPr>
            <w:tcW w:w="675" w:type="dxa"/>
            <w:tcBorders>
              <w:top w:val="nil"/>
              <w:left w:val="nil"/>
              <w:bottom w:val="nil"/>
              <w:right w:val="nil"/>
            </w:tcBorders>
            <w:shd w:val="clear" w:color="auto" w:fill="auto"/>
            <w:noWrap/>
            <w:vAlign w:val="center"/>
            <w:hideMark/>
          </w:tcPr>
          <w:p w14:paraId="02CDD47C" w14:textId="66B3DF82"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0.06</w:t>
            </w:r>
            <w:r w:rsidR="002C35F2" w:rsidRPr="00AB4D2E">
              <w:rPr>
                <w:rFonts w:cstheme="minorHAnsi"/>
                <w:color w:val="000000"/>
                <w:sz w:val="12"/>
                <w:szCs w:val="12"/>
              </w:rPr>
              <w:t>9</w:t>
            </w:r>
          </w:p>
        </w:tc>
        <w:tc>
          <w:tcPr>
            <w:tcW w:w="622" w:type="dxa"/>
            <w:tcBorders>
              <w:top w:val="nil"/>
              <w:left w:val="nil"/>
              <w:bottom w:val="nil"/>
              <w:right w:val="nil"/>
            </w:tcBorders>
            <w:shd w:val="clear" w:color="auto" w:fill="auto"/>
            <w:noWrap/>
            <w:vAlign w:val="center"/>
            <w:hideMark/>
          </w:tcPr>
          <w:p w14:paraId="2D5D5165" w14:textId="4C6D865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0.019</w:t>
            </w:r>
          </w:p>
        </w:tc>
        <w:tc>
          <w:tcPr>
            <w:tcW w:w="589" w:type="dxa"/>
            <w:tcBorders>
              <w:top w:val="nil"/>
              <w:left w:val="nil"/>
              <w:bottom w:val="nil"/>
              <w:right w:val="nil"/>
            </w:tcBorders>
            <w:shd w:val="clear" w:color="auto" w:fill="auto"/>
            <w:noWrap/>
            <w:vAlign w:val="center"/>
            <w:hideMark/>
          </w:tcPr>
          <w:p w14:paraId="700859F2" w14:textId="048A7FF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w:t>
            </w:r>
            <w:r w:rsidR="004565E4" w:rsidRPr="00AB4D2E">
              <w:rPr>
                <w:rFonts w:cstheme="minorHAnsi"/>
                <w:color w:val="000000"/>
                <w:sz w:val="12"/>
                <w:szCs w:val="12"/>
              </w:rPr>
              <w:t>4</w:t>
            </w:r>
          </w:p>
        </w:tc>
        <w:tc>
          <w:tcPr>
            <w:tcW w:w="675" w:type="dxa"/>
            <w:tcBorders>
              <w:top w:val="nil"/>
              <w:left w:val="nil"/>
              <w:bottom w:val="nil"/>
              <w:right w:val="nil"/>
            </w:tcBorders>
            <w:shd w:val="clear" w:color="auto" w:fill="auto"/>
            <w:noWrap/>
            <w:vAlign w:val="center"/>
            <w:hideMark/>
          </w:tcPr>
          <w:p w14:paraId="0B6F89FC" w14:textId="4BD5A90A"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0.03</w:t>
            </w:r>
            <w:r w:rsidR="004565E4" w:rsidRPr="00AB4D2E">
              <w:rPr>
                <w:rFonts w:cstheme="minorHAnsi"/>
                <w:color w:val="000000"/>
                <w:sz w:val="12"/>
                <w:szCs w:val="12"/>
              </w:rPr>
              <w:t>8</w:t>
            </w:r>
          </w:p>
        </w:tc>
        <w:tc>
          <w:tcPr>
            <w:tcW w:w="646" w:type="dxa"/>
            <w:tcBorders>
              <w:top w:val="nil"/>
              <w:left w:val="nil"/>
              <w:bottom w:val="nil"/>
              <w:right w:val="nil"/>
            </w:tcBorders>
            <w:shd w:val="clear" w:color="auto" w:fill="auto"/>
            <w:noWrap/>
            <w:vAlign w:val="center"/>
            <w:hideMark/>
          </w:tcPr>
          <w:p w14:paraId="510D3FC5" w14:textId="0D2C3B88"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0.06</w:t>
            </w:r>
            <w:r w:rsidR="004511E6" w:rsidRPr="00AB4D2E">
              <w:rPr>
                <w:rFonts w:cstheme="minorHAnsi"/>
                <w:color w:val="000000"/>
                <w:sz w:val="12"/>
                <w:szCs w:val="12"/>
              </w:rPr>
              <w:t>7</w:t>
            </w:r>
          </w:p>
        </w:tc>
        <w:tc>
          <w:tcPr>
            <w:tcW w:w="631" w:type="dxa"/>
            <w:tcBorders>
              <w:top w:val="nil"/>
              <w:left w:val="nil"/>
              <w:bottom w:val="nil"/>
              <w:right w:val="nil"/>
            </w:tcBorders>
            <w:shd w:val="clear" w:color="auto" w:fill="auto"/>
            <w:noWrap/>
            <w:vAlign w:val="center"/>
            <w:hideMark/>
          </w:tcPr>
          <w:p w14:paraId="04543D64"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1.893</w:t>
            </w:r>
          </w:p>
        </w:tc>
        <w:tc>
          <w:tcPr>
            <w:tcW w:w="675" w:type="dxa"/>
            <w:tcBorders>
              <w:top w:val="nil"/>
              <w:left w:val="nil"/>
              <w:bottom w:val="nil"/>
              <w:right w:val="nil"/>
            </w:tcBorders>
            <w:shd w:val="clear" w:color="auto" w:fill="auto"/>
            <w:noWrap/>
            <w:vAlign w:val="center"/>
            <w:hideMark/>
          </w:tcPr>
          <w:p w14:paraId="2EC3CA1F"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1.825</w:t>
            </w:r>
          </w:p>
        </w:tc>
        <w:tc>
          <w:tcPr>
            <w:tcW w:w="610" w:type="dxa"/>
            <w:tcBorders>
              <w:top w:val="nil"/>
              <w:left w:val="nil"/>
              <w:bottom w:val="nil"/>
              <w:right w:val="nil"/>
            </w:tcBorders>
            <w:shd w:val="clear" w:color="auto" w:fill="auto"/>
            <w:noWrap/>
            <w:vAlign w:val="center"/>
            <w:hideMark/>
          </w:tcPr>
          <w:p w14:paraId="282DC1DC"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0.287</w:t>
            </w:r>
          </w:p>
        </w:tc>
        <w:tc>
          <w:tcPr>
            <w:tcW w:w="763" w:type="dxa"/>
            <w:tcBorders>
              <w:top w:val="nil"/>
              <w:left w:val="single" w:sz="4" w:space="0" w:color="auto"/>
              <w:bottom w:val="nil"/>
              <w:right w:val="nil"/>
            </w:tcBorders>
            <w:shd w:val="clear" w:color="auto" w:fill="auto"/>
            <w:noWrap/>
            <w:vAlign w:val="center"/>
            <w:hideMark/>
          </w:tcPr>
          <w:p w14:paraId="7E72CA0B"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0.0584.</w:t>
            </w:r>
          </w:p>
        </w:tc>
        <w:tc>
          <w:tcPr>
            <w:tcW w:w="762" w:type="dxa"/>
            <w:tcBorders>
              <w:top w:val="nil"/>
              <w:left w:val="nil"/>
              <w:bottom w:val="nil"/>
              <w:right w:val="nil"/>
            </w:tcBorders>
            <w:shd w:val="clear" w:color="auto" w:fill="auto"/>
            <w:noWrap/>
            <w:vAlign w:val="center"/>
            <w:hideMark/>
          </w:tcPr>
          <w:p w14:paraId="14BDFFE2"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0.0679.</w:t>
            </w:r>
          </w:p>
        </w:tc>
        <w:tc>
          <w:tcPr>
            <w:tcW w:w="808" w:type="dxa"/>
            <w:tcBorders>
              <w:top w:val="nil"/>
              <w:left w:val="nil"/>
              <w:bottom w:val="nil"/>
              <w:right w:val="single" w:sz="4" w:space="0" w:color="auto"/>
            </w:tcBorders>
            <w:shd w:val="clear" w:color="auto" w:fill="auto"/>
            <w:noWrap/>
            <w:vAlign w:val="center"/>
            <w:hideMark/>
          </w:tcPr>
          <w:p w14:paraId="580E4C8E"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0.7742</w:t>
            </w:r>
          </w:p>
        </w:tc>
      </w:tr>
      <w:tr w:rsidR="00F859C9" w:rsidRPr="00AB4D2E" w14:paraId="17AC2676" w14:textId="77777777" w:rsidTr="000F27C1">
        <w:trPr>
          <w:trHeight w:val="295"/>
        </w:trPr>
        <w:tc>
          <w:tcPr>
            <w:tcW w:w="967" w:type="dxa"/>
            <w:tcBorders>
              <w:top w:val="nil"/>
              <w:left w:val="nil"/>
              <w:bottom w:val="nil"/>
              <w:right w:val="nil"/>
            </w:tcBorders>
            <w:shd w:val="clear" w:color="auto" w:fill="auto"/>
            <w:noWrap/>
            <w:vAlign w:val="bottom"/>
            <w:hideMark/>
          </w:tcPr>
          <w:p w14:paraId="6C3D7616"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DRivers</w:t>
            </w:r>
          </w:p>
        </w:tc>
        <w:tc>
          <w:tcPr>
            <w:tcW w:w="792" w:type="dxa"/>
            <w:tcBorders>
              <w:top w:val="nil"/>
              <w:left w:val="nil"/>
              <w:bottom w:val="nil"/>
              <w:right w:val="nil"/>
            </w:tcBorders>
            <w:shd w:val="clear" w:color="auto" w:fill="auto"/>
            <w:noWrap/>
            <w:vAlign w:val="center"/>
            <w:hideMark/>
          </w:tcPr>
          <w:p w14:paraId="0CE82361" w14:textId="6BFFD0ED"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C379E8" w:rsidRPr="00AB4D2E">
              <w:rPr>
                <w:rFonts w:cstheme="minorHAnsi"/>
                <w:color w:val="000000"/>
                <w:sz w:val="12"/>
                <w:szCs w:val="12"/>
              </w:rPr>
              <w:t>4</w:t>
            </w:r>
          </w:p>
        </w:tc>
        <w:tc>
          <w:tcPr>
            <w:tcW w:w="675" w:type="dxa"/>
            <w:tcBorders>
              <w:top w:val="nil"/>
              <w:left w:val="nil"/>
              <w:bottom w:val="nil"/>
              <w:right w:val="nil"/>
            </w:tcBorders>
            <w:shd w:val="clear" w:color="auto" w:fill="auto"/>
            <w:noWrap/>
            <w:vAlign w:val="center"/>
            <w:hideMark/>
          </w:tcPr>
          <w:p w14:paraId="40A1FD9B"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0.003</w:t>
            </w:r>
          </w:p>
        </w:tc>
        <w:tc>
          <w:tcPr>
            <w:tcW w:w="622" w:type="dxa"/>
            <w:tcBorders>
              <w:top w:val="nil"/>
              <w:left w:val="nil"/>
              <w:bottom w:val="nil"/>
              <w:right w:val="nil"/>
            </w:tcBorders>
            <w:shd w:val="clear" w:color="auto" w:fill="auto"/>
            <w:noWrap/>
            <w:vAlign w:val="center"/>
            <w:hideMark/>
          </w:tcPr>
          <w:p w14:paraId="218AF415" w14:textId="31910F7F"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-0.03</w:t>
            </w:r>
            <w:r w:rsidR="003637E9" w:rsidRPr="00AB4D2E">
              <w:rPr>
                <w:rFonts w:cstheme="minorHAnsi"/>
                <w:color w:val="000000"/>
                <w:sz w:val="12"/>
                <w:szCs w:val="12"/>
              </w:rPr>
              <w:t>5</w:t>
            </w:r>
          </w:p>
        </w:tc>
        <w:tc>
          <w:tcPr>
            <w:tcW w:w="589" w:type="dxa"/>
            <w:tcBorders>
              <w:top w:val="nil"/>
              <w:left w:val="nil"/>
              <w:bottom w:val="nil"/>
              <w:right w:val="nil"/>
            </w:tcBorders>
            <w:shd w:val="clear" w:color="auto" w:fill="auto"/>
            <w:noWrap/>
            <w:vAlign w:val="center"/>
            <w:hideMark/>
          </w:tcPr>
          <w:p w14:paraId="6AC29C1F" w14:textId="417A93F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4565E4" w:rsidRPr="00AB4D2E">
              <w:rPr>
                <w:rFonts w:cstheme="minorHAnsi"/>
                <w:color w:val="000000"/>
                <w:sz w:val="12"/>
                <w:szCs w:val="12"/>
              </w:rPr>
              <w:t>3</w:t>
            </w:r>
          </w:p>
        </w:tc>
        <w:tc>
          <w:tcPr>
            <w:tcW w:w="675" w:type="dxa"/>
            <w:tcBorders>
              <w:top w:val="nil"/>
              <w:left w:val="nil"/>
              <w:bottom w:val="nil"/>
              <w:right w:val="nil"/>
            </w:tcBorders>
            <w:shd w:val="clear" w:color="auto" w:fill="auto"/>
            <w:noWrap/>
            <w:vAlign w:val="center"/>
            <w:hideMark/>
          </w:tcPr>
          <w:p w14:paraId="46EC50F0" w14:textId="5EC2CD02"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0.008</w:t>
            </w:r>
          </w:p>
        </w:tc>
        <w:tc>
          <w:tcPr>
            <w:tcW w:w="646" w:type="dxa"/>
            <w:tcBorders>
              <w:top w:val="nil"/>
              <w:left w:val="nil"/>
              <w:bottom w:val="nil"/>
              <w:right w:val="nil"/>
            </w:tcBorders>
            <w:shd w:val="clear" w:color="auto" w:fill="auto"/>
            <w:noWrap/>
            <w:vAlign w:val="center"/>
            <w:hideMark/>
          </w:tcPr>
          <w:p w14:paraId="72E9F4CE" w14:textId="42DF8236"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w:t>
            </w:r>
            <w:r w:rsidR="004511E6" w:rsidRPr="00AB4D2E">
              <w:rPr>
                <w:rFonts w:cstheme="minorHAnsi"/>
                <w:color w:val="000000"/>
                <w:sz w:val="12"/>
                <w:szCs w:val="12"/>
              </w:rPr>
              <w:t>30</w:t>
            </w:r>
          </w:p>
        </w:tc>
        <w:tc>
          <w:tcPr>
            <w:tcW w:w="631" w:type="dxa"/>
            <w:tcBorders>
              <w:top w:val="nil"/>
              <w:left w:val="nil"/>
              <w:bottom w:val="nil"/>
              <w:right w:val="nil"/>
            </w:tcBorders>
            <w:shd w:val="clear" w:color="auto" w:fill="auto"/>
            <w:noWrap/>
            <w:vAlign w:val="center"/>
            <w:hideMark/>
          </w:tcPr>
          <w:p w14:paraId="14617913"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-1.249</w:t>
            </w:r>
          </w:p>
        </w:tc>
        <w:tc>
          <w:tcPr>
            <w:tcW w:w="675" w:type="dxa"/>
            <w:tcBorders>
              <w:top w:val="nil"/>
              <w:left w:val="nil"/>
              <w:bottom w:val="nil"/>
              <w:right w:val="nil"/>
            </w:tcBorders>
            <w:shd w:val="clear" w:color="auto" w:fill="auto"/>
            <w:noWrap/>
            <w:vAlign w:val="center"/>
            <w:hideMark/>
          </w:tcPr>
          <w:p w14:paraId="7A6E99A7"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0.363</w:t>
            </w:r>
          </w:p>
        </w:tc>
        <w:tc>
          <w:tcPr>
            <w:tcW w:w="610" w:type="dxa"/>
            <w:tcBorders>
              <w:top w:val="nil"/>
              <w:left w:val="nil"/>
              <w:bottom w:val="nil"/>
              <w:right w:val="nil"/>
            </w:tcBorders>
            <w:shd w:val="clear" w:color="auto" w:fill="auto"/>
            <w:noWrap/>
            <w:vAlign w:val="center"/>
            <w:hideMark/>
          </w:tcPr>
          <w:p w14:paraId="00098E03"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-1.164</w:t>
            </w:r>
          </w:p>
        </w:tc>
        <w:tc>
          <w:tcPr>
            <w:tcW w:w="763" w:type="dxa"/>
            <w:tcBorders>
              <w:top w:val="nil"/>
              <w:left w:val="single" w:sz="4" w:space="0" w:color="auto"/>
              <w:bottom w:val="nil"/>
              <w:right w:val="nil"/>
            </w:tcBorders>
            <w:shd w:val="clear" w:color="auto" w:fill="auto"/>
            <w:noWrap/>
            <w:vAlign w:val="center"/>
            <w:hideMark/>
          </w:tcPr>
          <w:p w14:paraId="0999C3C3"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0.2117</w:t>
            </w:r>
          </w:p>
        </w:tc>
        <w:tc>
          <w:tcPr>
            <w:tcW w:w="762" w:type="dxa"/>
            <w:tcBorders>
              <w:top w:val="nil"/>
              <w:left w:val="nil"/>
              <w:bottom w:val="nil"/>
              <w:right w:val="nil"/>
            </w:tcBorders>
            <w:shd w:val="clear" w:color="auto" w:fill="auto"/>
            <w:noWrap/>
            <w:vAlign w:val="center"/>
            <w:hideMark/>
          </w:tcPr>
          <w:p w14:paraId="6AF7CBEE"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0.7165</w:t>
            </w:r>
          </w:p>
        </w:tc>
        <w:tc>
          <w:tcPr>
            <w:tcW w:w="808" w:type="dxa"/>
            <w:tcBorders>
              <w:top w:val="nil"/>
              <w:left w:val="nil"/>
              <w:bottom w:val="nil"/>
              <w:right w:val="single" w:sz="4" w:space="0" w:color="auto"/>
            </w:tcBorders>
            <w:shd w:val="clear" w:color="auto" w:fill="auto"/>
            <w:noWrap/>
            <w:vAlign w:val="center"/>
            <w:hideMark/>
          </w:tcPr>
          <w:p w14:paraId="3F576AE2"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0.2446</w:t>
            </w:r>
          </w:p>
        </w:tc>
      </w:tr>
      <w:tr w:rsidR="00F859C9" w:rsidRPr="00AB4D2E" w14:paraId="44DBB839" w14:textId="77777777" w:rsidTr="000F27C1">
        <w:trPr>
          <w:trHeight w:val="295"/>
        </w:trPr>
        <w:tc>
          <w:tcPr>
            <w:tcW w:w="967" w:type="dxa"/>
            <w:tcBorders>
              <w:top w:val="nil"/>
              <w:left w:val="nil"/>
              <w:bottom w:val="nil"/>
              <w:right w:val="nil"/>
            </w:tcBorders>
            <w:shd w:val="clear" w:color="auto" w:fill="auto"/>
            <w:noWrap/>
            <w:vAlign w:val="bottom"/>
            <w:hideMark/>
          </w:tcPr>
          <w:p w14:paraId="424C45D9"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DPRoads</w:t>
            </w:r>
          </w:p>
        </w:tc>
        <w:tc>
          <w:tcPr>
            <w:tcW w:w="792" w:type="dxa"/>
            <w:tcBorders>
              <w:top w:val="nil"/>
              <w:left w:val="nil"/>
              <w:bottom w:val="nil"/>
              <w:right w:val="nil"/>
            </w:tcBorders>
            <w:shd w:val="clear" w:color="auto" w:fill="auto"/>
            <w:noWrap/>
            <w:vAlign w:val="center"/>
            <w:hideMark/>
          </w:tcPr>
          <w:p w14:paraId="03206C87" w14:textId="4FFEF5F4"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0.002</w:t>
            </w:r>
          </w:p>
        </w:tc>
        <w:tc>
          <w:tcPr>
            <w:tcW w:w="675" w:type="dxa"/>
            <w:tcBorders>
              <w:top w:val="nil"/>
              <w:left w:val="nil"/>
              <w:bottom w:val="nil"/>
              <w:right w:val="nil"/>
            </w:tcBorders>
            <w:shd w:val="clear" w:color="auto" w:fill="auto"/>
            <w:noWrap/>
            <w:vAlign w:val="center"/>
            <w:hideMark/>
          </w:tcPr>
          <w:p w14:paraId="0DF03097" w14:textId="07FDA36D"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0.092</w:t>
            </w:r>
          </w:p>
        </w:tc>
        <w:tc>
          <w:tcPr>
            <w:tcW w:w="622" w:type="dxa"/>
            <w:tcBorders>
              <w:top w:val="nil"/>
              <w:left w:val="nil"/>
              <w:bottom w:val="nil"/>
              <w:right w:val="nil"/>
            </w:tcBorders>
            <w:shd w:val="clear" w:color="auto" w:fill="auto"/>
            <w:noWrap/>
            <w:vAlign w:val="center"/>
            <w:hideMark/>
          </w:tcPr>
          <w:p w14:paraId="5284D784" w14:textId="6F6B3B4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-0.35</w:t>
            </w:r>
            <w:r w:rsidR="003637E9" w:rsidRPr="00AB4D2E">
              <w:rPr>
                <w:rFonts w:cstheme="minorHAnsi"/>
                <w:color w:val="000000"/>
                <w:sz w:val="12"/>
                <w:szCs w:val="12"/>
              </w:rPr>
              <w:t>1</w:t>
            </w:r>
          </w:p>
        </w:tc>
        <w:tc>
          <w:tcPr>
            <w:tcW w:w="589" w:type="dxa"/>
            <w:tcBorders>
              <w:top w:val="nil"/>
              <w:left w:val="nil"/>
              <w:bottom w:val="nil"/>
              <w:right w:val="nil"/>
            </w:tcBorders>
            <w:shd w:val="clear" w:color="auto" w:fill="auto"/>
            <w:noWrap/>
            <w:vAlign w:val="center"/>
            <w:hideMark/>
          </w:tcPr>
          <w:p w14:paraId="4D4CB872" w14:textId="44F96125"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4511E6" w:rsidRPr="00AB4D2E">
              <w:rPr>
                <w:rFonts w:cstheme="minorHAnsi"/>
                <w:color w:val="000000"/>
                <w:sz w:val="12"/>
                <w:szCs w:val="12"/>
              </w:rPr>
              <w:t>4</w:t>
            </w:r>
          </w:p>
        </w:tc>
        <w:tc>
          <w:tcPr>
            <w:tcW w:w="675" w:type="dxa"/>
            <w:tcBorders>
              <w:top w:val="nil"/>
              <w:left w:val="nil"/>
              <w:bottom w:val="nil"/>
              <w:right w:val="nil"/>
            </w:tcBorders>
            <w:shd w:val="clear" w:color="auto" w:fill="auto"/>
            <w:noWrap/>
            <w:vAlign w:val="center"/>
            <w:hideMark/>
          </w:tcPr>
          <w:p w14:paraId="134CD0EC" w14:textId="6080218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w:t>
            </w:r>
            <w:r w:rsidR="00CD2512" w:rsidRPr="00AB4D2E">
              <w:rPr>
                <w:rFonts w:cstheme="minorHAnsi"/>
                <w:color w:val="000000"/>
                <w:sz w:val="12"/>
                <w:szCs w:val="12"/>
              </w:rPr>
              <w:t>6</w:t>
            </w:r>
          </w:p>
        </w:tc>
        <w:tc>
          <w:tcPr>
            <w:tcW w:w="646" w:type="dxa"/>
            <w:tcBorders>
              <w:top w:val="nil"/>
              <w:left w:val="nil"/>
              <w:bottom w:val="nil"/>
              <w:right w:val="nil"/>
            </w:tcBorders>
            <w:shd w:val="clear" w:color="auto" w:fill="auto"/>
            <w:noWrap/>
            <w:vAlign w:val="center"/>
            <w:hideMark/>
          </w:tcPr>
          <w:p w14:paraId="04F7A99B" w14:textId="139335E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0.041</w:t>
            </w:r>
          </w:p>
        </w:tc>
        <w:tc>
          <w:tcPr>
            <w:tcW w:w="631" w:type="dxa"/>
            <w:tcBorders>
              <w:top w:val="nil"/>
              <w:left w:val="nil"/>
              <w:bottom w:val="nil"/>
              <w:right w:val="nil"/>
            </w:tcBorders>
            <w:shd w:val="clear" w:color="auto" w:fill="auto"/>
            <w:noWrap/>
            <w:vAlign w:val="center"/>
            <w:hideMark/>
          </w:tcPr>
          <w:p w14:paraId="2C3257CE"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0.618</w:t>
            </w:r>
          </w:p>
        </w:tc>
        <w:tc>
          <w:tcPr>
            <w:tcW w:w="675" w:type="dxa"/>
            <w:tcBorders>
              <w:top w:val="nil"/>
              <w:left w:val="nil"/>
              <w:bottom w:val="nil"/>
              <w:right w:val="nil"/>
            </w:tcBorders>
            <w:shd w:val="clear" w:color="auto" w:fill="auto"/>
            <w:noWrap/>
            <w:vAlign w:val="center"/>
            <w:hideMark/>
          </w:tcPr>
          <w:p w14:paraId="225F5207"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-3.578</w:t>
            </w:r>
          </w:p>
        </w:tc>
        <w:tc>
          <w:tcPr>
            <w:tcW w:w="610" w:type="dxa"/>
            <w:tcBorders>
              <w:top w:val="nil"/>
              <w:left w:val="nil"/>
              <w:bottom w:val="nil"/>
              <w:right w:val="nil"/>
            </w:tcBorders>
            <w:shd w:val="clear" w:color="auto" w:fill="auto"/>
            <w:noWrap/>
            <w:vAlign w:val="center"/>
            <w:hideMark/>
          </w:tcPr>
          <w:p w14:paraId="3DDAA85D"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-8.491</w:t>
            </w:r>
          </w:p>
        </w:tc>
        <w:tc>
          <w:tcPr>
            <w:tcW w:w="763" w:type="dxa"/>
            <w:tcBorders>
              <w:top w:val="nil"/>
              <w:left w:val="single" w:sz="4" w:space="0" w:color="auto"/>
              <w:bottom w:val="nil"/>
              <w:right w:val="nil"/>
            </w:tcBorders>
            <w:shd w:val="clear" w:color="auto" w:fill="auto"/>
            <w:noWrap/>
            <w:vAlign w:val="center"/>
            <w:hideMark/>
          </w:tcPr>
          <w:p w14:paraId="0879DF1D"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0.5368</w:t>
            </w:r>
          </w:p>
        </w:tc>
        <w:tc>
          <w:tcPr>
            <w:tcW w:w="762" w:type="dxa"/>
            <w:tcBorders>
              <w:top w:val="nil"/>
              <w:left w:val="nil"/>
              <w:bottom w:val="nil"/>
              <w:right w:val="nil"/>
            </w:tcBorders>
            <w:shd w:val="clear" w:color="auto" w:fill="auto"/>
            <w:noWrap/>
            <w:vAlign w:val="center"/>
            <w:hideMark/>
          </w:tcPr>
          <w:p w14:paraId="46712185"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0.0003***</w:t>
            </w:r>
          </w:p>
        </w:tc>
        <w:tc>
          <w:tcPr>
            <w:tcW w:w="808" w:type="dxa"/>
            <w:tcBorders>
              <w:top w:val="nil"/>
              <w:left w:val="nil"/>
              <w:bottom w:val="nil"/>
              <w:right w:val="single" w:sz="4" w:space="0" w:color="auto"/>
            </w:tcBorders>
            <w:shd w:val="clear" w:color="auto" w:fill="auto"/>
            <w:noWrap/>
            <w:vAlign w:val="center"/>
            <w:hideMark/>
          </w:tcPr>
          <w:p w14:paraId="7D1FB7D1"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659408DC" w14:textId="77777777" w:rsidTr="000F27C1">
        <w:trPr>
          <w:trHeight w:val="295"/>
        </w:trPr>
        <w:tc>
          <w:tcPr>
            <w:tcW w:w="967" w:type="dxa"/>
            <w:tcBorders>
              <w:top w:val="nil"/>
              <w:left w:val="nil"/>
              <w:bottom w:val="nil"/>
              <w:right w:val="nil"/>
            </w:tcBorders>
            <w:shd w:val="clear" w:color="auto" w:fill="auto"/>
            <w:noWrap/>
            <w:vAlign w:val="bottom"/>
            <w:hideMark/>
          </w:tcPr>
          <w:p w14:paraId="3C3740BE"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Hillshade</w:t>
            </w:r>
          </w:p>
        </w:tc>
        <w:tc>
          <w:tcPr>
            <w:tcW w:w="792" w:type="dxa"/>
            <w:tcBorders>
              <w:top w:val="nil"/>
              <w:left w:val="nil"/>
              <w:bottom w:val="nil"/>
              <w:right w:val="nil"/>
            </w:tcBorders>
            <w:shd w:val="clear" w:color="auto" w:fill="auto"/>
            <w:noWrap/>
            <w:vAlign w:val="center"/>
            <w:hideMark/>
          </w:tcPr>
          <w:p w14:paraId="2EBB914A" w14:textId="032E742D"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-0.003</w:t>
            </w:r>
          </w:p>
        </w:tc>
        <w:tc>
          <w:tcPr>
            <w:tcW w:w="675" w:type="dxa"/>
            <w:tcBorders>
              <w:top w:val="nil"/>
              <w:left w:val="nil"/>
              <w:bottom w:val="nil"/>
              <w:right w:val="nil"/>
            </w:tcBorders>
            <w:shd w:val="clear" w:color="auto" w:fill="auto"/>
            <w:noWrap/>
            <w:vAlign w:val="center"/>
            <w:hideMark/>
          </w:tcPr>
          <w:p w14:paraId="6CC19CAC" w14:textId="28734DC9"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0.002</w:t>
            </w:r>
          </w:p>
        </w:tc>
        <w:tc>
          <w:tcPr>
            <w:tcW w:w="622" w:type="dxa"/>
            <w:tcBorders>
              <w:top w:val="nil"/>
              <w:left w:val="nil"/>
              <w:bottom w:val="nil"/>
              <w:right w:val="nil"/>
            </w:tcBorders>
            <w:shd w:val="clear" w:color="auto" w:fill="auto"/>
            <w:noWrap/>
            <w:vAlign w:val="center"/>
            <w:hideMark/>
          </w:tcPr>
          <w:p w14:paraId="5AA455B0" w14:textId="0690A132"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3637E9" w:rsidRPr="00AB4D2E">
              <w:rPr>
                <w:rFonts w:cstheme="minorHAnsi"/>
                <w:color w:val="000000"/>
                <w:sz w:val="12"/>
                <w:szCs w:val="12"/>
              </w:rPr>
              <w:t>1</w:t>
            </w:r>
          </w:p>
        </w:tc>
        <w:tc>
          <w:tcPr>
            <w:tcW w:w="589" w:type="dxa"/>
            <w:tcBorders>
              <w:top w:val="nil"/>
              <w:left w:val="nil"/>
              <w:bottom w:val="nil"/>
              <w:right w:val="nil"/>
            </w:tcBorders>
            <w:shd w:val="clear" w:color="auto" w:fill="auto"/>
            <w:noWrap/>
            <w:vAlign w:val="center"/>
            <w:hideMark/>
          </w:tcPr>
          <w:p w14:paraId="6D782DA8" w14:textId="2E108FA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0.002</w:t>
            </w:r>
          </w:p>
        </w:tc>
        <w:tc>
          <w:tcPr>
            <w:tcW w:w="675" w:type="dxa"/>
            <w:tcBorders>
              <w:top w:val="nil"/>
              <w:left w:val="nil"/>
              <w:bottom w:val="nil"/>
              <w:right w:val="nil"/>
            </w:tcBorders>
            <w:shd w:val="clear" w:color="auto" w:fill="auto"/>
            <w:noWrap/>
            <w:vAlign w:val="center"/>
            <w:hideMark/>
          </w:tcPr>
          <w:p w14:paraId="367C7560" w14:textId="57CD3EE8"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CD2512" w:rsidRPr="00AB4D2E">
              <w:rPr>
                <w:rFonts w:cstheme="minorHAnsi"/>
                <w:color w:val="000000"/>
                <w:sz w:val="12"/>
                <w:szCs w:val="12"/>
              </w:rPr>
              <w:t>5</w:t>
            </w:r>
          </w:p>
        </w:tc>
        <w:tc>
          <w:tcPr>
            <w:tcW w:w="646" w:type="dxa"/>
            <w:tcBorders>
              <w:top w:val="nil"/>
              <w:left w:val="nil"/>
              <w:bottom w:val="nil"/>
              <w:right w:val="nil"/>
            </w:tcBorders>
            <w:shd w:val="clear" w:color="auto" w:fill="auto"/>
            <w:noWrap/>
            <w:vAlign w:val="center"/>
            <w:hideMark/>
          </w:tcPr>
          <w:p w14:paraId="5FAFBAB7" w14:textId="3DB6592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4511E6" w:rsidRPr="00AB4D2E">
              <w:rPr>
                <w:rFonts w:cstheme="minorHAnsi"/>
                <w:color w:val="000000"/>
                <w:sz w:val="12"/>
                <w:szCs w:val="12"/>
              </w:rPr>
              <w:t>2</w:t>
            </w:r>
          </w:p>
        </w:tc>
        <w:tc>
          <w:tcPr>
            <w:tcW w:w="631" w:type="dxa"/>
            <w:tcBorders>
              <w:top w:val="nil"/>
              <w:left w:val="nil"/>
              <w:bottom w:val="nil"/>
              <w:right w:val="nil"/>
            </w:tcBorders>
            <w:shd w:val="clear" w:color="auto" w:fill="auto"/>
            <w:noWrap/>
            <w:vAlign w:val="center"/>
            <w:hideMark/>
          </w:tcPr>
          <w:p w14:paraId="739AEC53"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-1.365</w:t>
            </w:r>
          </w:p>
        </w:tc>
        <w:tc>
          <w:tcPr>
            <w:tcW w:w="675" w:type="dxa"/>
            <w:tcBorders>
              <w:top w:val="nil"/>
              <w:left w:val="nil"/>
              <w:bottom w:val="nil"/>
              <w:right w:val="nil"/>
            </w:tcBorders>
            <w:shd w:val="clear" w:color="auto" w:fill="auto"/>
            <w:noWrap/>
            <w:vAlign w:val="center"/>
            <w:hideMark/>
          </w:tcPr>
          <w:p w14:paraId="196910EF"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0.437</w:t>
            </w:r>
          </w:p>
        </w:tc>
        <w:tc>
          <w:tcPr>
            <w:tcW w:w="610" w:type="dxa"/>
            <w:tcBorders>
              <w:top w:val="nil"/>
              <w:left w:val="nil"/>
              <w:bottom w:val="nil"/>
              <w:right w:val="nil"/>
            </w:tcBorders>
            <w:shd w:val="clear" w:color="auto" w:fill="auto"/>
            <w:noWrap/>
            <w:vAlign w:val="center"/>
            <w:hideMark/>
          </w:tcPr>
          <w:p w14:paraId="6EBB6023"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0.485</w:t>
            </w:r>
          </w:p>
        </w:tc>
        <w:tc>
          <w:tcPr>
            <w:tcW w:w="763" w:type="dxa"/>
            <w:tcBorders>
              <w:top w:val="nil"/>
              <w:left w:val="single" w:sz="4" w:space="0" w:color="auto"/>
              <w:bottom w:val="nil"/>
              <w:right w:val="nil"/>
            </w:tcBorders>
            <w:shd w:val="clear" w:color="auto" w:fill="auto"/>
            <w:noWrap/>
            <w:vAlign w:val="center"/>
            <w:hideMark/>
          </w:tcPr>
          <w:p w14:paraId="25640B37"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0.1722</w:t>
            </w:r>
          </w:p>
        </w:tc>
        <w:tc>
          <w:tcPr>
            <w:tcW w:w="762" w:type="dxa"/>
            <w:tcBorders>
              <w:top w:val="nil"/>
              <w:left w:val="nil"/>
              <w:bottom w:val="nil"/>
              <w:right w:val="nil"/>
            </w:tcBorders>
            <w:shd w:val="clear" w:color="auto" w:fill="auto"/>
            <w:noWrap/>
            <w:vAlign w:val="center"/>
            <w:hideMark/>
          </w:tcPr>
          <w:p w14:paraId="0A0EF10F"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0.6618</w:t>
            </w:r>
          </w:p>
        </w:tc>
        <w:tc>
          <w:tcPr>
            <w:tcW w:w="808" w:type="dxa"/>
            <w:tcBorders>
              <w:top w:val="nil"/>
              <w:left w:val="nil"/>
              <w:bottom w:val="nil"/>
              <w:right w:val="single" w:sz="4" w:space="0" w:color="auto"/>
            </w:tcBorders>
            <w:shd w:val="clear" w:color="auto" w:fill="auto"/>
            <w:noWrap/>
            <w:vAlign w:val="center"/>
            <w:hideMark/>
          </w:tcPr>
          <w:p w14:paraId="7A428923" w14:textId="57813294"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0.628</w:t>
            </w:r>
            <w:r w:rsidR="0036511E">
              <w:rPr>
                <w:rFonts w:cstheme="minorHAnsi"/>
                <w:color w:val="000000"/>
                <w:sz w:val="12"/>
                <w:szCs w:val="12"/>
              </w:rPr>
              <w:t>0</w:t>
            </w:r>
          </w:p>
        </w:tc>
      </w:tr>
      <w:tr w:rsidR="00F859C9" w:rsidRPr="00AB4D2E" w14:paraId="6C211044" w14:textId="77777777" w:rsidTr="000F27C1">
        <w:trPr>
          <w:trHeight w:val="295"/>
        </w:trPr>
        <w:tc>
          <w:tcPr>
            <w:tcW w:w="967" w:type="dxa"/>
            <w:tcBorders>
              <w:top w:val="nil"/>
              <w:left w:val="nil"/>
              <w:bottom w:val="nil"/>
              <w:right w:val="nil"/>
            </w:tcBorders>
            <w:shd w:val="clear" w:color="auto" w:fill="auto"/>
            <w:noWrap/>
            <w:vAlign w:val="bottom"/>
            <w:hideMark/>
          </w:tcPr>
          <w:p w14:paraId="7B24D794"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Slope</w:t>
            </w:r>
          </w:p>
        </w:tc>
        <w:tc>
          <w:tcPr>
            <w:tcW w:w="792" w:type="dxa"/>
            <w:tcBorders>
              <w:top w:val="nil"/>
              <w:left w:val="nil"/>
              <w:bottom w:val="nil"/>
              <w:right w:val="nil"/>
            </w:tcBorders>
            <w:shd w:val="clear" w:color="auto" w:fill="auto"/>
            <w:noWrap/>
            <w:vAlign w:val="center"/>
            <w:hideMark/>
          </w:tcPr>
          <w:p w14:paraId="4F6F4C0A" w14:textId="0302DB88"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C379E8" w:rsidRPr="00AB4D2E">
              <w:rPr>
                <w:rFonts w:cstheme="minorHAnsi"/>
                <w:color w:val="000000"/>
                <w:sz w:val="12"/>
                <w:szCs w:val="12"/>
              </w:rPr>
              <w:t>3</w:t>
            </w:r>
          </w:p>
        </w:tc>
        <w:tc>
          <w:tcPr>
            <w:tcW w:w="675" w:type="dxa"/>
            <w:tcBorders>
              <w:top w:val="nil"/>
              <w:left w:val="nil"/>
              <w:bottom w:val="nil"/>
              <w:right w:val="nil"/>
            </w:tcBorders>
            <w:shd w:val="clear" w:color="auto" w:fill="auto"/>
            <w:noWrap/>
            <w:vAlign w:val="center"/>
            <w:hideMark/>
          </w:tcPr>
          <w:p w14:paraId="7BC4FE76" w14:textId="32C4068A"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CD2512" w:rsidRPr="00AB4D2E">
              <w:rPr>
                <w:rFonts w:cstheme="minorHAnsi"/>
                <w:color w:val="000000"/>
                <w:sz w:val="12"/>
                <w:szCs w:val="12"/>
              </w:rPr>
              <w:t>8</w:t>
            </w:r>
          </w:p>
        </w:tc>
        <w:tc>
          <w:tcPr>
            <w:tcW w:w="622" w:type="dxa"/>
            <w:tcBorders>
              <w:top w:val="nil"/>
              <w:left w:val="nil"/>
              <w:bottom w:val="nil"/>
              <w:right w:val="nil"/>
            </w:tcBorders>
            <w:shd w:val="clear" w:color="auto" w:fill="auto"/>
            <w:noWrap/>
            <w:vAlign w:val="center"/>
            <w:hideMark/>
          </w:tcPr>
          <w:p w14:paraId="4F62E51C" w14:textId="6763219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w:t>
            </w:r>
            <w:r w:rsidR="003637E9" w:rsidRPr="00AB4D2E">
              <w:rPr>
                <w:rFonts w:cstheme="minorHAnsi"/>
                <w:color w:val="000000"/>
                <w:sz w:val="12"/>
                <w:szCs w:val="12"/>
              </w:rPr>
              <w:t>9</w:t>
            </w:r>
          </w:p>
        </w:tc>
        <w:tc>
          <w:tcPr>
            <w:tcW w:w="589" w:type="dxa"/>
            <w:tcBorders>
              <w:top w:val="nil"/>
              <w:left w:val="nil"/>
              <w:bottom w:val="nil"/>
              <w:right w:val="nil"/>
            </w:tcBorders>
            <w:shd w:val="clear" w:color="auto" w:fill="auto"/>
            <w:noWrap/>
            <w:vAlign w:val="center"/>
            <w:hideMark/>
          </w:tcPr>
          <w:p w14:paraId="1FFC40E9"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0.006</w:t>
            </w:r>
          </w:p>
        </w:tc>
        <w:tc>
          <w:tcPr>
            <w:tcW w:w="675" w:type="dxa"/>
            <w:tcBorders>
              <w:top w:val="nil"/>
              <w:left w:val="nil"/>
              <w:bottom w:val="nil"/>
              <w:right w:val="nil"/>
            </w:tcBorders>
            <w:shd w:val="clear" w:color="auto" w:fill="auto"/>
            <w:noWrap/>
            <w:vAlign w:val="center"/>
            <w:hideMark/>
          </w:tcPr>
          <w:p w14:paraId="2B52E70A" w14:textId="77F331D4"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0.011</w:t>
            </w:r>
          </w:p>
        </w:tc>
        <w:tc>
          <w:tcPr>
            <w:tcW w:w="646" w:type="dxa"/>
            <w:tcBorders>
              <w:top w:val="nil"/>
              <w:left w:val="nil"/>
              <w:bottom w:val="nil"/>
              <w:right w:val="nil"/>
            </w:tcBorders>
            <w:shd w:val="clear" w:color="auto" w:fill="auto"/>
            <w:noWrap/>
            <w:vAlign w:val="center"/>
            <w:hideMark/>
          </w:tcPr>
          <w:p w14:paraId="26762D8C" w14:textId="5E253235"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0.004</w:t>
            </w:r>
          </w:p>
        </w:tc>
        <w:tc>
          <w:tcPr>
            <w:tcW w:w="631" w:type="dxa"/>
            <w:tcBorders>
              <w:top w:val="nil"/>
              <w:left w:val="nil"/>
              <w:bottom w:val="nil"/>
              <w:right w:val="nil"/>
            </w:tcBorders>
            <w:shd w:val="clear" w:color="auto" w:fill="auto"/>
            <w:noWrap/>
            <w:vAlign w:val="center"/>
            <w:hideMark/>
          </w:tcPr>
          <w:p w14:paraId="1EBE0F34"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0.451</w:t>
            </w:r>
          </w:p>
        </w:tc>
        <w:tc>
          <w:tcPr>
            <w:tcW w:w="675" w:type="dxa"/>
            <w:tcBorders>
              <w:top w:val="nil"/>
              <w:left w:val="nil"/>
              <w:bottom w:val="nil"/>
              <w:right w:val="nil"/>
            </w:tcBorders>
            <w:shd w:val="clear" w:color="auto" w:fill="auto"/>
            <w:noWrap/>
            <w:vAlign w:val="center"/>
            <w:hideMark/>
          </w:tcPr>
          <w:p w14:paraId="7C5A1255"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-0.695</w:t>
            </w:r>
          </w:p>
        </w:tc>
        <w:tc>
          <w:tcPr>
            <w:tcW w:w="610" w:type="dxa"/>
            <w:tcBorders>
              <w:top w:val="nil"/>
              <w:left w:val="nil"/>
              <w:bottom w:val="nil"/>
              <w:right w:val="nil"/>
            </w:tcBorders>
            <w:shd w:val="clear" w:color="auto" w:fill="auto"/>
            <w:noWrap/>
            <w:vAlign w:val="center"/>
            <w:hideMark/>
          </w:tcPr>
          <w:p w14:paraId="267E3BEB"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-4.527</w:t>
            </w:r>
          </w:p>
        </w:tc>
        <w:tc>
          <w:tcPr>
            <w:tcW w:w="763" w:type="dxa"/>
            <w:tcBorders>
              <w:top w:val="nil"/>
              <w:left w:val="single" w:sz="4" w:space="0" w:color="auto"/>
              <w:bottom w:val="nil"/>
              <w:right w:val="nil"/>
            </w:tcBorders>
            <w:shd w:val="clear" w:color="auto" w:fill="auto"/>
            <w:noWrap/>
            <w:vAlign w:val="center"/>
            <w:hideMark/>
          </w:tcPr>
          <w:p w14:paraId="53CD75B8"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0.6518</w:t>
            </w:r>
          </w:p>
        </w:tc>
        <w:tc>
          <w:tcPr>
            <w:tcW w:w="762" w:type="dxa"/>
            <w:tcBorders>
              <w:top w:val="nil"/>
              <w:left w:val="nil"/>
              <w:bottom w:val="nil"/>
              <w:right w:val="nil"/>
            </w:tcBorders>
            <w:shd w:val="clear" w:color="auto" w:fill="auto"/>
            <w:noWrap/>
            <w:vAlign w:val="center"/>
            <w:hideMark/>
          </w:tcPr>
          <w:p w14:paraId="0C29FB66"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0.4868</w:t>
            </w:r>
          </w:p>
        </w:tc>
        <w:tc>
          <w:tcPr>
            <w:tcW w:w="808" w:type="dxa"/>
            <w:tcBorders>
              <w:top w:val="nil"/>
              <w:left w:val="nil"/>
              <w:bottom w:val="nil"/>
              <w:right w:val="single" w:sz="4" w:space="0" w:color="auto"/>
            </w:tcBorders>
            <w:shd w:val="clear" w:color="auto" w:fill="auto"/>
            <w:noWrap/>
            <w:vAlign w:val="center"/>
            <w:hideMark/>
          </w:tcPr>
          <w:p w14:paraId="419E2C94" w14:textId="233C331A"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6EF7FE2A" w14:textId="77777777" w:rsidTr="000F27C1">
        <w:trPr>
          <w:trHeight w:val="295"/>
        </w:trPr>
        <w:tc>
          <w:tcPr>
            <w:tcW w:w="967" w:type="dxa"/>
            <w:tcBorders>
              <w:top w:val="nil"/>
              <w:left w:val="nil"/>
              <w:bottom w:val="nil"/>
              <w:right w:val="nil"/>
            </w:tcBorders>
            <w:shd w:val="clear" w:color="auto" w:fill="auto"/>
            <w:noWrap/>
            <w:vAlign w:val="bottom"/>
            <w:hideMark/>
          </w:tcPr>
          <w:p w14:paraId="4B79ED20"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DProtected</w:t>
            </w:r>
          </w:p>
        </w:tc>
        <w:tc>
          <w:tcPr>
            <w:tcW w:w="792" w:type="dxa"/>
            <w:tcBorders>
              <w:top w:val="nil"/>
              <w:left w:val="nil"/>
              <w:bottom w:val="nil"/>
              <w:right w:val="nil"/>
            </w:tcBorders>
            <w:shd w:val="clear" w:color="auto" w:fill="auto"/>
            <w:noWrap/>
            <w:vAlign w:val="center"/>
            <w:hideMark/>
          </w:tcPr>
          <w:p w14:paraId="1F8AB82C"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0.017</w:t>
            </w:r>
          </w:p>
        </w:tc>
        <w:tc>
          <w:tcPr>
            <w:tcW w:w="675" w:type="dxa"/>
            <w:tcBorders>
              <w:top w:val="nil"/>
              <w:left w:val="nil"/>
              <w:bottom w:val="nil"/>
              <w:right w:val="nil"/>
            </w:tcBorders>
            <w:shd w:val="clear" w:color="auto" w:fill="auto"/>
            <w:noWrap/>
            <w:vAlign w:val="center"/>
            <w:hideMark/>
          </w:tcPr>
          <w:p w14:paraId="27C837C4"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0.029</w:t>
            </w:r>
          </w:p>
        </w:tc>
        <w:tc>
          <w:tcPr>
            <w:tcW w:w="622" w:type="dxa"/>
            <w:tcBorders>
              <w:top w:val="nil"/>
              <w:left w:val="nil"/>
              <w:bottom w:val="nil"/>
              <w:right w:val="nil"/>
            </w:tcBorders>
            <w:shd w:val="clear" w:color="auto" w:fill="auto"/>
            <w:noWrap/>
            <w:vAlign w:val="center"/>
            <w:hideMark/>
          </w:tcPr>
          <w:p w14:paraId="4710347E" w14:textId="02E5FE85"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0.08</w:t>
            </w:r>
            <w:r w:rsidR="007C0DED" w:rsidRPr="00AB4D2E">
              <w:rPr>
                <w:rFonts w:cstheme="minorHAnsi"/>
                <w:color w:val="000000"/>
                <w:sz w:val="12"/>
                <w:szCs w:val="12"/>
              </w:rPr>
              <w:t>9</w:t>
            </w:r>
          </w:p>
        </w:tc>
        <w:tc>
          <w:tcPr>
            <w:tcW w:w="589" w:type="dxa"/>
            <w:tcBorders>
              <w:top w:val="nil"/>
              <w:left w:val="nil"/>
              <w:bottom w:val="nil"/>
              <w:right w:val="nil"/>
            </w:tcBorders>
            <w:shd w:val="clear" w:color="auto" w:fill="auto"/>
            <w:noWrap/>
            <w:vAlign w:val="center"/>
            <w:hideMark/>
          </w:tcPr>
          <w:p w14:paraId="53BA9AE4" w14:textId="4C62B608"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0.003</w:t>
            </w:r>
          </w:p>
        </w:tc>
        <w:tc>
          <w:tcPr>
            <w:tcW w:w="675" w:type="dxa"/>
            <w:tcBorders>
              <w:top w:val="nil"/>
              <w:left w:val="nil"/>
              <w:bottom w:val="nil"/>
              <w:right w:val="nil"/>
            </w:tcBorders>
            <w:shd w:val="clear" w:color="auto" w:fill="auto"/>
            <w:noWrap/>
            <w:vAlign w:val="center"/>
            <w:hideMark/>
          </w:tcPr>
          <w:p w14:paraId="38D503DB" w14:textId="37425D2F"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CD2512" w:rsidRPr="00AB4D2E">
              <w:rPr>
                <w:rFonts w:cstheme="minorHAnsi"/>
                <w:color w:val="000000"/>
                <w:sz w:val="12"/>
                <w:szCs w:val="12"/>
              </w:rPr>
              <w:t>8</w:t>
            </w:r>
          </w:p>
        </w:tc>
        <w:tc>
          <w:tcPr>
            <w:tcW w:w="646" w:type="dxa"/>
            <w:tcBorders>
              <w:top w:val="nil"/>
              <w:left w:val="nil"/>
              <w:bottom w:val="nil"/>
              <w:right w:val="nil"/>
            </w:tcBorders>
            <w:shd w:val="clear" w:color="auto" w:fill="auto"/>
            <w:noWrap/>
            <w:vAlign w:val="center"/>
            <w:hideMark/>
          </w:tcPr>
          <w:p w14:paraId="5F01B908" w14:textId="01D18698"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w:t>
            </w:r>
            <w:r w:rsidR="004511E6" w:rsidRPr="00AB4D2E">
              <w:rPr>
                <w:rFonts w:cstheme="minorHAnsi"/>
                <w:color w:val="000000"/>
                <w:sz w:val="12"/>
                <w:szCs w:val="12"/>
              </w:rPr>
              <w:t>7</w:t>
            </w:r>
          </w:p>
        </w:tc>
        <w:tc>
          <w:tcPr>
            <w:tcW w:w="631" w:type="dxa"/>
            <w:tcBorders>
              <w:top w:val="nil"/>
              <w:left w:val="nil"/>
              <w:bottom w:val="nil"/>
              <w:right w:val="nil"/>
            </w:tcBorders>
            <w:shd w:val="clear" w:color="auto" w:fill="auto"/>
            <w:noWrap/>
            <w:vAlign w:val="center"/>
            <w:hideMark/>
          </w:tcPr>
          <w:p w14:paraId="602444E4"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5.455</w:t>
            </w:r>
          </w:p>
        </w:tc>
        <w:tc>
          <w:tcPr>
            <w:tcW w:w="675" w:type="dxa"/>
            <w:tcBorders>
              <w:top w:val="nil"/>
              <w:left w:val="nil"/>
              <w:bottom w:val="nil"/>
              <w:right w:val="nil"/>
            </w:tcBorders>
            <w:shd w:val="clear" w:color="auto" w:fill="auto"/>
            <w:noWrap/>
            <w:vAlign w:val="center"/>
            <w:hideMark/>
          </w:tcPr>
          <w:p w14:paraId="6A73C8A0"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3.784</w:t>
            </w:r>
          </w:p>
        </w:tc>
        <w:tc>
          <w:tcPr>
            <w:tcW w:w="610" w:type="dxa"/>
            <w:tcBorders>
              <w:top w:val="nil"/>
              <w:left w:val="nil"/>
              <w:bottom w:val="nil"/>
              <w:right w:val="nil"/>
            </w:tcBorders>
            <w:shd w:val="clear" w:color="auto" w:fill="auto"/>
            <w:noWrap/>
            <w:vAlign w:val="center"/>
            <w:hideMark/>
          </w:tcPr>
          <w:p w14:paraId="76E48E3E"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3.302</w:t>
            </w:r>
          </w:p>
        </w:tc>
        <w:tc>
          <w:tcPr>
            <w:tcW w:w="763" w:type="dxa"/>
            <w:tcBorders>
              <w:top w:val="nil"/>
              <w:left w:val="single" w:sz="4" w:space="0" w:color="auto"/>
              <w:bottom w:val="nil"/>
              <w:right w:val="nil"/>
            </w:tcBorders>
            <w:shd w:val="clear" w:color="auto" w:fill="auto"/>
            <w:noWrap/>
            <w:vAlign w:val="center"/>
            <w:hideMark/>
          </w:tcPr>
          <w:p w14:paraId="3931E4D9"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w:t>
            </w:r>
          </w:p>
        </w:tc>
        <w:tc>
          <w:tcPr>
            <w:tcW w:w="762" w:type="dxa"/>
            <w:tcBorders>
              <w:top w:val="nil"/>
              <w:left w:val="nil"/>
              <w:bottom w:val="nil"/>
              <w:right w:val="nil"/>
            </w:tcBorders>
            <w:shd w:val="clear" w:color="auto" w:fill="auto"/>
            <w:noWrap/>
            <w:vAlign w:val="center"/>
            <w:hideMark/>
          </w:tcPr>
          <w:p w14:paraId="4A252A47"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0.0001***</w:t>
            </w:r>
          </w:p>
        </w:tc>
        <w:tc>
          <w:tcPr>
            <w:tcW w:w="808" w:type="dxa"/>
            <w:tcBorders>
              <w:top w:val="nil"/>
              <w:left w:val="nil"/>
              <w:bottom w:val="nil"/>
              <w:right w:val="single" w:sz="4" w:space="0" w:color="auto"/>
            </w:tcBorders>
            <w:shd w:val="clear" w:color="auto" w:fill="auto"/>
            <w:noWrap/>
            <w:vAlign w:val="center"/>
            <w:hideMark/>
          </w:tcPr>
          <w:p w14:paraId="0ED3D0A5" w14:textId="127E3235"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0.0009 ***</w:t>
            </w:r>
          </w:p>
        </w:tc>
      </w:tr>
      <w:tr w:rsidR="00F859C9" w:rsidRPr="00AB4D2E" w14:paraId="02EA24E2" w14:textId="77777777" w:rsidTr="000F27C1">
        <w:trPr>
          <w:trHeight w:val="295"/>
        </w:trPr>
        <w:tc>
          <w:tcPr>
            <w:tcW w:w="967" w:type="dxa"/>
            <w:tcBorders>
              <w:top w:val="nil"/>
              <w:left w:val="nil"/>
              <w:bottom w:val="nil"/>
              <w:right w:val="nil"/>
            </w:tcBorders>
            <w:shd w:val="clear" w:color="auto" w:fill="auto"/>
            <w:noWrap/>
            <w:vAlign w:val="bottom"/>
            <w:hideMark/>
          </w:tcPr>
          <w:p w14:paraId="3ADE8240"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Elevation</w:t>
            </w:r>
          </w:p>
        </w:tc>
        <w:tc>
          <w:tcPr>
            <w:tcW w:w="792" w:type="dxa"/>
            <w:tcBorders>
              <w:top w:val="nil"/>
              <w:left w:val="nil"/>
              <w:bottom w:val="nil"/>
              <w:right w:val="nil"/>
            </w:tcBorders>
            <w:shd w:val="clear" w:color="auto" w:fill="auto"/>
            <w:noWrap/>
            <w:vAlign w:val="center"/>
            <w:hideMark/>
          </w:tcPr>
          <w:p w14:paraId="0537A7CC" w14:textId="3BA51776"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w:t>
            </w:r>
          </w:p>
        </w:tc>
        <w:tc>
          <w:tcPr>
            <w:tcW w:w="675" w:type="dxa"/>
            <w:tcBorders>
              <w:top w:val="nil"/>
              <w:left w:val="nil"/>
              <w:bottom w:val="nil"/>
              <w:right w:val="nil"/>
            </w:tcBorders>
            <w:shd w:val="clear" w:color="auto" w:fill="auto"/>
            <w:noWrap/>
            <w:vAlign w:val="center"/>
            <w:hideMark/>
          </w:tcPr>
          <w:p w14:paraId="432CE8B8" w14:textId="4C61E89E"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w:t>
            </w:r>
          </w:p>
        </w:tc>
        <w:tc>
          <w:tcPr>
            <w:tcW w:w="622" w:type="dxa"/>
            <w:tcBorders>
              <w:top w:val="nil"/>
              <w:left w:val="nil"/>
              <w:bottom w:val="nil"/>
              <w:right w:val="nil"/>
            </w:tcBorders>
            <w:shd w:val="clear" w:color="auto" w:fill="auto"/>
            <w:noWrap/>
            <w:vAlign w:val="center"/>
            <w:hideMark/>
          </w:tcPr>
          <w:p w14:paraId="2CE8A9BF" w14:textId="4FFE8B7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w:t>
            </w:r>
          </w:p>
        </w:tc>
        <w:tc>
          <w:tcPr>
            <w:tcW w:w="589" w:type="dxa"/>
            <w:tcBorders>
              <w:top w:val="nil"/>
              <w:left w:val="nil"/>
              <w:bottom w:val="nil"/>
              <w:right w:val="nil"/>
            </w:tcBorders>
            <w:shd w:val="clear" w:color="auto" w:fill="auto"/>
            <w:noWrap/>
            <w:vAlign w:val="center"/>
            <w:hideMark/>
          </w:tcPr>
          <w:p w14:paraId="74C4C220" w14:textId="01EE20A2"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w:t>
            </w:r>
          </w:p>
        </w:tc>
        <w:tc>
          <w:tcPr>
            <w:tcW w:w="675" w:type="dxa"/>
            <w:tcBorders>
              <w:top w:val="nil"/>
              <w:left w:val="nil"/>
              <w:bottom w:val="nil"/>
              <w:right w:val="nil"/>
            </w:tcBorders>
            <w:shd w:val="clear" w:color="auto" w:fill="auto"/>
            <w:noWrap/>
            <w:vAlign w:val="center"/>
            <w:hideMark/>
          </w:tcPr>
          <w:p w14:paraId="3B58393D" w14:textId="1BAE8130"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w:t>
            </w:r>
            <w:r w:rsidR="00AE73F5">
              <w:rPr>
                <w:rFonts w:cstheme="minorHAnsi"/>
                <w:color w:val="000000"/>
                <w:sz w:val="12"/>
                <w:szCs w:val="12"/>
              </w:rPr>
              <w:t>000</w:t>
            </w:r>
          </w:p>
        </w:tc>
        <w:tc>
          <w:tcPr>
            <w:tcW w:w="646" w:type="dxa"/>
            <w:tcBorders>
              <w:top w:val="nil"/>
              <w:left w:val="nil"/>
              <w:bottom w:val="nil"/>
              <w:right w:val="nil"/>
            </w:tcBorders>
            <w:shd w:val="clear" w:color="auto" w:fill="auto"/>
            <w:noWrap/>
            <w:vAlign w:val="center"/>
            <w:hideMark/>
          </w:tcPr>
          <w:p w14:paraId="4298BD7D" w14:textId="2639372D"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w:t>
            </w:r>
          </w:p>
        </w:tc>
        <w:tc>
          <w:tcPr>
            <w:tcW w:w="631" w:type="dxa"/>
            <w:tcBorders>
              <w:top w:val="nil"/>
              <w:left w:val="nil"/>
              <w:bottom w:val="nil"/>
              <w:right w:val="nil"/>
            </w:tcBorders>
            <w:shd w:val="clear" w:color="auto" w:fill="auto"/>
            <w:noWrap/>
            <w:vAlign w:val="center"/>
            <w:hideMark/>
          </w:tcPr>
          <w:p w14:paraId="78AA4690"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-1.227</w:t>
            </w:r>
          </w:p>
        </w:tc>
        <w:tc>
          <w:tcPr>
            <w:tcW w:w="675" w:type="dxa"/>
            <w:tcBorders>
              <w:top w:val="nil"/>
              <w:left w:val="nil"/>
              <w:bottom w:val="nil"/>
              <w:right w:val="nil"/>
            </w:tcBorders>
            <w:shd w:val="clear" w:color="auto" w:fill="auto"/>
            <w:noWrap/>
            <w:vAlign w:val="center"/>
            <w:hideMark/>
          </w:tcPr>
          <w:p w14:paraId="37620091"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0.004</w:t>
            </w:r>
          </w:p>
        </w:tc>
        <w:tc>
          <w:tcPr>
            <w:tcW w:w="610" w:type="dxa"/>
            <w:tcBorders>
              <w:top w:val="nil"/>
              <w:left w:val="nil"/>
              <w:bottom w:val="nil"/>
              <w:right w:val="nil"/>
            </w:tcBorders>
            <w:shd w:val="clear" w:color="auto" w:fill="auto"/>
            <w:noWrap/>
            <w:vAlign w:val="center"/>
            <w:hideMark/>
          </w:tcPr>
          <w:p w14:paraId="45BC9710"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-2.125</w:t>
            </w:r>
          </w:p>
        </w:tc>
        <w:tc>
          <w:tcPr>
            <w:tcW w:w="763" w:type="dxa"/>
            <w:tcBorders>
              <w:top w:val="nil"/>
              <w:left w:val="single" w:sz="4" w:space="0" w:color="auto"/>
              <w:bottom w:val="nil"/>
              <w:right w:val="nil"/>
            </w:tcBorders>
            <w:shd w:val="clear" w:color="auto" w:fill="auto"/>
            <w:noWrap/>
            <w:vAlign w:val="center"/>
            <w:hideMark/>
          </w:tcPr>
          <w:p w14:paraId="6EFC193A"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0.2198</w:t>
            </w:r>
          </w:p>
        </w:tc>
        <w:tc>
          <w:tcPr>
            <w:tcW w:w="762" w:type="dxa"/>
            <w:tcBorders>
              <w:top w:val="nil"/>
              <w:left w:val="nil"/>
              <w:bottom w:val="nil"/>
              <w:right w:val="nil"/>
            </w:tcBorders>
            <w:shd w:val="clear" w:color="auto" w:fill="auto"/>
            <w:noWrap/>
            <w:vAlign w:val="center"/>
            <w:hideMark/>
          </w:tcPr>
          <w:p w14:paraId="5860ACCC"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0.9967</w:t>
            </w:r>
          </w:p>
        </w:tc>
        <w:tc>
          <w:tcPr>
            <w:tcW w:w="808" w:type="dxa"/>
            <w:tcBorders>
              <w:top w:val="nil"/>
              <w:left w:val="nil"/>
              <w:bottom w:val="nil"/>
              <w:right w:val="single" w:sz="4" w:space="0" w:color="auto"/>
            </w:tcBorders>
            <w:shd w:val="clear" w:color="auto" w:fill="auto"/>
            <w:noWrap/>
            <w:vAlign w:val="center"/>
            <w:hideMark/>
          </w:tcPr>
          <w:p w14:paraId="0FD1E927" w14:textId="2F2A1742"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0.0336 *</w:t>
            </w:r>
          </w:p>
        </w:tc>
      </w:tr>
      <w:tr w:rsidR="00F859C9" w:rsidRPr="00AB4D2E" w14:paraId="26985657" w14:textId="77777777" w:rsidTr="000F27C1">
        <w:trPr>
          <w:trHeight w:val="295"/>
        </w:trPr>
        <w:tc>
          <w:tcPr>
            <w:tcW w:w="967" w:type="dxa"/>
            <w:tcBorders>
              <w:top w:val="nil"/>
              <w:left w:val="nil"/>
              <w:bottom w:val="single" w:sz="4" w:space="0" w:color="auto"/>
              <w:right w:val="nil"/>
            </w:tcBorders>
            <w:shd w:val="clear" w:color="auto" w:fill="auto"/>
            <w:noWrap/>
            <w:vAlign w:val="bottom"/>
            <w:hideMark/>
          </w:tcPr>
          <w:p w14:paraId="6B95AFEA"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DLakes</w:t>
            </w:r>
          </w:p>
        </w:tc>
        <w:tc>
          <w:tcPr>
            <w:tcW w:w="792" w:type="dxa"/>
            <w:tcBorders>
              <w:top w:val="nil"/>
              <w:left w:val="nil"/>
              <w:bottom w:val="nil"/>
              <w:right w:val="nil"/>
            </w:tcBorders>
            <w:shd w:val="clear" w:color="auto" w:fill="auto"/>
            <w:noWrap/>
            <w:vAlign w:val="center"/>
            <w:hideMark/>
          </w:tcPr>
          <w:p w14:paraId="688A9E97" w14:textId="4781CE6D"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-0.005</w:t>
            </w:r>
          </w:p>
        </w:tc>
        <w:tc>
          <w:tcPr>
            <w:tcW w:w="675" w:type="dxa"/>
            <w:tcBorders>
              <w:top w:val="nil"/>
              <w:left w:val="nil"/>
              <w:bottom w:val="nil"/>
              <w:right w:val="nil"/>
            </w:tcBorders>
            <w:shd w:val="clear" w:color="auto" w:fill="auto"/>
            <w:noWrap/>
            <w:vAlign w:val="center"/>
            <w:hideMark/>
          </w:tcPr>
          <w:p w14:paraId="28F2FE11" w14:textId="2DA5C6CA"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4511E6" w:rsidRPr="00AB4D2E">
              <w:rPr>
                <w:rFonts w:cstheme="minorHAnsi"/>
                <w:color w:val="000000"/>
                <w:sz w:val="12"/>
                <w:szCs w:val="12"/>
              </w:rPr>
              <w:t>1</w:t>
            </w:r>
          </w:p>
        </w:tc>
        <w:tc>
          <w:tcPr>
            <w:tcW w:w="622" w:type="dxa"/>
            <w:tcBorders>
              <w:top w:val="nil"/>
              <w:left w:val="nil"/>
              <w:bottom w:val="nil"/>
              <w:right w:val="nil"/>
            </w:tcBorders>
            <w:shd w:val="clear" w:color="auto" w:fill="auto"/>
            <w:noWrap/>
            <w:vAlign w:val="center"/>
            <w:hideMark/>
          </w:tcPr>
          <w:p w14:paraId="0D09ABA5" w14:textId="4BC7EDE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0.110</w:t>
            </w:r>
          </w:p>
        </w:tc>
        <w:tc>
          <w:tcPr>
            <w:tcW w:w="589" w:type="dxa"/>
            <w:tcBorders>
              <w:top w:val="nil"/>
              <w:left w:val="nil"/>
              <w:bottom w:val="nil"/>
              <w:right w:val="nil"/>
            </w:tcBorders>
            <w:shd w:val="clear" w:color="auto" w:fill="auto"/>
            <w:noWrap/>
            <w:vAlign w:val="center"/>
            <w:hideMark/>
          </w:tcPr>
          <w:p w14:paraId="470A87C6" w14:textId="2766A485"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0.003</w:t>
            </w:r>
          </w:p>
        </w:tc>
        <w:tc>
          <w:tcPr>
            <w:tcW w:w="675" w:type="dxa"/>
            <w:tcBorders>
              <w:top w:val="nil"/>
              <w:left w:val="nil"/>
              <w:bottom w:val="nil"/>
              <w:right w:val="nil"/>
            </w:tcBorders>
            <w:shd w:val="clear" w:color="auto" w:fill="auto"/>
            <w:noWrap/>
            <w:vAlign w:val="center"/>
            <w:hideMark/>
          </w:tcPr>
          <w:p w14:paraId="7A077E8F" w14:textId="2AF8F31E"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w:t>
            </w:r>
            <w:r w:rsidR="004511E6" w:rsidRPr="00AB4D2E">
              <w:rPr>
                <w:rFonts w:cstheme="minorHAnsi"/>
                <w:color w:val="000000"/>
                <w:sz w:val="12"/>
                <w:szCs w:val="12"/>
              </w:rPr>
              <w:t>7</w:t>
            </w:r>
          </w:p>
        </w:tc>
        <w:tc>
          <w:tcPr>
            <w:tcW w:w="646" w:type="dxa"/>
            <w:tcBorders>
              <w:top w:val="nil"/>
              <w:left w:val="nil"/>
              <w:bottom w:val="nil"/>
              <w:right w:val="nil"/>
            </w:tcBorders>
            <w:shd w:val="clear" w:color="auto" w:fill="auto"/>
            <w:noWrap/>
            <w:vAlign w:val="center"/>
            <w:hideMark/>
          </w:tcPr>
          <w:p w14:paraId="0C8F26AB" w14:textId="55C8B5BC"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0.02</w:t>
            </w:r>
            <w:r w:rsidR="004511E6" w:rsidRPr="00AB4D2E">
              <w:rPr>
                <w:rFonts w:cstheme="minorHAnsi"/>
                <w:color w:val="000000"/>
                <w:sz w:val="12"/>
                <w:szCs w:val="12"/>
              </w:rPr>
              <w:t>7</w:t>
            </w:r>
          </w:p>
        </w:tc>
        <w:tc>
          <w:tcPr>
            <w:tcW w:w="631" w:type="dxa"/>
            <w:tcBorders>
              <w:top w:val="nil"/>
              <w:left w:val="nil"/>
              <w:bottom w:val="nil"/>
              <w:right w:val="nil"/>
            </w:tcBorders>
            <w:shd w:val="clear" w:color="auto" w:fill="auto"/>
            <w:noWrap/>
            <w:vAlign w:val="center"/>
            <w:hideMark/>
          </w:tcPr>
          <w:p w14:paraId="6ACB2531"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1.725</w:t>
            </w:r>
          </w:p>
        </w:tc>
        <w:tc>
          <w:tcPr>
            <w:tcW w:w="675" w:type="dxa"/>
            <w:tcBorders>
              <w:top w:val="nil"/>
              <w:left w:val="nil"/>
              <w:bottom w:val="nil"/>
              <w:right w:val="nil"/>
            </w:tcBorders>
            <w:shd w:val="clear" w:color="auto" w:fill="auto"/>
            <w:noWrap/>
            <w:vAlign w:val="center"/>
            <w:hideMark/>
          </w:tcPr>
          <w:p w14:paraId="0E5EB60D"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0.115</w:t>
            </w:r>
          </w:p>
        </w:tc>
        <w:tc>
          <w:tcPr>
            <w:tcW w:w="610" w:type="dxa"/>
            <w:tcBorders>
              <w:top w:val="nil"/>
              <w:left w:val="nil"/>
              <w:bottom w:val="nil"/>
              <w:right w:val="nil"/>
            </w:tcBorders>
            <w:shd w:val="clear" w:color="auto" w:fill="auto"/>
            <w:noWrap/>
            <w:vAlign w:val="center"/>
            <w:hideMark/>
          </w:tcPr>
          <w:p w14:paraId="627ABDE7"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4.124</w:t>
            </w:r>
          </w:p>
        </w:tc>
        <w:tc>
          <w:tcPr>
            <w:tcW w:w="763" w:type="dxa"/>
            <w:tcBorders>
              <w:top w:val="nil"/>
              <w:left w:val="single" w:sz="4" w:space="0" w:color="auto"/>
              <w:bottom w:val="nil"/>
              <w:right w:val="nil"/>
            </w:tcBorders>
            <w:shd w:val="clear" w:color="auto" w:fill="auto"/>
            <w:noWrap/>
            <w:vAlign w:val="center"/>
            <w:hideMark/>
          </w:tcPr>
          <w:p w14:paraId="19D43511"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0.0846.</w:t>
            </w:r>
          </w:p>
        </w:tc>
        <w:tc>
          <w:tcPr>
            <w:tcW w:w="762" w:type="dxa"/>
            <w:tcBorders>
              <w:top w:val="nil"/>
              <w:left w:val="nil"/>
              <w:bottom w:val="nil"/>
              <w:right w:val="nil"/>
            </w:tcBorders>
            <w:shd w:val="clear" w:color="auto" w:fill="auto"/>
            <w:noWrap/>
            <w:vAlign w:val="center"/>
            <w:hideMark/>
          </w:tcPr>
          <w:p w14:paraId="7D048119" w14:textId="7777777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0.9086</w:t>
            </w:r>
          </w:p>
        </w:tc>
        <w:tc>
          <w:tcPr>
            <w:tcW w:w="808" w:type="dxa"/>
            <w:tcBorders>
              <w:top w:val="nil"/>
              <w:left w:val="nil"/>
              <w:bottom w:val="nil"/>
              <w:right w:val="single" w:sz="4" w:space="0" w:color="auto"/>
            </w:tcBorders>
            <w:shd w:val="clear" w:color="auto" w:fill="auto"/>
            <w:noWrap/>
            <w:vAlign w:val="center"/>
            <w:hideMark/>
          </w:tcPr>
          <w:p w14:paraId="30D99791" w14:textId="7CCB09E7" w:rsidR="00B44118" w:rsidRPr="00AB4D2E" w:rsidRDefault="00B44118" w:rsidP="0093026D">
            <w:pPr>
              <w:spacing w:line="240" w:lineRule="auto"/>
              <w:jc w:val="center"/>
              <w:rPr>
                <w:rFonts w:cstheme="minorHAnsi"/>
                <w:color w:val="000000"/>
                <w:sz w:val="12"/>
                <w:szCs w:val="12"/>
              </w:rPr>
            </w:pPr>
            <w:r w:rsidRPr="00AB4D2E">
              <w:rPr>
                <w:rFonts w:cstheme="minorHAnsi"/>
                <w:color w:val="000000"/>
                <w:sz w:val="12"/>
                <w:szCs w:val="12"/>
              </w:rPr>
              <w:t>0.0000 ***</w:t>
            </w:r>
          </w:p>
        </w:tc>
      </w:tr>
      <w:tr w:rsidR="00123D86" w:rsidRPr="00AB4D2E" w14:paraId="780279BA" w14:textId="77777777" w:rsidTr="000F27C1">
        <w:trPr>
          <w:trHeight w:val="164"/>
        </w:trPr>
        <w:tc>
          <w:tcPr>
            <w:tcW w:w="967" w:type="dxa"/>
            <w:tcBorders>
              <w:top w:val="nil"/>
              <w:left w:val="nil"/>
              <w:bottom w:val="nil"/>
              <w:right w:val="nil"/>
            </w:tcBorders>
            <w:shd w:val="clear" w:color="auto" w:fill="auto"/>
            <w:noWrap/>
            <w:vAlign w:val="bottom"/>
            <w:hideMark/>
          </w:tcPr>
          <w:p w14:paraId="3D351814" w14:textId="77777777" w:rsidR="00123D86" w:rsidRPr="00AB4D2E" w:rsidRDefault="00123D86" w:rsidP="006F7C17">
            <w:pPr>
              <w:spacing w:line="240" w:lineRule="auto"/>
              <w:rPr>
                <w:rFonts w:cstheme="minorHAnsi"/>
                <w:b/>
                <w:bCs/>
                <w:color w:val="000000"/>
                <w:sz w:val="12"/>
                <w:szCs w:val="12"/>
              </w:rPr>
            </w:pPr>
            <w:r w:rsidRPr="00AB4D2E">
              <w:rPr>
                <w:rFonts w:cstheme="minorHAnsi"/>
                <w:b/>
                <w:bCs/>
                <w:color w:val="000000"/>
                <w:sz w:val="12"/>
                <w:szCs w:val="12"/>
              </w:rPr>
              <w:t>Ghana</w:t>
            </w:r>
          </w:p>
        </w:tc>
        <w:tc>
          <w:tcPr>
            <w:tcW w:w="2090" w:type="dxa"/>
            <w:gridSpan w:val="3"/>
            <w:tcBorders>
              <w:top w:val="single" w:sz="4" w:space="0" w:color="auto"/>
              <w:left w:val="nil"/>
              <w:bottom w:val="nil"/>
              <w:right w:val="nil"/>
            </w:tcBorders>
            <w:shd w:val="clear" w:color="auto" w:fill="auto"/>
            <w:noWrap/>
            <w:vAlign w:val="center"/>
            <w:hideMark/>
          </w:tcPr>
          <w:p w14:paraId="0004E477" w14:textId="77777777" w:rsidR="00123D86" w:rsidRPr="00AB4D2E" w:rsidRDefault="00123D86" w:rsidP="006F7C17">
            <w:pPr>
              <w:spacing w:line="240" w:lineRule="auto"/>
              <w:jc w:val="center"/>
              <w:rPr>
                <w:rFonts w:cstheme="minorHAnsi"/>
                <w:b/>
                <w:bCs/>
                <w:color w:val="000000"/>
                <w:sz w:val="12"/>
                <w:szCs w:val="12"/>
              </w:rPr>
            </w:pPr>
            <w:r w:rsidRPr="00AB4D2E">
              <w:rPr>
                <w:rFonts w:cstheme="minorHAnsi"/>
                <w:b/>
                <w:bCs/>
                <w:color w:val="000000"/>
                <w:sz w:val="12"/>
                <w:szCs w:val="12"/>
              </w:rPr>
              <w:t> </w:t>
            </w:r>
          </w:p>
          <w:p w14:paraId="570AC97B" w14:textId="30DDE9AD" w:rsidR="00123D86" w:rsidRPr="00AB4D2E" w:rsidRDefault="00123D86" w:rsidP="006F7C17">
            <w:pPr>
              <w:spacing w:line="240" w:lineRule="auto"/>
              <w:jc w:val="center"/>
              <w:rPr>
                <w:rFonts w:cstheme="minorHAnsi"/>
                <w:b/>
                <w:bCs/>
                <w:color w:val="000000"/>
                <w:sz w:val="12"/>
                <w:szCs w:val="12"/>
              </w:rPr>
            </w:pPr>
            <w:r w:rsidRPr="00AB4D2E">
              <w:rPr>
                <w:rFonts w:cstheme="minorHAnsi"/>
                <w:b/>
                <w:bCs/>
                <w:color w:val="000000"/>
                <w:sz w:val="12"/>
                <w:szCs w:val="12"/>
              </w:rPr>
              <w:t>Estimate </w:t>
            </w:r>
          </w:p>
        </w:tc>
        <w:tc>
          <w:tcPr>
            <w:tcW w:w="1911" w:type="dxa"/>
            <w:gridSpan w:val="3"/>
            <w:tcBorders>
              <w:top w:val="single" w:sz="4" w:space="0" w:color="auto"/>
              <w:left w:val="nil"/>
              <w:bottom w:val="nil"/>
              <w:right w:val="nil"/>
            </w:tcBorders>
            <w:shd w:val="clear" w:color="auto" w:fill="auto"/>
            <w:noWrap/>
            <w:vAlign w:val="center"/>
            <w:hideMark/>
          </w:tcPr>
          <w:p w14:paraId="6130EA4F" w14:textId="77777777" w:rsidR="00123D86" w:rsidRPr="00AB4D2E" w:rsidRDefault="00123D86" w:rsidP="006F7C17">
            <w:pPr>
              <w:spacing w:line="240" w:lineRule="auto"/>
              <w:jc w:val="center"/>
              <w:rPr>
                <w:rFonts w:cstheme="minorHAnsi"/>
                <w:b/>
                <w:bCs/>
                <w:color w:val="000000"/>
                <w:sz w:val="12"/>
                <w:szCs w:val="12"/>
              </w:rPr>
            </w:pPr>
            <w:r w:rsidRPr="00AB4D2E">
              <w:rPr>
                <w:rFonts w:cstheme="minorHAnsi"/>
                <w:b/>
                <w:bCs/>
                <w:color w:val="000000"/>
                <w:sz w:val="12"/>
                <w:szCs w:val="12"/>
              </w:rPr>
              <w:t> </w:t>
            </w:r>
          </w:p>
          <w:p w14:paraId="5E8E82F6" w14:textId="13A6D218" w:rsidR="00123D86" w:rsidRPr="00AB4D2E" w:rsidRDefault="00123D86" w:rsidP="006F7C17">
            <w:pPr>
              <w:spacing w:line="240" w:lineRule="auto"/>
              <w:jc w:val="center"/>
              <w:rPr>
                <w:rFonts w:cstheme="minorHAnsi"/>
                <w:b/>
                <w:bCs/>
                <w:color w:val="000000"/>
                <w:sz w:val="12"/>
                <w:szCs w:val="12"/>
              </w:rPr>
            </w:pPr>
            <w:r w:rsidRPr="00AB4D2E">
              <w:rPr>
                <w:rFonts w:cstheme="minorHAnsi"/>
                <w:b/>
                <w:bCs/>
                <w:color w:val="000000"/>
                <w:sz w:val="12"/>
                <w:szCs w:val="12"/>
              </w:rPr>
              <w:t>Std. Error </w:t>
            </w:r>
          </w:p>
        </w:tc>
        <w:tc>
          <w:tcPr>
            <w:tcW w:w="1917" w:type="dxa"/>
            <w:gridSpan w:val="3"/>
            <w:tcBorders>
              <w:top w:val="single" w:sz="4" w:space="0" w:color="auto"/>
              <w:left w:val="nil"/>
              <w:bottom w:val="nil"/>
              <w:right w:val="nil"/>
            </w:tcBorders>
            <w:shd w:val="clear" w:color="auto" w:fill="auto"/>
            <w:noWrap/>
            <w:vAlign w:val="center"/>
            <w:hideMark/>
          </w:tcPr>
          <w:p w14:paraId="7AB6E529" w14:textId="77777777" w:rsidR="00123D86" w:rsidRPr="00AB4D2E" w:rsidRDefault="00123D86" w:rsidP="006F7C17">
            <w:pPr>
              <w:spacing w:line="240" w:lineRule="auto"/>
              <w:jc w:val="center"/>
              <w:rPr>
                <w:rFonts w:cstheme="minorHAnsi"/>
                <w:b/>
                <w:bCs/>
                <w:color w:val="000000"/>
                <w:sz w:val="12"/>
                <w:szCs w:val="12"/>
              </w:rPr>
            </w:pPr>
            <w:r w:rsidRPr="00AB4D2E">
              <w:rPr>
                <w:rFonts w:cstheme="minorHAnsi"/>
                <w:b/>
                <w:bCs/>
                <w:color w:val="000000"/>
                <w:sz w:val="12"/>
                <w:szCs w:val="12"/>
              </w:rPr>
              <w:t> </w:t>
            </w:r>
          </w:p>
          <w:p w14:paraId="4A64C4D2" w14:textId="5D09307B" w:rsidR="00123D86" w:rsidRPr="00AB4D2E" w:rsidRDefault="00123D86" w:rsidP="006F7C17">
            <w:pPr>
              <w:spacing w:line="240" w:lineRule="auto"/>
              <w:jc w:val="center"/>
              <w:rPr>
                <w:rFonts w:cstheme="minorHAnsi"/>
                <w:b/>
                <w:bCs/>
                <w:color w:val="000000"/>
                <w:sz w:val="12"/>
                <w:szCs w:val="12"/>
              </w:rPr>
            </w:pPr>
            <w:r w:rsidRPr="00AB4D2E">
              <w:rPr>
                <w:rFonts w:cstheme="minorHAnsi"/>
                <w:b/>
                <w:bCs/>
                <w:color w:val="000000"/>
                <w:sz w:val="12"/>
                <w:szCs w:val="12"/>
              </w:rPr>
              <w:t>Z Value </w:t>
            </w:r>
          </w:p>
        </w:tc>
        <w:tc>
          <w:tcPr>
            <w:tcW w:w="2335" w:type="dxa"/>
            <w:gridSpan w:val="3"/>
            <w:tcBorders>
              <w:top w:val="single" w:sz="4" w:space="0" w:color="auto"/>
              <w:left w:val="single" w:sz="4" w:space="0" w:color="auto"/>
              <w:bottom w:val="nil"/>
              <w:right w:val="single" w:sz="4" w:space="0" w:color="auto"/>
            </w:tcBorders>
            <w:shd w:val="clear" w:color="auto" w:fill="auto"/>
            <w:noWrap/>
            <w:vAlign w:val="center"/>
            <w:hideMark/>
          </w:tcPr>
          <w:p w14:paraId="716CDA60" w14:textId="1C01529B" w:rsidR="00123D86" w:rsidRPr="00AB4D2E" w:rsidRDefault="00123D86" w:rsidP="006F7C17">
            <w:pPr>
              <w:spacing w:line="240" w:lineRule="auto"/>
              <w:jc w:val="center"/>
              <w:rPr>
                <w:rFonts w:cstheme="minorHAnsi"/>
                <w:b/>
                <w:bCs/>
                <w:color w:val="000000"/>
                <w:sz w:val="12"/>
                <w:szCs w:val="12"/>
              </w:rPr>
            </w:pPr>
            <w:r w:rsidRPr="00AB4D2E">
              <w:rPr>
                <w:rFonts w:cstheme="minorHAnsi"/>
                <w:b/>
                <w:bCs/>
                <w:color w:val="000000"/>
                <w:sz w:val="12"/>
                <w:szCs w:val="12"/>
              </w:rPr>
              <w:t>Pr</w:t>
            </w:r>
            <w:r w:rsidR="00D959B5" w:rsidRPr="00AB4D2E">
              <w:rPr>
                <w:rFonts w:cstheme="minorHAnsi"/>
                <w:b/>
                <w:bCs/>
                <w:color w:val="000000"/>
                <w:sz w:val="12"/>
                <w:szCs w:val="12"/>
              </w:rPr>
              <w:t>(&gt;</w:t>
            </w:r>
            <w:r w:rsidR="00C128E4" w:rsidRPr="00AB4D2E">
              <w:rPr>
                <w:rFonts w:cstheme="minorHAnsi"/>
                <w:b/>
                <w:bCs/>
                <w:color w:val="000000"/>
                <w:sz w:val="12"/>
                <w:szCs w:val="12"/>
              </w:rPr>
              <w:t>|z</w:t>
            </w:r>
            <w:r w:rsidR="007F2594" w:rsidRPr="00AB4D2E">
              <w:rPr>
                <w:rFonts w:cstheme="minorHAnsi"/>
                <w:b/>
                <w:bCs/>
                <w:color w:val="000000"/>
                <w:sz w:val="12"/>
                <w:szCs w:val="12"/>
              </w:rPr>
              <w:t>|)</w:t>
            </w:r>
            <w:r w:rsidRPr="00AB4D2E">
              <w:rPr>
                <w:rFonts w:cstheme="minorHAnsi"/>
                <w:b/>
                <w:bCs/>
                <w:color w:val="000000"/>
                <w:sz w:val="12"/>
                <w:szCs w:val="12"/>
              </w:rPr>
              <w:t> </w:t>
            </w:r>
          </w:p>
        </w:tc>
      </w:tr>
      <w:tr w:rsidR="00F859C9" w:rsidRPr="00AB4D2E" w14:paraId="44ADD9CF" w14:textId="77777777" w:rsidTr="000F27C1">
        <w:trPr>
          <w:trHeight w:val="295"/>
        </w:trPr>
        <w:tc>
          <w:tcPr>
            <w:tcW w:w="967" w:type="dxa"/>
            <w:tcBorders>
              <w:top w:val="nil"/>
              <w:left w:val="nil"/>
              <w:bottom w:val="single" w:sz="4" w:space="0" w:color="auto"/>
              <w:right w:val="nil"/>
            </w:tcBorders>
            <w:shd w:val="clear" w:color="auto" w:fill="auto"/>
            <w:noWrap/>
            <w:vAlign w:val="bottom"/>
            <w:hideMark/>
          </w:tcPr>
          <w:p w14:paraId="1204C14B"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Predictor</w:t>
            </w:r>
          </w:p>
        </w:tc>
        <w:tc>
          <w:tcPr>
            <w:tcW w:w="792" w:type="dxa"/>
            <w:tcBorders>
              <w:top w:val="nil"/>
              <w:left w:val="nil"/>
              <w:bottom w:val="single" w:sz="4" w:space="0" w:color="auto"/>
              <w:right w:val="nil"/>
            </w:tcBorders>
            <w:shd w:val="clear" w:color="auto" w:fill="auto"/>
            <w:noWrap/>
            <w:vAlign w:val="center"/>
            <w:hideMark/>
          </w:tcPr>
          <w:p w14:paraId="5B78234D"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675" w:type="dxa"/>
            <w:tcBorders>
              <w:top w:val="nil"/>
              <w:left w:val="nil"/>
              <w:bottom w:val="single" w:sz="4" w:space="0" w:color="auto"/>
              <w:right w:val="nil"/>
            </w:tcBorders>
            <w:shd w:val="clear" w:color="auto" w:fill="auto"/>
            <w:noWrap/>
            <w:vAlign w:val="center"/>
            <w:hideMark/>
          </w:tcPr>
          <w:p w14:paraId="2AEF1EA2"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622" w:type="dxa"/>
            <w:tcBorders>
              <w:top w:val="nil"/>
              <w:left w:val="nil"/>
              <w:bottom w:val="single" w:sz="4" w:space="0" w:color="auto"/>
              <w:right w:val="nil"/>
            </w:tcBorders>
            <w:shd w:val="clear" w:color="auto" w:fill="auto"/>
            <w:noWrap/>
            <w:vAlign w:val="center"/>
            <w:hideMark/>
          </w:tcPr>
          <w:p w14:paraId="327708A4"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Large</w:t>
            </w:r>
          </w:p>
        </w:tc>
        <w:tc>
          <w:tcPr>
            <w:tcW w:w="589" w:type="dxa"/>
            <w:tcBorders>
              <w:top w:val="nil"/>
              <w:left w:val="nil"/>
              <w:bottom w:val="single" w:sz="4" w:space="0" w:color="auto"/>
              <w:right w:val="nil"/>
            </w:tcBorders>
            <w:shd w:val="clear" w:color="auto" w:fill="auto"/>
            <w:noWrap/>
            <w:vAlign w:val="center"/>
            <w:hideMark/>
          </w:tcPr>
          <w:p w14:paraId="1B93429D"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675" w:type="dxa"/>
            <w:tcBorders>
              <w:top w:val="nil"/>
              <w:left w:val="nil"/>
              <w:bottom w:val="single" w:sz="4" w:space="0" w:color="auto"/>
              <w:right w:val="nil"/>
            </w:tcBorders>
            <w:shd w:val="clear" w:color="auto" w:fill="auto"/>
            <w:noWrap/>
            <w:vAlign w:val="center"/>
            <w:hideMark/>
          </w:tcPr>
          <w:p w14:paraId="7B6F3C00"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646" w:type="dxa"/>
            <w:tcBorders>
              <w:top w:val="nil"/>
              <w:left w:val="nil"/>
              <w:bottom w:val="single" w:sz="4" w:space="0" w:color="auto"/>
              <w:right w:val="nil"/>
            </w:tcBorders>
            <w:shd w:val="clear" w:color="auto" w:fill="auto"/>
            <w:noWrap/>
            <w:vAlign w:val="center"/>
            <w:hideMark/>
          </w:tcPr>
          <w:p w14:paraId="755DCA54"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Large</w:t>
            </w:r>
          </w:p>
        </w:tc>
        <w:tc>
          <w:tcPr>
            <w:tcW w:w="631" w:type="dxa"/>
            <w:tcBorders>
              <w:top w:val="nil"/>
              <w:left w:val="nil"/>
              <w:bottom w:val="single" w:sz="4" w:space="0" w:color="auto"/>
              <w:right w:val="nil"/>
            </w:tcBorders>
            <w:shd w:val="clear" w:color="auto" w:fill="auto"/>
            <w:noWrap/>
            <w:vAlign w:val="center"/>
            <w:hideMark/>
          </w:tcPr>
          <w:p w14:paraId="2A27DBF2"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675" w:type="dxa"/>
            <w:tcBorders>
              <w:top w:val="nil"/>
              <w:left w:val="nil"/>
              <w:bottom w:val="single" w:sz="4" w:space="0" w:color="auto"/>
              <w:right w:val="nil"/>
            </w:tcBorders>
            <w:shd w:val="clear" w:color="auto" w:fill="auto"/>
            <w:noWrap/>
            <w:vAlign w:val="center"/>
            <w:hideMark/>
          </w:tcPr>
          <w:p w14:paraId="562DAE40"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610" w:type="dxa"/>
            <w:tcBorders>
              <w:top w:val="nil"/>
              <w:left w:val="nil"/>
              <w:bottom w:val="single" w:sz="4" w:space="0" w:color="auto"/>
              <w:right w:val="nil"/>
            </w:tcBorders>
            <w:shd w:val="clear" w:color="auto" w:fill="auto"/>
            <w:noWrap/>
            <w:vAlign w:val="center"/>
            <w:hideMark/>
          </w:tcPr>
          <w:p w14:paraId="3182B733"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Large</w:t>
            </w:r>
          </w:p>
        </w:tc>
        <w:tc>
          <w:tcPr>
            <w:tcW w:w="763" w:type="dxa"/>
            <w:tcBorders>
              <w:top w:val="nil"/>
              <w:left w:val="single" w:sz="4" w:space="0" w:color="auto"/>
              <w:bottom w:val="single" w:sz="4" w:space="0" w:color="auto"/>
              <w:right w:val="nil"/>
            </w:tcBorders>
            <w:shd w:val="clear" w:color="auto" w:fill="auto"/>
            <w:noWrap/>
            <w:vAlign w:val="center"/>
            <w:hideMark/>
          </w:tcPr>
          <w:p w14:paraId="7EBAF338"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762" w:type="dxa"/>
            <w:tcBorders>
              <w:top w:val="nil"/>
              <w:left w:val="nil"/>
              <w:bottom w:val="single" w:sz="4" w:space="0" w:color="auto"/>
              <w:right w:val="nil"/>
            </w:tcBorders>
            <w:shd w:val="clear" w:color="auto" w:fill="auto"/>
            <w:noWrap/>
            <w:vAlign w:val="center"/>
            <w:hideMark/>
          </w:tcPr>
          <w:p w14:paraId="6511A76C"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808" w:type="dxa"/>
            <w:tcBorders>
              <w:top w:val="nil"/>
              <w:left w:val="nil"/>
              <w:bottom w:val="single" w:sz="4" w:space="0" w:color="auto"/>
              <w:right w:val="single" w:sz="4" w:space="0" w:color="auto"/>
            </w:tcBorders>
            <w:shd w:val="clear" w:color="auto" w:fill="auto"/>
            <w:noWrap/>
            <w:vAlign w:val="center"/>
            <w:hideMark/>
          </w:tcPr>
          <w:p w14:paraId="7150D2A4"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Large</w:t>
            </w:r>
          </w:p>
        </w:tc>
      </w:tr>
      <w:tr w:rsidR="00F859C9" w:rsidRPr="00AB4D2E" w14:paraId="0B9BDA99" w14:textId="77777777" w:rsidTr="000F27C1">
        <w:trPr>
          <w:trHeight w:val="295"/>
        </w:trPr>
        <w:tc>
          <w:tcPr>
            <w:tcW w:w="967" w:type="dxa"/>
            <w:tcBorders>
              <w:top w:val="nil"/>
              <w:left w:val="nil"/>
              <w:bottom w:val="single" w:sz="4" w:space="0" w:color="auto"/>
              <w:right w:val="nil"/>
            </w:tcBorders>
            <w:shd w:val="clear" w:color="auto" w:fill="auto"/>
            <w:noWrap/>
            <w:vAlign w:val="bottom"/>
            <w:hideMark/>
          </w:tcPr>
          <w:p w14:paraId="5C89BA55"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Intercept</w:t>
            </w:r>
          </w:p>
        </w:tc>
        <w:tc>
          <w:tcPr>
            <w:tcW w:w="792" w:type="dxa"/>
            <w:tcBorders>
              <w:top w:val="nil"/>
              <w:left w:val="nil"/>
              <w:bottom w:val="single" w:sz="4" w:space="0" w:color="auto"/>
              <w:right w:val="nil"/>
            </w:tcBorders>
            <w:shd w:val="clear" w:color="auto" w:fill="auto"/>
            <w:noWrap/>
            <w:vAlign w:val="center"/>
            <w:hideMark/>
          </w:tcPr>
          <w:p w14:paraId="2ABE2A71" w14:textId="7554C681"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-0.38</w:t>
            </w:r>
            <w:r w:rsidR="005D0A24" w:rsidRPr="00AB4D2E">
              <w:rPr>
                <w:rFonts w:cstheme="minorHAnsi"/>
                <w:b/>
                <w:bCs/>
                <w:color w:val="000000"/>
                <w:sz w:val="12"/>
                <w:szCs w:val="12"/>
              </w:rPr>
              <w:t>8</w:t>
            </w:r>
          </w:p>
        </w:tc>
        <w:tc>
          <w:tcPr>
            <w:tcW w:w="675" w:type="dxa"/>
            <w:tcBorders>
              <w:top w:val="nil"/>
              <w:left w:val="nil"/>
              <w:bottom w:val="single" w:sz="4" w:space="0" w:color="auto"/>
              <w:right w:val="nil"/>
            </w:tcBorders>
            <w:shd w:val="clear" w:color="auto" w:fill="auto"/>
            <w:noWrap/>
            <w:vAlign w:val="center"/>
            <w:hideMark/>
          </w:tcPr>
          <w:p w14:paraId="5C6F098A" w14:textId="638259EF"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0.29</w:t>
            </w:r>
            <w:r w:rsidR="005D0A24" w:rsidRPr="00AB4D2E">
              <w:rPr>
                <w:rFonts w:cstheme="minorHAnsi"/>
                <w:b/>
                <w:bCs/>
                <w:color w:val="000000"/>
                <w:sz w:val="12"/>
                <w:szCs w:val="12"/>
              </w:rPr>
              <w:t>9</w:t>
            </w:r>
          </w:p>
        </w:tc>
        <w:tc>
          <w:tcPr>
            <w:tcW w:w="622" w:type="dxa"/>
            <w:tcBorders>
              <w:top w:val="nil"/>
              <w:left w:val="nil"/>
              <w:bottom w:val="single" w:sz="4" w:space="0" w:color="auto"/>
              <w:right w:val="nil"/>
            </w:tcBorders>
            <w:shd w:val="clear" w:color="auto" w:fill="auto"/>
            <w:noWrap/>
            <w:vAlign w:val="center"/>
            <w:hideMark/>
          </w:tcPr>
          <w:p w14:paraId="2ACDE0D4" w14:textId="77777777"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0.337</w:t>
            </w:r>
          </w:p>
        </w:tc>
        <w:tc>
          <w:tcPr>
            <w:tcW w:w="589" w:type="dxa"/>
            <w:tcBorders>
              <w:top w:val="nil"/>
              <w:left w:val="nil"/>
              <w:bottom w:val="single" w:sz="4" w:space="0" w:color="auto"/>
              <w:right w:val="nil"/>
            </w:tcBorders>
            <w:shd w:val="clear" w:color="auto" w:fill="auto"/>
            <w:noWrap/>
            <w:vAlign w:val="center"/>
            <w:hideMark/>
          </w:tcPr>
          <w:p w14:paraId="3736FBDC" w14:textId="3A57DC1F"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0.33</w:t>
            </w:r>
            <w:r w:rsidR="00D3318D" w:rsidRPr="00AB4D2E">
              <w:rPr>
                <w:rFonts w:cstheme="minorHAnsi"/>
                <w:b/>
                <w:bCs/>
                <w:color w:val="000000"/>
                <w:sz w:val="12"/>
                <w:szCs w:val="12"/>
              </w:rPr>
              <w:t>6</w:t>
            </w:r>
          </w:p>
        </w:tc>
        <w:tc>
          <w:tcPr>
            <w:tcW w:w="675" w:type="dxa"/>
            <w:tcBorders>
              <w:top w:val="nil"/>
              <w:left w:val="nil"/>
              <w:bottom w:val="single" w:sz="4" w:space="0" w:color="auto"/>
              <w:right w:val="nil"/>
            </w:tcBorders>
            <w:shd w:val="clear" w:color="auto" w:fill="auto"/>
            <w:noWrap/>
            <w:vAlign w:val="center"/>
            <w:hideMark/>
          </w:tcPr>
          <w:p w14:paraId="5368EE67" w14:textId="585044B1"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0.36</w:t>
            </w:r>
            <w:r w:rsidR="00D3318D" w:rsidRPr="00AB4D2E">
              <w:rPr>
                <w:rFonts w:cstheme="minorHAnsi"/>
                <w:b/>
                <w:bCs/>
                <w:color w:val="000000"/>
                <w:sz w:val="12"/>
                <w:szCs w:val="12"/>
              </w:rPr>
              <w:t>2</w:t>
            </w:r>
          </w:p>
        </w:tc>
        <w:tc>
          <w:tcPr>
            <w:tcW w:w="646" w:type="dxa"/>
            <w:tcBorders>
              <w:top w:val="nil"/>
              <w:left w:val="nil"/>
              <w:bottom w:val="single" w:sz="4" w:space="0" w:color="auto"/>
              <w:right w:val="nil"/>
            </w:tcBorders>
            <w:shd w:val="clear" w:color="auto" w:fill="auto"/>
            <w:noWrap/>
            <w:vAlign w:val="center"/>
            <w:hideMark/>
          </w:tcPr>
          <w:p w14:paraId="7B8ECA31" w14:textId="77777777"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0.447</w:t>
            </w:r>
          </w:p>
        </w:tc>
        <w:tc>
          <w:tcPr>
            <w:tcW w:w="631" w:type="dxa"/>
            <w:tcBorders>
              <w:top w:val="nil"/>
              <w:left w:val="nil"/>
              <w:bottom w:val="single" w:sz="4" w:space="0" w:color="auto"/>
              <w:right w:val="nil"/>
            </w:tcBorders>
            <w:shd w:val="clear" w:color="auto" w:fill="auto"/>
            <w:noWrap/>
            <w:vAlign w:val="center"/>
            <w:hideMark/>
          </w:tcPr>
          <w:p w14:paraId="2FEFC5C5" w14:textId="77777777"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-1.154</w:t>
            </w:r>
          </w:p>
        </w:tc>
        <w:tc>
          <w:tcPr>
            <w:tcW w:w="675" w:type="dxa"/>
            <w:tcBorders>
              <w:top w:val="nil"/>
              <w:left w:val="nil"/>
              <w:bottom w:val="single" w:sz="4" w:space="0" w:color="auto"/>
              <w:right w:val="nil"/>
            </w:tcBorders>
            <w:shd w:val="clear" w:color="auto" w:fill="auto"/>
            <w:noWrap/>
            <w:vAlign w:val="center"/>
            <w:hideMark/>
          </w:tcPr>
          <w:p w14:paraId="1C82D5BC" w14:textId="77777777"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0.825</w:t>
            </w:r>
          </w:p>
        </w:tc>
        <w:tc>
          <w:tcPr>
            <w:tcW w:w="610" w:type="dxa"/>
            <w:tcBorders>
              <w:top w:val="nil"/>
              <w:left w:val="nil"/>
              <w:bottom w:val="single" w:sz="4" w:space="0" w:color="auto"/>
              <w:right w:val="nil"/>
            </w:tcBorders>
            <w:shd w:val="clear" w:color="auto" w:fill="auto"/>
            <w:noWrap/>
            <w:vAlign w:val="center"/>
            <w:hideMark/>
          </w:tcPr>
          <w:p w14:paraId="624E457E" w14:textId="77777777"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0.754</w:t>
            </w:r>
          </w:p>
        </w:tc>
        <w:tc>
          <w:tcPr>
            <w:tcW w:w="763" w:type="dxa"/>
            <w:tcBorders>
              <w:top w:val="nil"/>
              <w:left w:val="single" w:sz="4" w:space="0" w:color="auto"/>
              <w:bottom w:val="single" w:sz="4" w:space="0" w:color="auto"/>
              <w:right w:val="nil"/>
            </w:tcBorders>
            <w:shd w:val="clear" w:color="auto" w:fill="auto"/>
            <w:noWrap/>
            <w:vAlign w:val="center"/>
            <w:hideMark/>
          </w:tcPr>
          <w:p w14:paraId="6FCCD574" w14:textId="77777777"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0.2483</w:t>
            </w:r>
          </w:p>
        </w:tc>
        <w:tc>
          <w:tcPr>
            <w:tcW w:w="762" w:type="dxa"/>
            <w:tcBorders>
              <w:top w:val="nil"/>
              <w:left w:val="nil"/>
              <w:bottom w:val="single" w:sz="4" w:space="0" w:color="auto"/>
              <w:right w:val="nil"/>
            </w:tcBorders>
            <w:shd w:val="clear" w:color="auto" w:fill="auto"/>
            <w:noWrap/>
            <w:vAlign w:val="center"/>
            <w:hideMark/>
          </w:tcPr>
          <w:p w14:paraId="2025A573" w14:textId="77777777"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0.4093</w:t>
            </w:r>
          </w:p>
        </w:tc>
        <w:tc>
          <w:tcPr>
            <w:tcW w:w="808" w:type="dxa"/>
            <w:tcBorders>
              <w:top w:val="nil"/>
              <w:left w:val="nil"/>
              <w:bottom w:val="single" w:sz="4" w:space="0" w:color="auto"/>
              <w:right w:val="single" w:sz="4" w:space="0" w:color="auto"/>
            </w:tcBorders>
            <w:shd w:val="clear" w:color="auto" w:fill="auto"/>
            <w:noWrap/>
            <w:vAlign w:val="center"/>
            <w:hideMark/>
          </w:tcPr>
          <w:p w14:paraId="5F48EC3D" w14:textId="77777777" w:rsidR="00B44118" w:rsidRPr="00AB4D2E" w:rsidRDefault="00B44118" w:rsidP="0060497C">
            <w:pPr>
              <w:spacing w:line="240" w:lineRule="auto"/>
              <w:jc w:val="center"/>
              <w:rPr>
                <w:rFonts w:cstheme="minorHAnsi"/>
                <w:b/>
                <w:bCs/>
                <w:color w:val="000000"/>
                <w:sz w:val="12"/>
                <w:szCs w:val="12"/>
              </w:rPr>
            </w:pPr>
            <w:r w:rsidRPr="00AB4D2E">
              <w:rPr>
                <w:rFonts w:cstheme="minorHAnsi"/>
                <w:b/>
                <w:bCs/>
                <w:color w:val="000000"/>
                <w:sz w:val="12"/>
                <w:szCs w:val="12"/>
              </w:rPr>
              <w:t>0.4509</w:t>
            </w:r>
          </w:p>
        </w:tc>
      </w:tr>
      <w:tr w:rsidR="00F859C9" w:rsidRPr="00AB4D2E" w14:paraId="1C24D1C0" w14:textId="77777777" w:rsidTr="000F27C1">
        <w:trPr>
          <w:trHeight w:val="295"/>
        </w:trPr>
        <w:tc>
          <w:tcPr>
            <w:tcW w:w="967" w:type="dxa"/>
            <w:tcBorders>
              <w:top w:val="nil"/>
              <w:left w:val="nil"/>
              <w:bottom w:val="nil"/>
              <w:right w:val="nil"/>
            </w:tcBorders>
            <w:shd w:val="clear" w:color="auto" w:fill="auto"/>
            <w:noWrap/>
            <w:vAlign w:val="bottom"/>
            <w:hideMark/>
          </w:tcPr>
          <w:p w14:paraId="751DCB6A"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DevPressure</w:t>
            </w:r>
          </w:p>
        </w:tc>
        <w:tc>
          <w:tcPr>
            <w:tcW w:w="792" w:type="dxa"/>
            <w:tcBorders>
              <w:top w:val="nil"/>
              <w:left w:val="nil"/>
              <w:bottom w:val="nil"/>
              <w:right w:val="nil"/>
            </w:tcBorders>
            <w:shd w:val="clear" w:color="auto" w:fill="auto"/>
            <w:noWrap/>
            <w:vAlign w:val="center"/>
            <w:hideMark/>
          </w:tcPr>
          <w:p w14:paraId="13118551" w14:textId="55474D8E"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0.57</w:t>
            </w:r>
            <w:r w:rsidR="005D0A24" w:rsidRPr="00AB4D2E">
              <w:rPr>
                <w:rFonts w:cstheme="minorHAnsi"/>
                <w:color w:val="000000"/>
                <w:sz w:val="12"/>
                <w:szCs w:val="12"/>
              </w:rPr>
              <w:t>6</w:t>
            </w:r>
          </w:p>
        </w:tc>
        <w:tc>
          <w:tcPr>
            <w:tcW w:w="675" w:type="dxa"/>
            <w:tcBorders>
              <w:top w:val="nil"/>
              <w:left w:val="nil"/>
              <w:bottom w:val="nil"/>
              <w:right w:val="nil"/>
            </w:tcBorders>
            <w:shd w:val="clear" w:color="auto" w:fill="auto"/>
            <w:noWrap/>
            <w:vAlign w:val="center"/>
            <w:hideMark/>
          </w:tcPr>
          <w:p w14:paraId="223425CE" w14:textId="53EE65D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0.40</w:t>
            </w:r>
            <w:r w:rsidR="00B0644E" w:rsidRPr="00AB4D2E">
              <w:rPr>
                <w:rFonts w:cstheme="minorHAnsi"/>
                <w:color w:val="000000"/>
                <w:sz w:val="12"/>
                <w:szCs w:val="12"/>
              </w:rPr>
              <w:t>3</w:t>
            </w:r>
          </w:p>
        </w:tc>
        <w:tc>
          <w:tcPr>
            <w:tcW w:w="622" w:type="dxa"/>
            <w:tcBorders>
              <w:top w:val="nil"/>
              <w:left w:val="nil"/>
              <w:bottom w:val="nil"/>
              <w:right w:val="nil"/>
            </w:tcBorders>
            <w:shd w:val="clear" w:color="auto" w:fill="auto"/>
            <w:noWrap/>
            <w:vAlign w:val="center"/>
            <w:hideMark/>
          </w:tcPr>
          <w:p w14:paraId="459B1E36"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0.2401</w:t>
            </w:r>
          </w:p>
        </w:tc>
        <w:tc>
          <w:tcPr>
            <w:tcW w:w="589" w:type="dxa"/>
            <w:tcBorders>
              <w:top w:val="nil"/>
              <w:left w:val="nil"/>
              <w:bottom w:val="nil"/>
              <w:right w:val="nil"/>
            </w:tcBorders>
            <w:shd w:val="clear" w:color="auto" w:fill="auto"/>
            <w:noWrap/>
            <w:vAlign w:val="center"/>
            <w:hideMark/>
          </w:tcPr>
          <w:p w14:paraId="6AE2D74E" w14:textId="36EFE99A"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0.028</w:t>
            </w:r>
          </w:p>
        </w:tc>
        <w:tc>
          <w:tcPr>
            <w:tcW w:w="675" w:type="dxa"/>
            <w:tcBorders>
              <w:top w:val="nil"/>
              <w:left w:val="nil"/>
              <w:bottom w:val="nil"/>
              <w:right w:val="nil"/>
            </w:tcBorders>
            <w:shd w:val="clear" w:color="auto" w:fill="auto"/>
            <w:noWrap/>
            <w:vAlign w:val="center"/>
            <w:hideMark/>
          </w:tcPr>
          <w:p w14:paraId="1B6AB570"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0.023</w:t>
            </w:r>
          </w:p>
        </w:tc>
        <w:tc>
          <w:tcPr>
            <w:tcW w:w="646" w:type="dxa"/>
            <w:tcBorders>
              <w:top w:val="nil"/>
              <w:left w:val="nil"/>
              <w:bottom w:val="nil"/>
              <w:right w:val="nil"/>
            </w:tcBorders>
            <w:shd w:val="clear" w:color="auto" w:fill="auto"/>
            <w:noWrap/>
            <w:vAlign w:val="center"/>
            <w:hideMark/>
          </w:tcPr>
          <w:p w14:paraId="67BF44F4" w14:textId="6973D5EC"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0.019</w:t>
            </w:r>
          </w:p>
        </w:tc>
        <w:tc>
          <w:tcPr>
            <w:tcW w:w="631" w:type="dxa"/>
            <w:tcBorders>
              <w:top w:val="nil"/>
              <w:left w:val="nil"/>
              <w:bottom w:val="nil"/>
              <w:right w:val="nil"/>
            </w:tcBorders>
            <w:shd w:val="clear" w:color="auto" w:fill="auto"/>
            <w:noWrap/>
            <w:vAlign w:val="center"/>
            <w:hideMark/>
          </w:tcPr>
          <w:p w14:paraId="2FC5387B" w14:textId="1BE2B353"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20.25</w:t>
            </w:r>
            <w:r w:rsidR="00F63DCA" w:rsidRPr="00AB4D2E">
              <w:rPr>
                <w:rFonts w:cstheme="minorHAnsi"/>
                <w:color w:val="000000"/>
                <w:sz w:val="12"/>
                <w:szCs w:val="12"/>
              </w:rPr>
              <w:t>0</w:t>
            </w:r>
          </w:p>
        </w:tc>
        <w:tc>
          <w:tcPr>
            <w:tcW w:w="675" w:type="dxa"/>
            <w:tcBorders>
              <w:top w:val="nil"/>
              <w:left w:val="nil"/>
              <w:bottom w:val="nil"/>
              <w:right w:val="nil"/>
            </w:tcBorders>
            <w:shd w:val="clear" w:color="auto" w:fill="auto"/>
            <w:noWrap/>
            <w:vAlign w:val="center"/>
            <w:hideMark/>
          </w:tcPr>
          <w:p w14:paraId="3C14997B"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17.485</w:t>
            </w:r>
          </w:p>
        </w:tc>
        <w:tc>
          <w:tcPr>
            <w:tcW w:w="610" w:type="dxa"/>
            <w:tcBorders>
              <w:top w:val="nil"/>
              <w:left w:val="nil"/>
              <w:bottom w:val="nil"/>
              <w:right w:val="nil"/>
            </w:tcBorders>
            <w:shd w:val="clear" w:color="auto" w:fill="auto"/>
            <w:noWrap/>
            <w:vAlign w:val="center"/>
            <w:hideMark/>
          </w:tcPr>
          <w:p w14:paraId="7D50D281"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12.357</w:t>
            </w:r>
          </w:p>
        </w:tc>
        <w:tc>
          <w:tcPr>
            <w:tcW w:w="763" w:type="dxa"/>
            <w:tcBorders>
              <w:top w:val="nil"/>
              <w:left w:val="single" w:sz="4" w:space="0" w:color="auto"/>
              <w:bottom w:val="nil"/>
              <w:right w:val="nil"/>
            </w:tcBorders>
            <w:shd w:val="clear" w:color="auto" w:fill="auto"/>
            <w:noWrap/>
            <w:vAlign w:val="center"/>
            <w:hideMark/>
          </w:tcPr>
          <w:p w14:paraId="20A8A25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c>
          <w:tcPr>
            <w:tcW w:w="762" w:type="dxa"/>
            <w:tcBorders>
              <w:top w:val="nil"/>
              <w:left w:val="nil"/>
              <w:bottom w:val="nil"/>
              <w:right w:val="nil"/>
            </w:tcBorders>
            <w:shd w:val="clear" w:color="auto" w:fill="auto"/>
            <w:noWrap/>
            <w:vAlign w:val="center"/>
            <w:hideMark/>
          </w:tcPr>
          <w:p w14:paraId="00699B3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c>
          <w:tcPr>
            <w:tcW w:w="808" w:type="dxa"/>
            <w:tcBorders>
              <w:top w:val="nil"/>
              <w:left w:val="nil"/>
              <w:bottom w:val="nil"/>
              <w:right w:val="single" w:sz="4" w:space="0" w:color="auto"/>
            </w:tcBorders>
            <w:shd w:val="clear" w:color="auto" w:fill="auto"/>
            <w:noWrap/>
            <w:vAlign w:val="center"/>
            <w:hideMark/>
          </w:tcPr>
          <w:p w14:paraId="6E751147"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1C21F060" w14:textId="77777777" w:rsidTr="000F27C1">
        <w:trPr>
          <w:trHeight w:val="295"/>
        </w:trPr>
        <w:tc>
          <w:tcPr>
            <w:tcW w:w="967" w:type="dxa"/>
            <w:tcBorders>
              <w:top w:val="nil"/>
              <w:left w:val="nil"/>
              <w:bottom w:val="nil"/>
              <w:right w:val="nil"/>
            </w:tcBorders>
            <w:shd w:val="clear" w:color="auto" w:fill="auto"/>
            <w:noWrap/>
            <w:vAlign w:val="bottom"/>
            <w:hideMark/>
          </w:tcPr>
          <w:p w14:paraId="4B8F657A"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DLRoads</w:t>
            </w:r>
          </w:p>
        </w:tc>
        <w:tc>
          <w:tcPr>
            <w:tcW w:w="792" w:type="dxa"/>
            <w:tcBorders>
              <w:top w:val="nil"/>
              <w:left w:val="nil"/>
              <w:bottom w:val="nil"/>
              <w:right w:val="nil"/>
            </w:tcBorders>
            <w:shd w:val="clear" w:color="auto" w:fill="auto"/>
            <w:noWrap/>
            <w:vAlign w:val="center"/>
            <w:hideMark/>
          </w:tcPr>
          <w:p w14:paraId="5734D209" w14:textId="6033AC8A"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0.002</w:t>
            </w:r>
          </w:p>
        </w:tc>
        <w:tc>
          <w:tcPr>
            <w:tcW w:w="675" w:type="dxa"/>
            <w:tcBorders>
              <w:top w:val="nil"/>
              <w:left w:val="nil"/>
              <w:bottom w:val="nil"/>
              <w:right w:val="nil"/>
            </w:tcBorders>
            <w:shd w:val="clear" w:color="auto" w:fill="auto"/>
            <w:noWrap/>
            <w:vAlign w:val="center"/>
            <w:hideMark/>
          </w:tcPr>
          <w:p w14:paraId="206A7F82" w14:textId="093552BA"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622" w:type="dxa"/>
            <w:tcBorders>
              <w:top w:val="nil"/>
              <w:left w:val="nil"/>
              <w:bottom w:val="nil"/>
              <w:right w:val="nil"/>
            </w:tcBorders>
            <w:shd w:val="clear" w:color="auto" w:fill="auto"/>
            <w:noWrap/>
            <w:vAlign w:val="center"/>
            <w:hideMark/>
          </w:tcPr>
          <w:p w14:paraId="30AA68B5" w14:textId="7A94F646"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-0.113</w:t>
            </w:r>
          </w:p>
        </w:tc>
        <w:tc>
          <w:tcPr>
            <w:tcW w:w="589" w:type="dxa"/>
            <w:tcBorders>
              <w:top w:val="nil"/>
              <w:left w:val="nil"/>
              <w:bottom w:val="nil"/>
              <w:right w:val="nil"/>
            </w:tcBorders>
            <w:shd w:val="clear" w:color="auto" w:fill="auto"/>
            <w:noWrap/>
            <w:vAlign w:val="center"/>
            <w:hideMark/>
          </w:tcPr>
          <w:p w14:paraId="147FB05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75" w:type="dxa"/>
            <w:tcBorders>
              <w:top w:val="nil"/>
              <w:left w:val="nil"/>
              <w:bottom w:val="nil"/>
              <w:right w:val="nil"/>
            </w:tcBorders>
            <w:shd w:val="clear" w:color="auto" w:fill="auto"/>
            <w:noWrap/>
            <w:vAlign w:val="center"/>
            <w:hideMark/>
          </w:tcPr>
          <w:p w14:paraId="019D93A4" w14:textId="2CE1999B"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46" w:type="dxa"/>
            <w:tcBorders>
              <w:top w:val="nil"/>
              <w:left w:val="nil"/>
              <w:bottom w:val="nil"/>
              <w:right w:val="nil"/>
            </w:tcBorders>
            <w:shd w:val="clear" w:color="auto" w:fill="auto"/>
            <w:noWrap/>
            <w:vAlign w:val="center"/>
            <w:hideMark/>
          </w:tcPr>
          <w:p w14:paraId="1535A25E" w14:textId="4FFAF41D"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0.024</w:t>
            </w:r>
          </w:p>
        </w:tc>
        <w:tc>
          <w:tcPr>
            <w:tcW w:w="631" w:type="dxa"/>
            <w:tcBorders>
              <w:top w:val="nil"/>
              <w:left w:val="nil"/>
              <w:bottom w:val="nil"/>
              <w:right w:val="nil"/>
            </w:tcBorders>
            <w:shd w:val="clear" w:color="auto" w:fill="auto"/>
            <w:noWrap/>
            <w:vAlign w:val="center"/>
            <w:hideMark/>
          </w:tcPr>
          <w:p w14:paraId="45A2B4EF" w14:textId="630642E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2.35</w:t>
            </w:r>
            <w:r w:rsidR="00F63DCA" w:rsidRPr="00AB4D2E">
              <w:rPr>
                <w:rFonts w:cstheme="minorHAnsi"/>
                <w:color w:val="000000"/>
                <w:sz w:val="12"/>
                <w:szCs w:val="12"/>
              </w:rPr>
              <w:t>0</w:t>
            </w:r>
          </w:p>
        </w:tc>
        <w:tc>
          <w:tcPr>
            <w:tcW w:w="675" w:type="dxa"/>
            <w:tcBorders>
              <w:top w:val="nil"/>
              <w:left w:val="nil"/>
              <w:bottom w:val="nil"/>
              <w:right w:val="nil"/>
            </w:tcBorders>
            <w:shd w:val="clear" w:color="auto" w:fill="auto"/>
            <w:noWrap/>
            <w:vAlign w:val="center"/>
            <w:hideMark/>
          </w:tcPr>
          <w:p w14:paraId="0E04106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-0.364</w:t>
            </w:r>
          </w:p>
        </w:tc>
        <w:tc>
          <w:tcPr>
            <w:tcW w:w="610" w:type="dxa"/>
            <w:tcBorders>
              <w:top w:val="nil"/>
              <w:left w:val="nil"/>
              <w:bottom w:val="nil"/>
              <w:right w:val="nil"/>
            </w:tcBorders>
            <w:shd w:val="clear" w:color="auto" w:fill="auto"/>
            <w:noWrap/>
            <w:vAlign w:val="center"/>
            <w:hideMark/>
          </w:tcPr>
          <w:p w14:paraId="4CF6EE6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-4.7</w:t>
            </w:r>
          </w:p>
        </w:tc>
        <w:tc>
          <w:tcPr>
            <w:tcW w:w="763" w:type="dxa"/>
            <w:tcBorders>
              <w:top w:val="nil"/>
              <w:left w:val="single" w:sz="4" w:space="0" w:color="auto"/>
              <w:bottom w:val="nil"/>
              <w:right w:val="nil"/>
            </w:tcBorders>
            <w:shd w:val="clear" w:color="auto" w:fill="auto"/>
            <w:noWrap/>
            <w:vAlign w:val="center"/>
            <w:hideMark/>
          </w:tcPr>
          <w:p w14:paraId="3825BAB8"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0.0188*</w:t>
            </w:r>
          </w:p>
        </w:tc>
        <w:tc>
          <w:tcPr>
            <w:tcW w:w="762" w:type="dxa"/>
            <w:tcBorders>
              <w:top w:val="nil"/>
              <w:left w:val="nil"/>
              <w:bottom w:val="nil"/>
              <w:right w:val="nil"/>
            </w:tcBorders>
            <w:shd w:val="clear" w:color="auto" w:fill="auto"/>
            <w:noWrap/>
            <w:vAlign w:val="center"/>
            <w:hideMark/>
          </w:tcPr>
          <w:p w14:paraId="1A78E6A2"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0.7162</w:t>
            </w:r>
          </w:p>
        </w:tc>
        <w:tc>
          <w:tcPr>
            <w:tcW w:w="808" w:type="dxa"/>
            <w:tcBorders>
              <w:top w:val="nil"/>
              <w:left w:val="nil"/>
              <w:bottom w:val="nil"/>
              <w:right w:val="single" w:sz="4" w:space="0" w:color="auto"/>
            </w:tcBorders>
            <w:shd w:val="clear" w:color="auto" w:fill="auto"/>
            <w:noWrap/>
            <w:vAlign w:val="center"/>
            <w:hideMark/>
          </w:tcPr>
          <w:p w14:paraId="2B349AC3"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413B7922" w14:textId="77777777" w:rsidTr="000F27C1">
        <w:trPr>
          <w:trHeight w:val="295"/>
        </w:trPr>
        <w:tc>
          <w:tcPr>
            <w:tcW w:w="967" w:type="dxa"/>
            <w:tcBorders>
              <w:top w:val="nil"/>
              <w:left w:val="nil"/>
              <w:bottom w:val="nil"/>
              <w:right w:val="nil"/>
            </w:tcBorders>
            <w:shd w:val="clear" w:color="auto" w:fill="auto"/>
            <w:noWrap/>
            <w:vAlign w:val="bottom"/>
            <w:hideMark/>
          </w:tcPr>
          <w:p w14:paraId="5D0F5BEE"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DPCities</w:t>
            </w:r>
          </w:p>
        </w:tc>
        <w:tc>
          <w:tcPr>
            <w:tcW w:w="792" w:type="dxa"/>
            <w:tcBorders>
              <w:top w:val="nil"/>
              <w:left w:val="nil"/>
              <w:bottom w:val="nil"/>
              <w:right w:val="nil"/>
            </w:tcBorders>
            <w:shd w:val="clear" w:color="auto" w:fill="auto"/>
            <w:noWrap/>
            <w:vAlign w:val="center"/>
            <w:hideMark/>
          </w:tcPr>
          <w:p w14:paraId="3146971F" w14:textId="396F1C40"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-0.002</w:t>
            </w:r>
          </w:p>
        </w:tc>
        <w:tc>
          <w:tcPr>
            <w:tcW w:w="675" w:type="dxa"/>
            <w:tcBorders>
              <w:top w:val="nil"/>
              <w:left w:val="nil"/>
              <w:bottom w:val="nil"/>
              <w:right w:val="nil"/>
            </w:tcBorders>
            <w:shd w:val="clear" w:color="auto" w:fill="auto"/>
            <w:noWrap/>
            <w:vAlign w:val="center"/>
            <w:hideMark/>
          </w:tcPr>
          <w:p w14:paraId="7C205C0C" w14:textId="2AC2AB60"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622" w:type="dxa"/>
            <w:tcBorders>
              <w:top w:val="nil"/>
              <w:left w:val="nil"/>
              <w:bottom w:val="nil"/>
              <w:right w:val="nil"/>
            </w:tcBorders>
            <w:shd w:val="clear" w:color="auto" w:fill="auto"/>
            <w:noWrap/>
            <w:vAlign w:val="center"/>
            <w:hideMark/>
          </w:tcPr>
          <w:p w14:paraId="007825C2"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-0.065</w:t>
            </w:r>
          </w:p>
        </w:tc>
        <w:tc>
          <w:tcPr>
            <w:tcW w:w="589" w:type="dxa"/>
            <w:tcBorders>
              <w:top w:val="nil"/>
              <w:left w:val="nil"/>
              <w:bottom w:val="nil"/>
              <w:right w:val="nil"/>
            </w:tcBorders>
            <w:shd w:val="clear" w:color="auto" w:fill="auto"/>
            <w:noWrap/>
            <w:vAlign w:val="center"/>
            <w:hideMark/>
          </w:tcPr>
          <w:p w14:paraId="1C4D3E73" w14:textId="4110A753"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B0644E" w:rsidRPr="00AB4D2E">
              <w:rPr>
                <w:rFonts w:cstheme="minorHAnsi"/>
                <w:color w:val="000000"/>
                <w:sz w:val="12"/>
                <w:szCs w:val="12"/>
              </w:rPr>
              <w:t>1</w:t>
            </w:r>
          </w:p>
        </w:tc>
        <w:tc>
          <w:tcPr>
            <w:tcW w:w="675" w:type="dxa"/>
            <w:tcBorders>
              <w:top w:val="nil"/>
              <w:left w:val="nil"/>
              <w:bottom w:val="nil"/>
              <w:right w:val="nil"/>
            </w:tcBorders>
            <w:shd w:val="clear" w:color="auto" w:fill="auto"/>
            <w:noWrap/>
            <w:vAlign w:val="center"/>
            <w:hideMark/>
          </w:tcPr>
          <w:p w14:paraId="5A617361" w14:textId="6A0CADC2"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450D2A" w:rsidRPr="00AB4D2E">
              <w:rPr>
                <w:rFonts w:cstheme="minorHAnsi"/>
                <w:color w:val="000000"/>
                <w:sz w:val="12"/>
                <w:szCs w:val="12"/>
              </w:rPr>
              <w:t>1</w:t>
            </w:r>
          </w:p>
        </w:tc>
        <w:tc>
          <w:tcPr>
            <w:tcW w:w="646" w:type="dxa"/>
            <w:tcBorders>
              <w:top w:val="nil"/>
              <w:left w:val="nil"/>
              <w:bottom w:val="nil"/>
              <w:right w:val="nil"/>
            </w:tcBorders>
            <w:shd w:val="clear" w:color="auto" w:fill="auto"/>
            <w:noWrap/>
            <w:vAlign w:val="center"/>
            <w:hideMark/>
          </w:tcPr>
          <w:p w14:paraId="67943F05" w14:textId="23F38325"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w:t>
            </w:r>
            <w:r w:rsidR="00F63DCA" w:rsidRPr="00AB4D2E">
              <w:rPr>
                <w:rFonts w:cstheme="minorHAnsi"/>
                <w:color w:val="000000"/>
                <w:sz w:val="12"/>
                <w:szCs w:val="12"/>
              </w:rPr>
              <w:t>10</w:t>
            </w:r>
          </w:p>
        </w:tc>
        <w:tc>
          <w:tcPr>
            <w:tcW w:w="631" w:type="dxa"/>
            <w:tcBorders>
              <w:top w:val="nil"/>
              <w:left w:val="nil"/>
              <w:bottom w:val="nil"/>
              <w:right w:val="nil"/>
            </w:tcBorders>
            <w:shd w:val="clear" w:color="auto" w:fill="auto"/>
            <w:noWrap/>
            <w:vAlign w:val="center"/>
            <w:hideMark/>
          </w:tcPr>
          <w:p w14:paraId="3D427ED4"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-3.371</w:t>
            </w:r>
          </w:p>
        </w:tc>
        <w:tc>
          <w:tcPr>
            <w:tcW w:w="675" w:type="dxa"/>
            <w:tcBorders>
              <w:top w:val="nil"/>
              <w:left w:val="nil"/>
              <w:bottom w:val="nil"/>
              <w:right w:val="nil"/>
            </w:tcBorders>
            <w:shd w:val="clear" w:color="auto" w:fill="auto"/>
            <w:noWrap/>
            <w:vAlign w:val="center"/>
            <w:hideMark/>
          </w:tcPr>
          <w:p w14:paraId="3B0866F4"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0.695</w:t>
            </w:r>
          </w:p>
        </w:tc>
        <w:tc>
          <w:tcPr>
            <w:tcW w:w="610" w:type="dxa"/>
            <w:tcBorders>
              <w:top w:val="nil"/>
              <w:left w:val="nil"/>
              <w:bottom w:val="nil"/>
              <w:right w:val="nil"/>
            </w:tcBorders>
            <w:shd w:val="clear" w:color="auto" w:fill="auto"/>
            <w:noWrap/>
            <w:vAlign w:val="center"/>
            <w:hideMark/>
          </w:tcPr>
          <w:p w14:paraId="4C62739C"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-6.868</w:t>
            </w:r>
          </w:p>
        </w:tc>
        <w:tc>
          <w:tcPr>
            <w:tcW w:w="763" w:type="dxa"/>
            <w:tcBorders>
              <w:top w:val="nil"/>
              <w:left w:val="single" w:sz="4" w:space="0" w:color="auto"/>
              <w:bottom w:val="nil"/>
              <w:right w:val="nil"/>
            </w:tcBorders>
            <w:shd w:val="clear" w:color="auto" w:fill="auto"/>
            <w:noWrap/>
            <w:vAlign w:val="center"/>
            <w:hideMark/>
          </w:tcPr>
          <w:p w14:paraId="77FA00C2"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0.0007***</w:t>
            </w:r>
          </w:p>
        </w:tc>
        <w:tc>
          <w:tcPr>
            <w:tcW w:w="762" w:type="dxa"/>
            <w:tcBorders>
              <w:top w:val="nil"/>
              <w:left w:val="nil"/>
              <w:bottom w:val="nil"/>
              <w:right w:val="nil"/>
            </w:tcBorders>
            <w:shd w:val="clear" w:color="auto" w:fill="auto"/>
            <w:noWrap/>
            <w:vAlign w:val="center"/>
            <w:hideMark/>
          </w:tcPr>
          <w:p w14:paraId="4CFC118E"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0.4872</w:t>
            </w:r>
          </w:p>
        </w:tc>
        <w:tc>
          <w:tcPr>
            <w:tcW w:w="808" w:type="dxa"/>
            <w:tcBorders>
              <w:top w:val="nil"/>
              <w:left w:val="nil"/>
              <w:bottom w:val="nil"/>
              <w:right w:val="single" w:sz="4" w:space="0" w:color="auto"/>
            </w:tcBorders>
            <w:shd w:val="clear" w:color="auto" w:fill="auto"/>
            <w:noWrap/>
            <w:vAlign w:val="center"/>
            <w:hideMark/>
          </w:tcPr>
          <w:p w14:paraId="7D3A50D2"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278278A5" w14:textId="77777777" w:rsidTr="000F27C1">
        <w:trPr>
          <w:trHeight w:val="295"/>
        </w:trPr>
        <w:tc>
          <w:tcPr>
            <w:tcW w:w="967" w:type="dxa"/>
            <w:tcBorders>
              <w:top w:val="nil"/>
              <w:left w:val="nil"/>
              <w:bottom w:val="nil"/>
              <w:right w:val="nil"/>
            </w:tcBorders>
            <w:shd w:val="clear" w:color="auto" w:fill="auto"/>
            <w:noWrap/>
            <w:vAlign w:val="bottom"/>
            <w:hideMark/>
          </w:tcPr>
          <w:p w14:paraId="21A2D61C"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DSRoads</w:t>
            </w:r>
          </w:p>
        </w:tc>
        <w:tc>
          <w:tcPr>
            <w:tcW w:w="792" w:type="dxa"/>
            <w:tcBorders>
              <w:top w:val="nil"/>
              <w:left w:val="nil"/>
              <w:bottom w:val="nil"/>
              <w:right w:val="nil"/>
            </w:tcBorders>
            <w:shd w:val="clear" w:color="auto" w:fill="auto"/>
            <w:noWrap/>
            <w:vAlign w:val="center"/>
            <w:hideMark/>
          </w:tcPr>
          <w:p w14:paraId="7EFCB1F5" w14:textId="4F43593C"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B0644E" w:rsidRPr="00AB4D2E">
              <w:rPr>
                <w:rFonts w:cstheme="minorHAnsi"/>
                <w:color w:val="000000"/>
                <w:sz w:val="12"/>
                <w:szCs w:val="12"/>
              </w:rPr>
              <w:t>7</w:t>
            </w:r>
          </w:p>
        </w:tc>
        <w:tc>
          <w:tcPr>
            <w:tcW w:w="675" w:type="dxa"/>
            <w:tcBorders>
              <w:top w:val="nil"/>
              <w:left w:val="nil"/>
              <w:bottom w:val="nil"/>
              <w:right w:val="nil"/>
            </w:tcBorders>
            <w:shd w:val="clear" w:color="auto" w:fill="auto"/>
            <w:noWrap/>
            <w:vAlign w:val="center"/>
            <w:hideMark/>
          </w:tcPr>
          <w:p w14:paraId="3F43F047" w14:textId="7BC5DBD1"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0.032</w:t>
            </w:r>
          </w:p>
        </w:tc>
        <w:tc>
          <w:tcPr>
            <w:tcW w:w="622" w:type="dxa"/>
            <w:tcBorders>
              <w:top w:val="nil"/>
              <w:left w:val="nil"/>
              <w:bottom w:val="nil"/>
              <w:right w:val="nil"/>
            </w:tcBorders>
            <w:shd w:val="clear" w:color="auto" w:fill="auto"/>
            <w:noWrap/>
            <w:vAlign w:val="center"/>
            <w:hideMark/>
          </w:tcPr>
          <w:p w14:paraId="2C659967"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-0.009</w:t>
            </w:r>
          </w:p>
        </w:tc>
        <w:tc>
          <w:tcPr>
            <w:tcW w:w="589" w:type="dxa"/>
            <w:tcBorders>
              <w:top w:val="nil"/>
              <w:left w:val="nil"/>
              <w:bottom w:val="nil"/>
              <w:right w:val="nil"/>
            </w:tcBorders>
            <w:shd w:val="clear" w:color="auto" w:fill="auto"/>
            <w:noWrap/>
            <w:vAlign w:val="center"/>
            <w:hideMark/>
          </w:tcPr>
          <w:p w14:paraId="50BAD471"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0.004</w:t>
            </w:r>
          </w:p>
        </w:tc>
        <w:tc>
          <w:tcPr>
            <w:tcW w:w="675" w:type="dxa"/>
            <w:tcBorders>
              <w:top w:val="nil"/>
              <w:left w:val="nil"/>
              <w:bottom w:val="nil"/>
              <w:right w:val="nil"/>
            </w:tcBorders>
            <w:shd w:val="clear" w:color="auto" w:fill="auto"/>
            <w:noWrap/>
            <w:vAlign w:val="center"/>
            <w:hideMark/>
          </w:tcPr>
          <w:p w14:paraId="2A74CC97" w14:textId="4BE889CA"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9A1DAC" w:rsidRPr="00AB4D2E">
              <w:rPr>
                <w:rFonts w:cstheme="minorHAnsi"/>
                <w:color w:val="000000"/>
                <w:sz w:val="12"/>
                <w:szCs w:val="12"/>
              </w:rPr>
              <w:t>8</w:t>
            </w:r>
          </w:p>
        </w:tc>
        <w:tc>
          <w:tcPr>
            <w:tcW w:w="646" w:type="dxa"/>
            <w:tcBorders>
              <w:top w:val="nil"/>
              <w:left w:val="nil"/>
              <w:bottom w:val="nil"/>
              <w:right w:val="nil"/>
            </w:tcBorders>
            <w:shd w:val="clear" w:color="auto" w:fill="auto"/>
            <w:noWrap/>
            <w:vAlign w:val="center"/>
            <w:hideMark/>
          </w:tcPr>
          <w:p w14:paraId="5DD99904" w14:textId="22DA71F4"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0.018</w:t>
            </w:r>
          </w:p>
        </w:tc>
        <w:tc>
          <w:tcPr>
            <w:tcW w:w="631" w:type="dxa"/>
            <w:tcBorders>
              <w:top w:val="nil"/>
              <w:left w:val="nil"/>
              <w:bottom w:val="nil"/>
              <w:right w:val="nil"/>
            </w:tcBorders>
            <w:shd w:val="clear" w:color="auto" w:fill="auto"/>
            <w:noWrap/>
            <w:vAlign w:val="center"/>
            <w:hideMark/>
          </w:tcPr>
          <w:p w14:paraId="7FD01853"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-1.601</w:t>
            </w:r>
          </w:p>
        </w:tc>
        <w:tc>
          <w:tcPr>
            <w:tcW w:w="675" w:type="dxa"/>
            <w:tcBorders>
              <w:top w:val="nil"/>
              <w:left w:val="nil"/>
              <w:bottom w:val="nil"/>
              <w:right w:val="nil"/>
            </w:tcBorders>
            <w:shd w:val="clear" w:color="auto" w:fill="auto"/>
            <w:noWrap/>
            <w:vAlign w:val="center"/>
            <w:hideMark/>
          </w:tcPr>
          <w:p w14:paraId="6D421B3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4.247</w:t>
            </w:r>
          </w:p>
        </w:tc>
        <w:tc>
          <w:tcPr>
            <w:tcW w:w="610" w:type="dxa"/>
            <w:tcBorders>
              <w:top w:val="nil"/>
              <w:left w:val="nil"/>
              <w:bottom w:val="nil"/>
              <w:right w:val="nil"/>
            </w:tcBorders>
            <w:shd w:val="clear" w:color="auto" w:fill="auto"/>
            <w:noWrap/>
            <w:vAlign w:val="center"/>
            <w:hideMark/>
          </w:tcPr>
          <w:p w14:paraId="1C1BF35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-0.497</w:t>
            </w:r>
          </w:p>
        </w:tc>
        <w:tc>
          <w:tcPr>
            <w:tcW w:w="763" w:type="dxa"/>
            <w:tcBorders>
              <w:top w:val="nil"/>
              <w:left w:val="single" w:sz="4" w:space="0" w:color="auto"/>
              <w:bottom w:val="nil"/>
              <w:right w:val="nil"/>
            </w:tcBorders>
            <w:shd w:val="clear" w:color="auto" w:fill="auto"/>
            <w:noWrap/>
            <w:vAlign w:val="center"/>
            <w:hideMark/>
          </w:tcPr>
          <w:p w14:paraId="77540887"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0.1094</w:t>
            </w:r>
          </w:p>
        </w:tc>
        <w:tc>
          <w:tcPr>
            <w:tcW w:w="762" w:type="dxa"/>
            <w:tcBorders>
              <w:top w:val="nil"/>
              <w:left w:val="nil"/>
              <w:bottom w:val="nil"/>
              <w:right w:val="nil"/>
            </w:tcBorders>
            <w:shd w:val="clear" w:color="auto" w:fill="auto"/>
            <w:noWrap/>
            <w:vAlign w:val="center"/>
            <w:hideMark/>
          </w:tcPr>
          <w:p w14:paraId="6DD829C3"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c>
          <w:tcPr>
            <w:tcW w:w="808" w:type="dxa"/>
            <w:tcBorders>
              <w:top w:val="nil"/>
              <w:left w:val="nil"/>
              <w:bottom w:val="nil"/>
              <w:right w:val="single" w:sz="4" w:space="0" w:color="auto"/>
            </w:tcBorders>
            <w:shd w:val="clear" w:color="auto" w:fill="auto"/>
            <w:noWrap/>
            <w:vAlign w:val="center"/>
            <w:hideMark/>
          </w:tcPr>
          <w:p w14:paraId="18C70E76" w14:textId="06FCAFCC"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0.619</w:t>
            </w:r>
            <w:r w:rsidR="000251CE">
              <w:rPr>
                <w:rFonts w:cstheme="minorHAnsi"/>
                <w:color w:val="000000"/>
                <w:sz w:val="12"/>
                <w:szCs w:val="12"/>
              </w:rPr>
              <w:t>3</w:t>
            </w:r>
          </w:p>
        </w:tc>
      </w:tr>
      <w:tr w:rsidR="00F859C9" w:rsidRPr="00AB4D2E" w14:paraId="74E596DF" w14:textId="77777777" w:rsidTr="000F27C1">
        <w:trPr>
          <w:trHeight w:val="295"/>
        </w:trPr>
        <w:tc>
          <w:tcPr>
            <w:tcW w:w="967" w:type="dxa"/>
            <w:tcBorders>
              <w:top w:val="nil"/>
              <w:left w:val="nil"/>
              <w:bottom w:val="nil"/>
              <w:right w:val="nil"/>
            </w:tcBorders>
            <w:shd w:val="clear" w:color="auto" w:fill="auto"/>
            <w:noWrap/>
            <w:vAlign w:val="bottom"/>
            <w:hideMark/>
          </w:tcPr>
          <w:p w14:paraId="535B191F"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DACities</w:t>
            </w:r>
          </w:p>
        </w:tc>
        <w:tc>
          <w:tcPr>
            <w:tcW w:w="792" w:type="dxa"/>
            <w:tcBorders>
              <w:top w:val="nil"/>
              <w:left w:val="nil"/>
              <w:bottom w:val="nil"/>
              <w:right w:val="nil"/>
            </w:tcBorders>
            <w:shd w:val="clear" w:color="auto" w:fill="auto"/>
            <w:noWrap/>
            <w:vAlign w:val="center"/>
            <w:hideMark/>
          </w:tcPr>
          <w:p w14:paraId="68DFA987" w14:textId="5EC0756C"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-0.2</w:t>
            </w:r>
            <w:r w:rsidR="00B0644E" w:rsidRPr="00AB4D2E">
              <w:rPr>
                <w:rFonts w:cstheme="minorHAnsi"/>
                <w:color w:val="000000"/>
                <w:sz w:val="12"/>
                <w:szCs w:val="12"/>
              </w:rPr>
              <w:t>40</w:t>
            </w:r>
          </w:p>
        </w:tc>
        <w:tc>
          <w:tcPr>
            <w:tcW w:w="675" w:type="dxa"/>
            <w:tcBorders>
              <w:top w:val="nil"/>
              <w:left w:val="nil"/>
              <w:bottom w:val="nil"/>
              <w:right w:val="nil"/>
            </w:tcBorders>
            <w:shd w:val="clear" w:color="auto" w:fill="auto"/>
            <w:noWrap/>
            <w:vAlign w:val="center"/>
            <w:hideMark/>
          </w:tcPr>
          <w:p w14:paraId="67779621" w14:textId="6D5681E9"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-0.117</w:t>
            </w:r>
          </w:p>
        </w:tc>
        <w:tc>
          <w:tcPr>
            <w:tcW w:w="622" w:type="dxa"/>
            <w:tcBorders>
              <w:top w:val="nil"/>
              <w:left w:val="nil"/>
              <w:bottom w:val="nil"/>
              <w:right w:val="nil"/>
            </w:tcBorders>
            <w:shd w:val="clear" w:color="auto" w:fill="auto"/>
            <w:noWrap/>
            <w:vAlign w:val="center"/>
            <w:hideMark/>
          </w:tcPr>
          <w:p w14:paraId="71C75404" w14:textId="0D1256B8"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0.04</w:t>
            </w:r>
            <w:r w:rsidR="00B0644E" w:rsidRPr="00AB4D2E">
              <w:rPr>
                <w:rFonts w:cstheme="minorHAnsi"/>
                <w:color w:val="000000"/>
                <w:sz w:val="12"/>
                <w:szCs w:val="12"/>
              </w:rPr>
              <w:t>7</w:t>
            </w:r>
          </w:p>
        </w:tc>
        <w:tc>
          <w:tcPr>
            <w:tcW w:w="589" w:type="dxa"/>
            <w:tcBorders>
              <w:top w:val="nil"/>
              <w:left w:val="nil"/>
              <w:bottom w:val="nil"/>
              <w:right w:val="nil"/>
            </w:tcBorders>
            <w:shd w:val="clear" w:color="auto" w:fill="auto"/>
            <w:noWrap/>
            <w:vAlign w:val="center"/>
            <w:hideMark/>
          </w:tcPr>
          <w:p w14:paraId="06EF0A1A" w14:textId="02A9E232"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0.045</w:t>
            </w:r>
          </w:p>
        </w:tc>
        <w:tc>
          <w:tcPr>
            <w:tcW w:w="675" w:type="dxa"/>
            <w:tcBorders>
              <w:top w:val="nil"/>
              <w:left w:val="nil"/>
              <w:bottom w:val="nil"/>
              <w:right w:val="nil"/>
            </w:tcBorders>
            <w:shd w:val="clear" w:color="auto" w:fill="auto"/>
            <w:noWrap/>
            <w:vAlign w:val="center"/>
            <w:hideMark/>
          </w:tcPr>
          <w:p w14:paraId="1B63499C" w14:textId="5AF33452"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0.02</w:t>
            </w:r>
            <w:r w:rsidR="009A1DAC" w:rsidRPr="00AB4D2E">
              <w:rPr>
                <w:rFonts w:cstheme="minorHAnsi"/>
                <w:color w:val="000000"/>
                <w:sz w:val="12"/>
                <w:szCs w:val="12"/>
              </w:rPr>
              <w:t>1</w:t>
            </w:r>
          </w:p>
        </w:tc>
        <w:tc>
          <w:tcPr>
            <w:tcW w:w="646" w:type="dxa"/>
            <w:tcBorders>
              <w:top w:val="nil"/>
              <w:left w:val="nil"/>
              <w:bottom w:val="nil"/>
              <w:right w:val="nil"/>
            </w:tcBorders>
            <w:shd w:val="clear" w:color="auto" w:fill="auto"/>
            <w:noWrap/>
            <w:vAlign w:val="center"/>
            <w:hideMark/>
          </w:tcPr>
          <w:p w14:paraId="4B0BA80F" w14:textId="5017245A"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w:t>
            </w:r>
            <w:r w:rsidR="00215E6A" w:rsidRPr="00AB4D2E">
              <w:rPr>
                <w:rFonts w:cstheme="minorHAnsi"/>
                <w:color w:val="000000"/>
                <w:sz w:val="12"/>
                <w:szCs w:val="12"/>
              </w:rPr>
              <w:t>3</w:t>
            </w:r>
          </w:p>
        </w:tc>
        <w:tc>
          <w:tcPr>
            <w:tcW w:w="631" w:type="dxa"/>
            <w:tcBorders>
              <w:top w:val="nil"/>
              <w:left w:val="nil"/>
              <w:bottom w:val="nil"/>
              <w:right w:val="nil"/>
            </w:tcBorders>
            <w:shd w:val="clear" w:color="auto" w:fill="auto"/>
            <w:noWrap/>
            <w:vAlign w:val="center"/>
            <w:hideMark/>
          </w:tcPr>
          <w:p w14:paraId="193B1EBE"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-5.282</w:t>
            </w:r>
          </w:p>
        </w:tc>
        <w:tc>
          <w:tcPr>
            <w:tcW w:w="675" w:type="dxa"/>
            <w:tcBorders>
              <w:top w:val="nil"/>
              <w:left w:val="nil"/>
              <w:bottom w:val="nil"/>
              <w:right w:val="nil"/>
            </w:tcBorders>
            <w:shd w:val="clear" w:color="auto" w:fill="auto"/>
            <w:noWrap/>
            <w:vAlign w:val="center"/>
            <w:hideMark/>
          </w:tcPr>
          <w:p w14:paraId="0C1729F5"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-5.678</w:t>
            </w:r>
          </w:p>
        </w:tc>
        <w:tc>
          <w:tcPr>
            <w:tcW w:w="610" w:type="dxa"/>
            <w:tcBorders>
              <w:top w:val="nil"/>
              <w:left w:val="nil"/>
              <w:bottom w:val="nil"/>
              <w:right w:val="nil"/>
            </w:tcBorders>
            <w:shd w:val="clear" w:color="auto" w:fill="auto"/>
            <w:noWrap/>
            <w:vAlign w:val="center"/>
            <w:hideMark/>
          </w:tcPr>
          <w:p w14:paraId="6FB141B1"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3.672</w:t>
            </w:r>
          </w:p>
        </w:tc>
        <w:tc>
          <w:tcPr>
            <w:tcW w:w="763" w:type="dxa"/>
            <w:tcBorders>
              <w:top w:val="nil"/>
              <w:left w:val="single" w:sz="4" w:space="0" w:color="auto"/>
              <w:bottom w:val="nil"/>
              <w:right w:val="nil"/>
            </w:tcBorders>
            <w:shd w:val="clear" w:color="auto" w:fill="auto"/>
            <w:noWrap/>
            <w:vAlign w:val="center"/>
            <w:hideMark/>
          </w:tcPr>
          <w:p w14:paraId="7E320B26"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762" w:type="dxa"/>
            <w:tcBorders>
              <w:top w:val="nil"/>
              <w:left w:val="nil"/>
              <w:bottom w:val="nil"/>
              <w:right w:val="nil"/>
            </w:tcBorders>
            <w:shd w:val="clear" w:color="auto" w:fill="auto"/>
            <w:noWrap/>
            <w:vAlign w:val="center"/>
            <w:hideMark/>
          </w:tcPr>
          <w:p w14:paraId="60E2A7B7"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c>
          <w:tcPr>
            <w:tcW w:w="808" w:type="dxa"/>
            <w:tcBorders>
              <w:top w:val="nil"/>
              <w:left w:val="nil"/>
              <w:bottom w:val="nil"/>
              <w:right w:val="single" w:sz="4" w:space="0" w:color="auto"/>
            </w:tcBorders>
            <w:shd w:val="clear" w:color="auto" w:fill="auto"/>
            <w:noWrap/>
            <w:vAlign w:val="center"/>
            <w:hideMark/>
          </w:tcPr>
          <w:p w14:paraId="7248FB82"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0.0002***</w:t>
            </w:r>
          </w:p>
        </w:tc>
      </w:tr>
      <w:tr w:rsidR="00F859C9" w:rsidRPr="00AB4D2E" w14:paraId="2BF7528C" w14:textId="77777777" w:rsidTr="000F27C1">
        <w:trPr>
          <w:trHeight w:val="295"/>
        </w:trPr>
        <w:tc>
          <w:tcPr>
            <w:tcW w:w="967" w:type="dxa"/>
            <w:tcBorders>
              <w:top w:val="nil"/>
              <w:left w:val="nil"/>
              <w:bottom w:val="nil"/>
              <w:right w:val="nil"/>
            </w:tcBorders>
            <w:shd w:val="clear" w:color="auto" w:fill="auto"/>
            <w:noWrap/>
            <w:vAlign w:val="bottom"/>
            <w:hideMark/>
          </w:tcPr>
          <w:p w14:paraId="26D9D18A"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DARoads</w:t>
            </w:r>
          </w:p>
        </w:tc>
        <w:tc>
          <w:tcPr>
            <w:tcW w:w="792" w:type="dxa"/>
            <w:tcBorders>
              <w:top w:val="nil"/>
              <w:left w:val="nil"/>
              <w:bottom w:val="nil"/>
              <w:right w:val="nil"/>
            </w:tcBorders>
            <w:shd w:val="clear" w:color="auto" w:fill="auto"/>
            <w:noWrap/>
            <w:vAlign w:val="center"/>
            <w:hideMark/>
          </w:tcPr>
          <w:p w14:paraId="0D485D99"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-0.166</w:t>
            </w:r>
          </w:p>
        </w:tc>
        <w:tc>
          <w:tcPr>
            <w:tcW w:w="675" w:type="dxa"/>
            <w:tcBorders>
              <w:top w:val="nil"/>
              <w:left w:val="nil"/>
              <w:bottom w:val="nil"/>
              <w:right w:val="nil"/>
            </w:tcBorders>
            <w:shd w:val="clear" w:color="auto" w:fill="auto"/>
            <w:noWrap/>
            <w:vAlign w:val="center"/>
            <w:hideMark/>
          </w:tcPr>
          <w:p w14:paraId="2C3B6E7B"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-0.338</w:t>
            </w:r>
          </w:p>
        </w:tc>
        <w:tc>
          <w:tcPr>
            <w:tcW w:w="622" w:type="dxa"/>
            <w:tcBorders>
              <w:top w:val="nil"/>
              <w:left w:val="nil"/>
              <w:bottom w:val="nil"/>
              <w:right w:val="nil"/>
            </w:tcBorders>
            <w:shd w:val="clear" w:color="auto" w:fill="auto"/>
            <w:noWrap/>
            <w:vAlign w:val="center"/>
            <w:hideMark/>
          </w:tcPr>
          <w:p w14:paraId="7F0A2B7D" w14:textId="3A9ED66D"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-0.65</w:t>
            </w:r>
            <w:r w:rsidR="00B0644E" w:rsidRPr="00AB4D2E">
              <w:rPr>
                <w:rFonts w:cstheme="minorHAnsi"/>
                <w:color w:val="000000"/>
                <w:sz w:val="12"/>
                <w:szCs w:val="12"/>
              </w:rPr>
              <w:t>6</w:t>
            </w:r>
          </w:p>
        </w:tc>
        <w:tc>
          <w:tcPr>
            <w:tcW w:w="589" w:type="dxa"/>
            <w:tcBorders>
              <w:top w:val="nil"/>
              <w:left w:val="nil"/>
              <w:bottom w:val="nil"/>
              <w:right w:val="nil"/>
            </w:tcBorders>
            <w:shd w:val="clear" w:color="auto" w:fill="auto"/>
            <w:noWrap/>
            <w:vAlign w:val="center"/>
            <w:hideMark/>
          </w:tcPr>
          <w:p w14:paraId="44334D33" w14:textId="7DF6DDDA"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0.065</w:t>
            </w:r>
          </w:p>
        </w:tc>
        <w:tc>
          <w:tcPr>
            <w:tcW w:w="675" w:type="dxa"/>
            <w:tcBorders>
              <w:top w:val="nil"/>
              <w:left w:val="nil"/>
              <w:bottom w:val="nil"/>
              <w:right w:val="nil"/>
            </w:tcBorders>
            <w:shd w:val="clear" w:color="auto" w:fill="auto"/>
            <w:noWrap/>
            <w:vAlign w:val="center"/>
            <w:hideMark/>
          </w:tcPr>
          <w:p w14:paraId="7F2581DA" w14:textId="24619B5D"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0.061</w:t>
            </w:r>
          </w:p>
        </w:tc>
        <w:tc>
          <w:tcPr>
            <w:tcW w:w="646" w:type="dxa"/>
            <w:tcBorders>
              <w:top w:val="nil"/>
              <w:left w:val="nil"/>
              <w:bottom w:val="nil"/>
              <w:right w:val="nil"/>
            </w:tcBorders>
            <w:shd w:val="clear" w:color="auto" w:fill="auto"/>
            <w:noWrap/>
            <w:vAlign w:val="center"/>
            <w:hideMark/>
          </w:tcPr>
          <w:p w14:paraId="5CF390B7" w14:textId="64D5B21A"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0.108</w:t>
            </w:r>
          </w:p>
        </w:tc>
        <w:tc>
          <w:tcPr>
            <w:tcW w:w="631" w:type="dxa"/>
            <w:tcBorders>
              <w:top w:val="nil"/>
              <w:left w:val="nil"/>
              <w:bottom w:val="nil"/>
              <w:right w:val="nil"/>
            </w:tcBorders>
            <w:shd w:val="clear" w:color="auto" w:fill="auto"/>
            <w:noWrap/>
            <w:vAlign w:val="center"/>
            <w:hideMark/>
          </w:tcPr>
          <w:p w14:paraId="07039486"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-2.545</w:t>
            </w:r>
          </w:p>
        </w:tc>
        <w:tc>
          <w:tcPr>
            <w:tcW w:w="675" w:type="dxa"/>
            <w:tcBorders>
              <w:top w:val="nil"/>
              <w:left w:val="nil"/>
              <w:bottom w:val="nil"/>
              <w:right w:val="nil"/>
            </w:tcBorders>
            <w:shd w:val="clear" w:color="auto" w:fill="auto"/>
            <w:noWrap/>
            <w:vAlign w:val="center"/>
            <w:hideMark/>
          </w:tcPr>
          <w:p w14:paraId="2F659C91"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-5.507</w:t>
            </w:r>
          </w:p>
        </w:tc>
        <w:tc>
          <w:tcPr>
            <w:tcW w:w="610" w:type="dxa"/>
            <w:tcBorders>
              <w:top w:val="nil"/>
              <w:left w:val="nil"/>
              <w:bottom w:val="nil"/>
              <w:right w:val="nil"/>
            </w:tcBorders>
            <w:shd w:val="clear" w:color="auto" w:fill="auto"/>
            <w:noWrap/>
            <w:vAlign w:val="center"/>
            <w:hideMark/>
          </w:tcPr>
          <w:p w14:paraId="68342FE1"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-6.048</w:t>
            </w:r>
          </w:p>
        </w:tc>
        <w:tc>
          <w:tcPr>
            <w:tcW w:w="763" w:type="dxa"/>
            <w:tcBorders>
              <w:top w:val="nil"/>
              <w:left w:val="single" w:sz="4" w:space="0" w:color="auto"/>
              <w:bottom w:val="nil"/>
              <w:right w:val="nil"/>
            </w:tcBorders>
            <w:shd w:val="clear" w:color="auto" w:fill="auto"/>
            <w:noWrap/>
            <w:vAlign w:val="center"/>
            <w:hideMark/>
          </w:tcPr>
          <w:p w14:paraId="351DB656"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0.0109</w:t>
            </w:r>
          </w:p>
        </w:tc>
        <w:tc>
          <w:tcPr>
            <w:tcW w:w="762" w:type="dxa"/>
            <w:tcBorders>
              <w:top w:val="nil"/>
              <w:left w:val="nil"/>
              <w:bottom w:val="nil"/>
              <w:right w:val="nil"/>
            </w:tcBorders>
            <w:shd w:val="clear" w:color="auto" w:fill="auto"/>
            <w:noWrap/>
            <w:vAlign w:val="center"/>
            <w:hideMark/>
          </w:tcPr>
          <w:p w14:paraId="4FE8D4C9"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c>
          <w:tcPr>
            <w:tcW w:w="808" w:type="dxa"/>
            <w:tcBorders>
              <w:top w:val="nil"/>
              <w:left w:val="nil"/>
              <w:bottom w:val="nil"/>
              <w:right w:val="single" w:sz="4" w:space="0" w:color="auto"/>
            </w:tcBorders>
            <w:shd w:val="clear" w:color="auto" w:fill="auto"/>
            <w:noWrap/>
            <w:vAlign w:val="center"/>
            <w:hideMark/>
          </w:tcPr>
          <w:p w14:paraId="3238112A"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2CF631A7" w14:textId="77777777" w:rsidTr="000F27C1">
        <w:trPr>
          <w:trHeight w:val="295"/>
        </w:trPr>
        <w:tc>
          <w:tcPr>
            <w:tcW w:w="967" w:type="dxa"/>
            <w:tcBorders>
              <w:top w:val="nil"/>
              <w:left w:val="nil"/>
              <w:bottom w:val="nil"/>
              <w:right w:val="nil"/>
            </w:tcBorders>
            <w:shd w:val="clear" w:color="auto" w:fill="auto"/>
            <w:noWrap/>
            <w:vAlign w:val="bottom"/>
            <w:hideMark/>
          </w:tcPr>
          <w:p w14:paraId="4A2699FA"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DTRoads</w:t>
            </w:r>
          </w:p>
        </w:tc>
        <w:tc>
          <w:tcPr>
            <w:tcW w:w="792" w:type="dxa"/>
            <w:tcBorders>
              <w:top w:val="nil"/>
              <w:left w:val="nil"/>
              <w:bottom w:val="nil"/>
              <w:right w:val="nil"/>
            </w:tcBorders>
            <w:shd w:val="clear" w:color="auto" w:fill="auto"/>
            <w:noWrap/>
            <w:vAlign w:val="center"/>
            <w:hideMark/>
          </w:tcPr>
          <w:p w14:paraId="45EDF2D9" w14:textId="1865A773"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-0.005</w:t>
            </w:r>
          </w:p>
        </w:tc>
        <w:tc>
          <w:tcPr>
            <w:tcW w:w="675" w:type="dxa"/>
            <w:tcBorders>
              <w:top w:val="nil"/>
              <w:left w:val="nil"/>
              <w:bottom w:val="nil"/>
              <w:right w:val="nil"/>
            </w:tcBorders>
            <w:shd w:val="clear" w:color="auto" w:fill="auto"/>
            <w:noWrap/>
            <w:vAlign w:val="center"/>
            <w:hideMark/>
          </w:tcPr>
          <w:p w14:paraId="548A3F4E" w14:textId="7EE33433"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-0.037</w:t>
            </w:r>
          </w:p>
        </w:tc>
        <w:tc>
          <w:tcPr>
            <w:tcW w:w="622" w:type="dxa"/>
            <w:tcBorders>
              <w:top w:val="nil"/>
              <w:left w:val="nil"/>
              <w:bottom w:val="nil"/>
              <w:right w:val="nil"/>
            </w:tcBorders>
            <w:shd w:val="clear" w:color="auto" w:fill="auto"/>
            <w:noWrap/>
            <w:vAlign w:val="center"/>
            <w:hideMark/>
          </w:tcPr>
          <w:p w14:paraId="56AB7052" w14:textId="708EE4A6"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0.004</w:t>
            </w:r>
          </w:p>
        </w:tc>
        <w:tc>
          <w:tcPr>
            <w:tcW w:w="589" w:type="dxa"/>
            <w:tcBorders>
              <w:top w:val="nil"/>
              <w:left w:val="nil"/>
              <w:bottom w:val="nil"/>
              <w:right w:val="nil"/>
            </w:tcBorders>
            <w:shd w:val="clear" w:color="auto" w:fill="auto"/>
            <w:noWrap/>
            <w:vAlign w:val="center"/>
            <w:hideMark/>
          </w:tcPr>
          <w:p w14:paraId="0A00E397" w14:textId="1AFD2EBE"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0.007</w:t>
            </w:r>
          </w:p>
        </w:tc>
        <w:tc>
          <w:tcPr>
            <w:tcW w:w="675" w:type="dxa"/>
            <w:tcBorders>
              <w:top w:val="nil"/>
              <w:left w:val="nil"/>
              <w:bottom w:val="nil"/>
              <w:right w:val="nil"/>
            </w:tcBorders>
            <w:shd w:val="clear" w:color="auto" w:fill="auto"/>
            <w:noWrap/>
            <w:vAlign w:val="center"/>
            <w:hideMark/>
          </w:tcPr>
          <w:p w14:paraId="5F27DD9D" w14:textId="21D3C865"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215E6A" w:rsidRPr="00AB4D2E">
              <w:rPr>
                <w:rFonts w:cstheme="minorHAnsi"/>
                <w:color w:val="000000"/>
                <w:sz w:val="12"/>
                <w:szCs w:val="12"/>
              </w:rPr>
              <w:t>7</w:t>
            </w:r>
          </w:p>
        </w:tc>
        <w:tc>
          <w:tcPr>
            <w:tcW w:w="646" w:type="dxa"/>
            <w:tcBorders>
              <w:top w:val="nil"/>
              <w:left w:val="nil"/>
              <w:bottom w:val="nil"/>
              <w:right w:val="nil"/>
            </w:tcBorders>
            <w:shd w:val="clear" w:color="auto" w:fill="auto"/>
            <w:noWrap/>
            <w:vAlign w:val="center"/>
            <w:hideMark/>
          </w:tcPr>
          <w:p w14:paraId="176DADFF" w14:textId="527B721D"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0.04</w:t>
            </w:r>
            <w:r w:rsidR="00215E6A" w:rsidRPr="00AB4D2E">
              <w:rPr>
                <w:rFonts w:cstheme="minorHAnsi"/>
                <w:color w:val="000000"/>
                <w:sz w:val="12"/>
                <w:szCs w:val="12"/>
              </w:rPr>
              <w:t>1</w:t>
            </w:r>
          </w:p>
        </w:tc>
        <w:tc>
          <w:tcPr>
            <w:tcW w:w="631" w:type="dxa"/>
            <w:tcBorders>
              <w:top w:val="nil"/>
              <w:left w:val="nil"/>
              <w:bottom w:val="nil"/>
              <w:right w:val="nil"/>
            </w:tcBorders>
            <w:shd w:val="clear" w:color="auto" w:fill="auto"/>
            <w:noWrap/>
            <w:vAlign w:val="center"/>
            <w:hideMark/>
          </w:tcPr>
          <w:p w14:paraId="65B8E0EF"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-0.696</w:t>
            </w:r>
          </w:p>
        </w:tc>
        <w:tc>
          <w:tcPr>
            <w:tcW w:w="675" w:type="dxa"/>
            <w:tcBorders>
              <w:top w:val="nil"/>
              <w:left w:val="nil"/>
              <w:bottom w:val="nil"/>
              <w:right w:val="nil"/>
            </w:tcBorders>
            <w:shd w:val="clear" w:color="auto" w:fill="auto"/>
            <w:noWrap/>
            <w:vAlign w:val="center"/>
            <w:hideMark/>
          </w:tcPr>
          <w:p w14:paraId="009A0DB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-5.416</w:t>
            </w:r>
          </w:p>
        </w:tc>
        <w:tc>
          <w:tcPr>
            <w:tcW w:w="610" w:type="dxa"/>
            <w:tcBorders>
              <w:top w:val="nil"/>
              <w:left w:val="nil"/>
              <w:bottom w:val="nil"/>
              <w:right w:val="nil"/>
            </w:tcBorders>
            <w:shd w:val="clear" w:color="auto" w:fill="auto"/>
            <w:noWrap/>
            <w:vAlign w:val="center"/>
            <w:hideMark/>
          </w:tcPr>
          <w:p w14:paraId="310DC821"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0.102</w:t>
            </w:r>
          </w:p>
        </w:tc>
        <w:tc>
          <w:tcPr>
            <w:tcW w:w="763" w:type="dxa"/>
            <w:tcBorders>
              <w:top w:val="nil"/>
              <w:left w:val="single" w:sz="4" w:space="0" w:color="auto"/>
              <w:bottom w:val="nil"/>
              <w:right w:val="nil"/>
            </w:tcBorders>
            <w:shd w:val="clear" w:color="auto" w:fill="auto"/>
            <w:noWrap/>
            <w:vAlign w:val="center"/>
            <w:hideMark/>
          </w:tcPr>
          <w:p w14:paraId="78C363DE"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0.4867</w:t>
            </w:r>
          </w:p>
        </w:tc>
        <w:tc>
          <w:tcPr>
            <w:tcW w:w="762" w:type="dxa"/>
            <w:tcBorders>
              <w:top w:val="nil"/>
              <w:left w:val="nil"/>
              <w:bottom w:val="nil"/>
              <w:right w:val="nil"/>
            </w:tcBorders>
            <w:shd w:val="clear" w:color="auto" w:fill="auto"/>
            <w:noWrap/>
            <w:vAlign w:val="center"/>
            <w:hideMark/>
          </w:tcPr>
          <w:p w14:paraId="7ADB24BB"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c>
          <w:tcPr>
            <w:tcW w:w="808" w:type="dxa"/>
            <w:tcBorders>
              <w:top w:val="nil"/>
              <w:left w:val="nil"/>
              <w:bottom w:val="nil"/>
              <w:right w:val="single" w:sz="4" w:space="0" w:color="auto"/>
            </w:tcBorders>
            <w:shd w:val="clear" w:color="auto" w:fill="auto"/>
            <w:noWrap/>
            <w:vAlign w:val="center"/>
            <w:hideMark/>
          </w:tcPr>
          <w:p w14:paraId="441D23E0"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0.9185</w:t>
            </w:r>
          </w:p>
        </w:tc>
      </w:tr>
      <w:tr w:rsidR="00F859C9" w:rsidRPr="00AB4D2E" w14:paraId="2E085CC9" w14:textId="77777777" w:rsidTr="000F27C1">
        <w:trPr>
          <w:trHeight w:val="295"/>
        </w:trPr>
        <w:tc>
          <w:tcPr>
            <w:tcW w:w="967" w:type="dxa"/>
            <w:tcBorders>
              <w:top w:val="nil"/>
              <w:left w:val="nil"/>
              <w:bottom w:val="nil"/>
              <w:right w:val="nil"/>
            </w:tcBorders>
            <w:shd w:val="clear" w:color="auto" w:fill="auto"/>
            <w:noWrap/>
            <w:vAlign w:val="bottom"/>
            <w:hideMark/>
          </w:tcPr>
          <w:p w14:paraId="7BDB8F02"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DRivers</w:t>
            </w:r>
          </w:p>
        </w:tc>
        <w:tc>
          <w:tcPr>
            <w:tcW w:w="792" w:type="dxa"/>
            <w:tcBorders>
              <w:top w:val="nil"/>
              <w:left w:val="nil"/>
              <w:bottom w:val="nil"/>
              <w:right w:val="nil"/>
            </w:tcBorders>
            <w:shd w:val="clear" w:color="auto" w:fill="auto"/>
            <w:noWrap/>
            <w:vAlign w:val="center"/>
            <w:hideMark/>
          </w:tcPr>
          <w:p w14:paraId="310A3A89" w14:textId="0ED599E2"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75" w:type="dxa"/>
            <w:tcBorders>
              <w:top w:val="nil"/>
              <w:left w:val="nil"/>
              <w:bottom w:val="nil"/>
              <w:right w:val="nil"/>
            </w:tcBorders>
            <w:shd w:val="clear" w:color="auto" w:fill="auto"/>
            <w:noWrap/>
            <w:vAlign w:val="center"/>
            <w:hideMark/>
          </w:tcPr>
          <w:p w14:paraId="70746884" w14:textId="23D6B4CF"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22" w:type="dxa"/>
            <w:tcBorders>
              <w:top w:val="nil"/>
              <w:left w:val="nil"/>
              <w:bottom w:val="nil"/>
              <w:right w:val="nil"/>
            </w:tcBorders>
            <w:shd w:val="clear" w:color="auto" w:fill="auto"/>
            <w:noWrap/>
            <w:vAlign w:val="center"/>
            <w:hideMark/>
          </w:tcPr>
          <w:p w14:paraId="3CDA8C7C"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0.014</w:t>
            </w:r>
          </w:p>
        </w:tc>
        <w:tc>
          <w:tcPr>
            <w:tcW w:w="589" w:type="dxa"/>
            <w:tcBorders>
              <w:top w:val="nil"/>
              <w:left w:val="nil"/>
              <w:bottom w:val="nil"/>
              <w:right w:val="nil"/>
            </w:tcBorders>
            <w:shd w:val="clear" w:color="auto" w:fill="auto"/>
            <w:noWrap/>
            <w:vAlign w:val="center"/>
            <w:hideMark/>
          </w:tcPr>
          <w:p w14:paraId="274C46B1" w14:textId="0F2509FF"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75" w:type="dxa"/>
            <w:tcBorders>
              <w:top w:val="nil"/>
              <w:left w:val="nil"/>
              <w:bottom w:val="nil"/>
              <w:right w:val="nil"/>
            </w:tcBorders>
            <w:shd w:val="clear" w:color="auto" w:fill="auto"/>
            <w:noWrap/>
            <w:vAlign w:val="center"/>
            <w:hideMark/>
          </w:tcPr>
          <w:p w14:paraId="3440BF61" w14:textId="54BB97DE"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46" w:type="dxa"/>
            <w:tcBorders>
              <w:top w:val="nil"/>
              <w:left w:val="nil"/>
              <w:bottom w:val="nil"/>
              <w:right w:val="nil"/>
            </w:tcBorders>
            <w:shd w:val="clear" w:color="auto" w:fill="auto"/>
            <w:noWrap/>
            <w:vAlign w:val="center"/>
            <w:hideMark/>
          </w:tcPr>
          <w:p w14:paraId="32FAC63A" w14:textId="7A4259A1"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w:t>
            </w:r>
            <w:r w:rsidR="00215E6A" w:rsidRPr="00AB4D2E">
              <w:rPr>
                <w:rFonts w:cstheme="minorHAnsi"/>
                <w:color w:val="000000"/>
                <w:sz w:val="12"/>
                <w:szCs w:val="12"/>
              </w:rPr>
              <w:t>10</w:t>
            </w:r>
          </w:p>
        </w:tc>
        <w:tc>
          <w:tcPr>
            <w:tcW w:w="631" w:type="dxa"/>
            <w:tcBorders>
              <w:top w:val="nil"/>
              <w:left w:val="nil"/>
              <w:bottom w:val="nil"/>
              <w:right w:val="nil"/>
            </w:tcBorders>
            <w:shd w:val="clear" w:color="auto" w:fill="auto"/>
            <w:noWrap/>
            <w:vAlign w:val="center"/>
            <w:hideMark/>
          </w:tcPr>
          <w:p w14:paraId="59937EA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0.838</w:t>
            </w:r>
          </w:p>
        </w:tc>
        <w:tc>
          <w:tcPr>
            <w:tcW w:w="675" w:type="dxa"/>
            <w:tcBorders>
              <w:top w:val="nil"/>
              <w:left w:val="nil"/>
              <w:bottom w:val="nil"/>
              <w:right w:val="nil"/>
            </w:tcBorders>
            <w:shd w:val="clear" w:color="auto" w:fill="auto"/>
            <w:noWrap/>
            <w:vAlign w:val="center"/>
            <w:hideMark/>
          </w:tcPr>
          <w:p w14:paraId="0A6FAA5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0.803</w:t>
            </w:r>
          </w:p>
        </w:tc>
        <w:tc>
          <w:tcPr>
            <w:tcW w:w="610" w:type="dxa"/>
            <w:tcBorders>
              <w:top w:val="nil"/>
              <w:left w:val="nil"/>
              <w:bottom w:val="nil"/>
              <w:right w:val="nil"/>
            </w:tcBorders>
            <w:shd w:val="clear" w:color="auto" w:fill="auto"/>
            <w:noWrap/>
            <w:vAlign w:val="center"/>
            <w:hideMark/>
          </w:tcPr>
          <w:p w14:paraId="78E75A65"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1.479</w:t>
            </w:r>
          </w:p>
        </w:tc>
        <w:tc>
          <w:tcPr>
            <w:tcW w:w="763" w:type="dxa"/>
            <w:tcBorders>
              <w:top w:val="nil"/>
              <w:left w:val="single" w:sz="4" w:space="0" w:color="auto"/>
              <w:bottom w:val="nil"/>
              <w:right w:val="nil"/>
            </w:tcBorders>
            <w:shd w:val="clear" w:color="auto" w:fill="auto"/>
            <w:noWrap/>
            <w:vAlign w:val="center"/>
            <w:hideMark/>
          </w:tcPr>
          <w:p w14:paraId="5E83BFC3"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0.4021</w:t>
            </w:r>
          </w:p>
        </w:tc>
        <w:tc>
          <w:tcPr>
            <w:tcW w:w="762" w:type="dxa"/>
            <w:tcBorders>
              <w:top w:val="nil"/>
              <w:left w:val="nil"/>
              <w:bottom w:val="nil"/>
              <w:right w:val="nil"/>
            </w:tcBorders>
            <w:shd w:val="clear" w:color="auto" w:fill="auto"/>
            <w:noWrap/>
            <w:vAlign w:val="center"/>
            <w:hideMark/>
          </w:tcPr>
          <w:p w14:paraId="7F608B68"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0.4221</w:t>
            </w:r>
          </w:p>
        </w:tc>
        <w:tc>
          <w:tcPr>
            <w:tcW w:w="808" w:type="dxa"/>
            <w:tcBorders>
              <w:top w:val="nil"/>
              <w:left w:val="nil"/>
              <w:bottom w:val="nil"/>
              <w:right w:val="single" w:sz="4" w:space="0" w:color="auto"/>
            </w:tcBorders>
            <w:shd w:val="clear" w:color="auto" w:fill="auto"/>
            <w:noWrap/>
            <w:vAlign w:val="center"/>
            <w:hideMark/>
          </w:tcPr>
          <w:p w14:paraId="35D10061"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0.139</w:t>
            </w:r>
          </w:p>
        </w:tc>
      </w:tr>
      <w:tr w:rsidR="00F859C9" w:rsidRPr="00AB4D2E" w14:paraId="2D570FD5" w14:textId="77777777" w:rsidTr="000F27C1">
        <w:trPr>
          <w:trHeight w:val="295"/>
        </w:trPr>
        <w:tc>
          <w:tcPr>
            <w:tcW w:w="967" w:type="dxa"/>
            <w:tcBorders>
              <w:top w:val="nil"/>
              <w:left w:val="nil"/>
              <w:bottom w:val="nil"/>
              <w:right w:val="nil"/>
            </w:tcBorders>
            <w:shd w:val="clear" w:color="auto" w:fill="auto"/>
            <w:noWrap/>
            <w:vAlign w:val="bottom"/>
            <w:hideMark/>
          </w:tcPr>
          <w:p w14:paraId="11DC52CE"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DPRoads</w:t>
            </w:r>
          </w:p>
        </w:tc>
        <w:tc>
          <w:tcPr>
            <w:tcW w:w="792" w:type="dxa"/>
            <w:tcBorders>
              <w:top w:val="nil"/>
              <w:left w:val="nil"/>
              <w:bottom w:val="nil"/>
              <w:right w:val="nil"/>
            </w:tcBorders>
            <w:shd w:val="clear" w:color="auto" w:fill="auto"/>
            <w:noWrap/>
            <w:vAlign w:val="center"/>
            <w:hideMark/>
          </w:tcPr>
          <w:p w14:paraId="4C615CC3" w14:textId="7A374DAA"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93026D">
              <w:rPr>
                <w:rFonts w:cstheme="minorHAnsi"/>
                <w:color w:val="000000"/>
                <w:sz w:val="12"/>
                <w:szCs w:val="12"/>
              </w:rPr>
              <w:t>1</w:t>
            </w:r>
          </w:p>
        </w:tc>
        <w:tc>
          <w:tcPr>
            <w:tcW w:w="675" w:type="dxa"/>
            <w:tcBorders>
              <w:top w:val="nil"/>
              <w:left w:val="nil"/>
              <w:bottom w:val="nil"/>
              <w:right w:val="nil"/>
            </w:tcBorders>
            <w:shd w:val="clear" w:color="auto" w:fill="auto"/>
            <w:noWrap/>
            <w:vAlign w:val="center"/>
            <w:hideMark/>
          </w:tcPr>
          <w:p w14:paraId="4E3079F5" w14:textId="4D99E443"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622" w:type="dxa"/>
            <w:tcBorders>
              <w:top w:val="nil"/>
              <w:left w:val="nil"/>
              <w:bottom w:val="nil"/>
              <w:right w:val="nil"/>
            </w:tcBorders>
            <w:shd w:val="clear" w:color="auto" w:fill="auto"/>
            <w:noWrap/>
            <w:vAlign w:val="center"/>
            <w:hideMark/>
          </w:tcPr>
          <w:p w14:paraId="34C39308" w14:textId="13957CAE"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-0.089</w:t>
            </w:r>
          </w:p>
        </w:tc>
        <w:tc>
          <w:tcPr>
            <w:tcW w:w="589" w:type="dxa"/>
            <w:tcBorders>
              <w:top w:val="nil"/>
              <w:left w:val="nil"/>
              <w:bottom w:val="nil"/>
              <w:right w:val="nil"/>
            </w:tcBorders>
            <w:shd w:val="clear" w:color="auto" w:fill="auto"/>
            <w:noWrap/>
            <w:vAlign w:val="center"/>
            <w:hideMark/>
          </w:tcPr>
          <w:p w14:paraId="4DEC6A61" w14:textId="3D08A169"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75" w:type="dxa"/>
            <w:tcBorders>
              <w:top w:val="nil"/>
              <w:left w:val="nil"/>
              <w:bottom w:val="nil"/>
              <w:right w:val="nil"/>
            </w:tcBorders>
            <w:shd w:val="clear" w:color="auto" w:fill="auto"/>
            <w:noWrap/>
            <w:vAlign w:val="center"/>
            <w:hideMark/>
          </w:tcPr>
          <w:p w14:paraId="01B9E83A" w14:textId="018A2C60"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46" w:type="dxa"/>
            <w:tcBorders>
              <w:top w:val="nil"/>
              <w:left w:val="nil"/>
              <w:bottom w:val="nil"/>
              <w:right w:val="nil"/>
            </w:tcBorders>
            <w:shd w:val="clear" w:color="auto" w:fill="auto"/>
            <w:noWrap/>
            <w:vAlign w:val="center"/>
            <w:hideMark/>
          </w:tcPr>
          <w:p w14:paraId="540EBC81" w14:textId="5CDA2F82"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w:t>
            </w:r>
            <w:r w:rsidR="00215E6A" w:rsidRPr="00AB4D2E">
              <w:rPr>
                <w:rFonts w:cstheme="minorHAnsi"/>
                <w:color w:val="000000"/>
                <w:sz w:val="12"/>
                <w:szCs w:val="12"/>
              </w:rPr>
              <w:t>20</w:t>
            </w:r>
          </w:p>
        </w:tc>
        <w:tc>
          <w:tcPr>
            <w:tcW w:w="631" w:type="dxa"/>
            <w:tcBorders>
              <w:top w:val="nil"/>
              <w:left w:val="nil"/>
              <w:bottom w:val="nil"/>
              <w:right w:val="nil"/>
            </w:tcBorders>
            <w:shd w:val="clear" w:color="auto" w:fill="auto"/>
            <w:noWrap/>
            <w:vAlign w:val="center"/>
            <w:hideMark/>
          </w:tcPr>
          <w:p w14:paraId="54628CFC"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-0.887</w:t>
            </w:r>
          </w:p>
        </w:tc>
        <w:tc>
          <w:tcPr>
            <w:tcW w:w="675" w:type="dxa"/>
            <w:tcBorders>
              <w:top w:val="nil"/>
              <w:left w:val="nil"/>
              <w:bottom w:val="nil"/>
              <w:right w:val="nil"/>
            </w:tcBorders>
            <w:shd w:val="clear" w:color="auto" w:fill="auto"/>
            <w:noWrap/>
            <w:vAlign w:val="center"/>
            <w:hideMark/>
          </w:tcPr>
          <w:p w14:paraId="63C79482"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-0.32</w:t>
            </w:r>
          </w:p>
        </w:tc>
        <w:tc>
          <w:tcPr>
            <w:tcW w:w="610" w:type="dxa"/>
            <w:tcBorders>
              <w:top w:val="nil"/>
              <w:left w:val="nil"/>
              <w:bottom w:val="nil"/>
              <w:right w:val="nil"/>
            </w:tcBorders>
            <w:shd w:val="clear" w:color="auto" w:fill="auto"/>
            <w:noWrap/>
            <w:vAlign w:val="center"/>
            <w:hideMark/>
          </w:tcPr>
          <w:p w14:paraId="7A992DD1"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-4.565</w:t>
            </w:r>
          </w:p>
        </w:tc>
        <w:tc>
          <w:tcPr>
            <w:tcW w:w="763" w:type="dxa"/>
            <w:tcBorders>
              <w:top w:val="nil"/>
              <w:left w:val="single" w:sz="4" w:space="0" w:color="auto"/>
              <w:bottom w:val="nil"/>
              <w:right w:val="nil"/>
            </w:tcBorders>
            <w:shd w:val="clear" w:color="auto" w:fill="auto"/>
            <w:noWrap/>
            <w:vAlign w:val="center"/>
            <w:hideMark/>
          </w:tcPr>
          <w:p w14:paraId="617FAF06"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0.3751</w:t>
            </w:r>
          </w:p>
        </w:tc>
        <w:tc>
          <w:tcPr>
            <w:tcW w:w="762" w:type="dxa"/>
            <w:tcBorders>
              <w:top w:val="nil"/>
              <w:left w:val="nil"/>
              <w:bottom w:val="nil"/>
              <w:right w:val="nil"/>
            </w:tcBorders>
            <w:shd w:val="clear" w:color="auto" w:fill="auto"/>
            <w:noWrap/>
            <w:vAlign w:val="center"/>
            <w:hideMark/>
          </w:tcPr>
          <w:p w14:paraId="7A6A5C02"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0.7491</w:t>
            </w:r>
          </w:p>
        </w:tc>
        <w:tc>
          <w:tcPr>
            <w:tcW w:w="808" w:type="dxa"/>
            <w:tcBorders>
              <w:top w:val="nil"/>
              <w:left w:val="nil"/>
              <w:bottom w:val="nil"/>
              <w:right w:val="single" w:sz="4" w:space="0" w:color="auto"/>
            </w:tcBorders>
            <w:shd w:val="clear" w:color="auto" w:fill="auto"/>
            <w:noWrap/>
            <w:vAlign w:val="center"/>
            <w:hideMark/>
          </w:tcPr>
          <w:p w14:paraId="5D58A8F8"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74D2CF3B" w14:textId="77777777" w:rsidTr="000F27C1">
        <w:trPr>
          <w:trHeight w:val="295"/>
        </w:trPr>
        <w:tc>
          <w:tcPr>
            <w:tcW w:w="967" w:type="dxa"/>
            <w:tcBorders>
              <w:top w:val="nil"/>
              <w:left w:val="nil"/>
              <w:bottom w:val="nil"/>
              <w:right w:val="nil"/>
            </w:tcBorders>
            <w:shd w:val="clear" w:color="auto" w:fill="auto"/>
            <w:noWrap/>
            <w:vAlign w:val="bottom"/>
            <w:hideMark/>
          </w:tcPr>
          <w:p w14:paraId="00071AC6"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Hillshade</w:t>
            </w:r>
          </w:p>
        </w:tc>
        <w:tc>
          <w:tcPr>
            <w:tcW w:w="792" w:type="dxa"/>
            <w:tcBorders>
              <w:top w:val="nil"/>
              <w:left w:val="nil"/>
              <w:bottom w:val="nil"/>
              <w:right w:val="nil"/>
            </w:tcBorders>
            <w:shd w:val="clear" w:color="auto" w:fill="auto"/>
            <w:noWrap/>
            <w:vAlign w:val="center"/>
            <w:hideMark/>
          </w:tcPr>
          <w:p w14:paraId="2B9AE0D8" w14:textId="337D21EF"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75" w:type="dxa"/>
            <w:tcBorders>
              <w:top w:val="nil"/>
              <w:left w:val="nil"/>
              <w:bottom w:val="nil"/>
              <w:right w:val="nil"/>
            </w:tcBorders>
            <w:shd w:val="clear" w:color="auto" w:fill="auto"/>
            <w:noWrap/>
            <w:vAlign w:val="center"/>
            <w:hideMark/>
          </w:tcPr>
          <w:p w14:paraId="6FB079D0" w14:textId="1A62711B"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B0644E" w:rsidRPr="00AB4D2E">
              <w:rPr>
                <w:rFonts w:cstheme="minorHAnsi"/>
                <w:color w:val="000000"/>
                <w:sz w:val="12"/>
                <w:szCs w:val="12"/>
              </w:rPr>
              <w:t>3</w:t>
            </w:r>
          </w:p>
        </w:tc>
        <w:tc>
          <w:tcPr>
            <w:tcW w:w="622" w:type="dxa"/>
            <w:tcBorders>
              <w:top w:val="nil"/>
              <w:left w:val="nil"/>
              <w:bottom w:val="nil"/>
              <w:right w:val="nil"/>
            </w:tcBorders>
            <w:shd w:val="clear" w:color="auto" w:fill="auto"/>
            <w:noWrap/>
            <w:vAlign w:val="center"/>
            <w:hideMark/>
          </w:tcPr>
          <w:p w14:paraId="603E02A4" w14:textId="68DCDCA6"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0.002</w:t>
            </w:r>
          </w:p>
        </w:tc>
        <w:tc>
          <w:tcPr>
            <w:tcW w:w="589" w:type="dxa"/>
            <w:tcBorders>
              <w:top w:val="nil"/>
              <w:left w:val="nil"/>
              <w:bottom w:val="nil"/>
              <w:right w:val="nil"/>
            </w:tcBorders>
            <w:shd w:val="clear" w:color="auto" w:fill="auto"/>
            <w:noWrap/>
            <w:vAlign w:val="center"/>
            <w:hideMark/>
          </w:tcPr>
          <w:p w14:paraId="45F844F0" w14:textId="7899BD85"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0.002</w:t>
            </w:r>
          </w:p>
        </w:tc>
        <w:tc>
          <w:tcPr>
            <w:tcW w:w="675" w:type="dxa"/>
            <w:tcBorders>
              <w:top w:val="nil"/>
              <w:left w:val="nil"/>
              <w:bottom w:val="nil"/>
              <w:right w:val="nil"/>
            </w:tcBorders>
            <w:shd w:val="clear" w:color="auto" w:fill="auto"/>
            <w:noWrap/>
            <w:vAlign w:val="center"/>
            <w:hideMark/>
          </w:tcPr>
          <w:p w14:paraId="60799296" w14:textId="6518BFFD"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215E6A" w:rsidRPr="00AB4D2E">
              <w:rPr>
                <w:rFonts w:cstheme="minorHAnsi"/>
                <w:color w:val="000000"/>
                <w:sz w:val="12"/>
                <w:szCs w:val="12"/>
              </w:rPr>
              <w:t>3</w:t>
            </w:r>
          </w:p>
        </w:tc>
        <w:tc>
          <w:tcPr>
            <w:tcW w:w="646" w:type="dxa"/>
            <w:tcBorders>
              <w:top w:val="nil"/>
              <w:left w:val="nil"/>
              <w:bottom w:val="nil"/>
              <w:right w:val="nil"/>
            </w:tcBorders>
            <w:shd w:val="clear" w:color="auto" w:fill="auto"/>
            <w:noWrap/>
            <w:vAlign w:val="center"/>
            <w:hideMark/>
          </w:tcPr>
          <w:p w14:paraId="32F977CF" w14:textId="165A49F5"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0.003</w:t>
            </w:r>
          </w:p>
        </w:tc>
        <w:tc>
          <w:tcPr>
            <w:tcW w:w="631" w:type="dxa"/>
            <w:tcBorders>
              <w:top w:val="nil"/>
              <w:left w:val="nil"/>
              <w:bottom w:val="nil"/>
              <w:right w:val="nil"/>
            </w:tcBorders>
            <w:shd w:val="clear" w:color="auto" w:fill="auto"/>
            <w:noWrap/>
            <w:vAlign w:val="center"/>
            <w:hideMark/>
          </w:tcPr>
          <w:p w14:paraId="27760895"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0.543</w:t>
            </w:r>
          </w:p>
        </w:tc>
        <w:tc>
          <w:tcPr>
            <w:tcW w:w="675" w:type="dxa"/>
            <w:tcBorders>
              <w:top w:val="nil"/>
              <w:left w:val="nil"/>
              <w:bottom w:val="nil"/>
              <w:right w:val="nil"/>
            </w:tcBorders>
            <w:shd w:val="clear" w:color="auto" w:fill="auto"/>
            <w:noWrap/>
            <w:vAlign w:val="center"/>
            <w:hideMark/>
          </w:tcPr>
          <w:p w14:paraId="7634016F"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-1.102</w:t>
            </w:r>
          </w:p>
        </w:tc>
        <w:tc>
          <w:tcPr>
            <w:tcW w:w="610" w:type="dxa"/>
            <w:tcBorders>
              <w:top w:val="nil"/>
              <w:left w:val="nil"/>
              <w:bottom w:val="nil"/>
              <w:right w:val="nil"/>
            </w:tcBorders>
            <w:shd w:val="clear" w:color="auto" w:fill="auto"/>
            <w:noWrap/>
            <w:vAlign w:val="center"/>
            <w:hideMark/>
          </w:tcPr>
          <w:p w14:paraId="44280033"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0.641</w:t>
            </w:r>
          </w:p>
        </w:tc>
        <w:tc>
          <w:tcPr>
            <w:tcW w:w="763" w:type="dxa"/>
            <w:tcBorders>
              <w:top w:val="nil"/>
              <w:left w:val="single" w:sz="4" w:space="0" w:color="auto"/>
              <w:bottom w:val="nil"/>
              <w:right w:val="nil"/>
            </w:tcBorders>
            <w:shd w:val="clear" w:color="auto" w:fill="auto"/>
            <w:noWrap/>
            <w:vAlign w:val="center"/>
            <w:hideMark/>
          </w:tcPr>
          <w:p w14:paraId="4D9C8E8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0.5874</w:t>
            </w:r>
          </w:p>
        </w:tc>
        <w:tc>
          <w:tcPr>
            <w:tcW w:w="762" w:type="dxa"/>
            <w:tcBorders>
              <w:top w:val="nil"/>
              <w:left w:val="nil"/>
              <w:bottom w:val="nil"/>
              <w:right w:val="nil"/>
            </w:tcBorders>
            <w:shd w:val="clear" w:color="auto" w:fill="auto"/>
            <w:noWrap/>
            <w:vAlign w:val="center"/>
            <w:hideMark/>
          </w:tcPr>
          <w:p w14:paraId="0A1591E4"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0.2703</w:t>
            </w:r>
          </w:p>
        </w:tc>
        <w:tc>
          <w:tcPr>
            <w:tcW w:w="808" w:type="dxa"/>
            <w:tcBorders>
              <w:top w:val="nil"/>
              <w:left w:val="nil"/>
              <w:bottom w:val="nil"/>
              <w:right w:val="single" w:sz="4" w:space="0" w:color="auto"/>
            </w:tcBorders>
            <w:shd w:val="clear" w:color="auto" w:fill="auto"/>
            <w:noWrap/>
            <w:vAlign w:val="center"/>
            <w:hideMark/>
          </w:tcPr>
          <w:p w14:paraId="788A830F"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0.5218</w:t>
            </w:r>
          </w:p>
        </w:tc>
      </w:tr>
      <w:tr w:rsidR="00F859C9" w:rsidRPr="00AB4D2E" w14:paraId="549DC6A2" w14:textId="77777777" w:rsidTr="000F27C1">
        <w:trPr>
          <w:trHeight w:val="295"/>
        </w:trPr>
        <w:tc>
          <w:tcPr>
            <w:tcW w:w="967" w:type="dxa"/>
            <w:tcBorders>
              <w:top w:val="nil"/>
              <w:left w:val="nil"/>
              <w:bottom w:val="nil"/>
              <w:right w:val="nil"/>
            </w:tcBorders>
            <w:shd w:val="clear" w:color="auto" w:fill="auto"/>
            <w:noWrap/>
            <w:vAlign w:val="bottom"/>
            <w:hideMark/>
          </w:tcPr>
          <w:p w14:paraId="56650324"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Slope</w:t>
            </w:r>
          </w:p>
        </w:tc>
        <w:tc>
          <w:tcPr>
            <w:tcW w:w="792" w:type="dxa"/>
            <w:tcBorders>
              <w:top w:val="nil"/>
              <w:left w:val="nil"/>
              <w:bottom w:val="nil"/>
              <w:right w:val="nil"/>
            </w:tcBorders>
            <w:shd w:val="clear" w:color="auto" w:fill="auto"/>
            <w:noWrap/>
            <w:vAlign w:val="center"/>
            <w:hideMark/>
          </w:tcPr>
          <w:p w14:paraId="7C366DE4" w14:textId="0D432FEC"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-0.02</w:t>
            </w:r>
            <w:r w:rsidR="00B0644E" w:rsidRPr="00AB4D2E">
              <w:rPr>
                <w:rFonts w:cstheme="minorHAnsi"/>
                <w:color w:val="000000"/>
                <w:sz w:val="12"/>
                <w:szCs w:val="12"/>
              </w:rPr>
              <w:t>1</w:t>
            </w:r>
          </w:p>
        </w:tc>
        <w:tc>
          <w:tcPr>
            <w:tcW w:w="675" w:type="dxa"/>
            <w:tcBorders>
              <w:top w:val="nil"/>
              <w:left w:val="nil"/>
              <w:bottom w:val="nil"/>
              <w:right w:val="nil"/>
            </w:tcBorders>
            <w:shd w:val="clear" w:color="auto" w:fill="auto"/>
            <w:noWrap/>
            <w:vAlign w:val="center"/>
            <w:hideMark/>
          </w:tcPr>
          <w:p w14:paraId="4F22C0A8" w14:textId="559B18C3"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-0.06</w:t>
            </w:r>
            <w:r w:rsidR="00B0644E" w:rsidRPr="00AB4D2E">
              <w:rPr>
                <w:rFonts w:cstheme="minorHAnsi"/>
                <w:color w:val="000000"/>
                <w:sz w:val="12"/>
                <w:szCs w:val="12"/>
              </w:rPr>
              <w:t>1</w:t>
            </w:r>
          </w:p>
        </w:tc>
        <w:tc>
          <w:tcPr>
            <w:tcW w:w="622" w:type="dxa"/>
            <w:tcBorders>
              <w:top w:val="nil"/>
              <w:left w:val="nil"/>
              <w:bottom w:val="nil"/>
              <w:right w:val="nil"/>
            </w:tcBorders>
            <w:shd w:val="clear" w:color="auto" w:fill="auto"/>
            <w:noWrap/>
            <w:vAlign w:val="center"/>
            <w:hideMark/>
          </w:tcPr>
          <w:p w14:paraId="0345DE8D" w14:textId="79D1D84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w:t>
            </w:r>
            <w:r w:rsidR="00B0644E" w:rsidRPr="00AB4D2E">
              <w:rPr>
                <w:rFonts w:cstheme="minorHAnsi"/>
                <w:color w:val="000000"/>
                <w:sz w:val="12"/>
                <w:szCs w:val="12"/>
              </w:rPr>
              <w:t>30</w:t>
            </w:r>
          </w:p>
        </w:tc>
        <w:tc>
          <w:tcPr>
            <w:tcW w:w="589" w:type="dxa"/>
            <w:tcBorders>
              <w:top w:val="nil"/>
              <w:left w:val="nil"/>
              <w:bottom w:val="nil"/>
              <w:right w:val="nil"/>
            </w:tcBorders>
            <w:shd w:val="clear" w:color="auto" w:fill="auto"/>
            <w:noWrap/>
            <w:vAlign w:val="center"/>
            <w:hideMark/>
          </w:tcPr>
          <w:p w14:paraId="2A7781D1"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0.009</w:t>
            </w:r>
          </w:p>
        </w:tc>
        <w:tc>
          <w:tcPr>
            <w:tcW w:w="675" w:type="dxa"/>
            <w:tcBorders>
              <w:top w:val="nil"/>
              <w:left w:val="nil"/>
              <w:bottom w:val="nil"/>
              <w:right w:val="nil"/>
            </w:tcBorders>
            <w:shd w:val="clear" w:color="auto" w:fill="auto"/>
            <w:noWrap/>
            <w:vAlign w:val="center"/>
            <w:hideMark/>
          </w:tcPr>
          <w:p w14:paraId="45BC0A6A" w14:textId="7232847D"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w:t>
            </w:r>
            <w:r w:rsidR="00215E6A" w:rsidRPr="00AB4D2E">
              <w:rPr>
                <w:rFonts w:cstheme="minorHAnsi"/>
                <w:color w:val="000000"/>
                <w:sz w:val="12"/>
                <w:szCs w:val="12"/>
              </w:rPr>
              <w:t>4</w:t>
            </w:r>
          </w:p>
        </w:tc>
        <w:tc>
          <w:tcPr>
            <w:tcW w:w="646" w:type="dxa"/>
            <w:tcBorders>
              <w:top w:val="nil"/>
              <w:left w:val="nil"/>
              <w:bottom w:val="nil"/>
              <w:right w:val="nil"/>
            </w:tcBorders>
            <w:shd w:val="clear" w:color="auto" w:fill="auto"/>
            <w:noWrap/>
            <w:vAlign w:val="center"/>
            <w:hideMark/>
          </w:tcPr>
          <w:p w14:paraId="59E86D08" w14:textId="594DBD0C"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0.017</w:t>
            </w:r>
          </w:p>
        </w:tc>
        <w:tc>
          <w:tcPr>
            <w:tcW w:w="631" w:type="dxa"/>
            <w:tcBorders>
              <w:top w:val="nil"/>
              <w:left w:val="nil"/>
              <w:bottom w:val="nil"/>
              <w:right w:val="nil"/>
            </w:tcBorders>
            <w:shd w:val="clear" w:color="auto" w:fill="auto"/>
            <w:noWrap/>
            <w:vAlign w:val="center"/>
            <w:hideMark/>
          </w:tcPr>
          <w:p w14:paraId="44ABB4A8" w14:textId="2761E6DC"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-2.3</w:t>
            </w:r>
            <w:r w:rsidR="00F63DCA" w:rsidRPr="00AB4D2E">
              <w:rPr>
                <w:rFonts w:cstheme="minorHAnsi"/>
                <w:color w:val="000000"/>
                <w:sz w:val="12"/>
                <w:szCs w:val="12"/>
              </w:rPr>
              <w:t>00</w:t>
            </w:r>
          </w:p>
        </w:tc>
        <w:tc>
          <w:tcPr>
            <w:tcW w:w="675" w:type="dxa"/>
            <w:tcBorders>
              <w:top w:val="nil"/>
              <w:left w:val="nil"/>
              <w:bottom w:val="nil"/>
              <w:right w:val="nil"/>
            </w:tcBorders>
            <w:shd w:val="clear" w:color="auto" w:fill="auto"/>
            <w:noWrap/>
            <w:vAlign w:val="center"/>
            <w:hideMark/>
          </w:tcPr>
          <w:p w14:paraId="0A3E6854"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-4.419</w:t>
            </w:r>
          </w:p>
        </w:tc>
        <w:tc>
          <w:tcPr>
            <w:tcW w:w="610" w:type="dxa"/>
            <w:tcBorders>
              <w:top w:val="nil"/>
              <w:left w:val="nil"/>
              <w:bottom w:val="nil"/>
              <w:right w:val="nil"/>
            </w:tcBorders>
            <w:shd w:val="clear" w:color="auto" w:fill="auto"/>
            <w:noWrap/>
            <w:vAlign w:val="center"/>
            <w:hideMark/>
          </w:tcPr>
          <w:p w14:paraId="17350315"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-1.734</w:t>
            </w:r>
          </w:p>
        </w:tc>
        <w:tc>
          <w:tcPr>
            <w:tcW w:w="763" w:type="dxa"/>
            <w:tcBorders>
              <w:top w:val="nil"/>
              <w:left w:val="single" w:sz="4" w:space="0" w:color="auto"/>
              <w:bottom w:val="nil"/>
              <w:right w:val="nil"/>
            </w:tcBorders>
            <w:shd w:val="clear" w:color="auto" w:fill="auto"/>
            <w:noWrap/>
            <w:vAlign w:val="center"/>
            <w:hideMark/>
          </w:tcPr>
          <w:p w14:paraId="67C408AE"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0.0214*</w:t>
            </w:r>
          </w:p>
        </w:tc>
        <w:tc>
          <w:tcPr>
            <w:tcW w:w="762" w:type="dxa"/>
            <w:tcBorders>
              <w:top w:val="nil"/>
              <w:left w:val="nil"/>
              <w:bottom w:val="nil"/>
              <w:right w:val="nil"/>
            </w:tcBorders>
            <w:shd w:val="clear" w:color="auto" w:fill="auto"/>
            <w:noWrap/>
            <w:vAlign w:val="center"/>
            <w:hideMark/>
          </w:tcPr>
          <w:p w14:paraId="668DE30F"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808" w:type="dxa"/>
            <w:tcBorders>
              <w:top w:val="nil"/>
              <w:left w:val="nil"/>
              <w:bottom w:val="nil"/>
              <w:right w:val="single" w:sz="4" w:space="0" w:color="auto"/>
            </w:tcBorders>
            <w:shd w:val="clear" w:color="auto" w:fill="auto"/>
            <w:noWrap/>
            <w:vAlign w:val="center"/>
            <w:hideMark/>
          </w:tcPr>
          <w:p w14:paraId="6C4CAD35"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0.083.</w:t>
            </w:r>
          </w:p>
        </w:tc>
      </w:tr>
      <w:tr w:rsidR="00F859C9" w:rsidRPr="00AB4D2E" w14:paraId="70592054" w14:textId="77777777" w:rsidTr="000F27C1">
        <w:trPr>
          <w:trHeight w:val="295"/>
        </w:trPr>
        <w:tc>
          <w:tcPr>
            <w:tcW w:w="967" w:type="dxa"/>
            <w:tcBorders>
              <w:top w:val="nil"/>
              <w:left w:val="nil"/>
              <w:right w:val="nil"/>
            </w:tcBorders>
            <w:shd w:val="clear" w:color="auto" w:fill="auto"/>
            <w:noWrap/>
            <w:vAlign w:val="bottom"/>
            <w:hideMark/>
          </w:tcPr>
          <w:p w14:paraId="43DA22C5"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DProtected</w:t>
            </w:r>
          </w:p>
        </w:tc>
        <w:tc>
          <w:tcPr>
            <w:tcW w:w="792" w:type="dxa"/>
            <w:tcBorders>
              <w:top w:val="nil"/>
              <w:left w:val="nil"/>
              <w:right w:val="nil"/>
            </w:tcBorders>
            <w:shd w:val="clear" w:color="auto" w:fill="auto"/>
            <w:noWrap/>
            <w:vAlign w:val="center"/>
            <w:hideMark/>
          </w:tcPr>
          <w:p w14:paraId="2274CB51" w14:textId="0E418320"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w:t>
            </w:r>
            <w:r w:rsidR="00B0644E" w:rsidRPr="00AB4D2E">
              <w:rPr>
                <w:rFonts w:cstheme="minorHAnsi"/>
                <w:color w:val="000000"/>
                <w:sz w:val="12"/>
                <w:szCs w:val="12"/>
              </w:rPr>
              <w:t>5</w:t>
            </w:r>
          </w:p>
        </w:tc>
        <w:tc>
          <w:tcPr>
            <w:tcW w:w="675" w:type="dxa"/>
            <w:tcBorders>
              <w:top w:val="nil"/>
              <w:left w:val="nil"/>
              <w:right w:val="nil"/>
            </w:tcBorders>
            <w:shd w:val="clear" w:color="auto" w:fill="auto"/>
            <w:noWrap/>
            <w:vAlign w:val="center"/>
            <w:hideMark/>
          </w:tcPr>
          <w:p w14:paraId="75A89D8B" w14:textId="41F4D81C"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0.02</w:t>
            </w:r>
            <w:r w:rsidR="00B0644E" w:rsidRPr="00AB4D2E">
              <w:rPr>
                <w:rFonts w:cstheme="minorHAnsi"/>
                <w:color w:val="000000"/>
                <w:sz w:val="12"/>
                <w:szCs w:val="12"/>
              </w:rPr>
              <w:t>8</w:t>
            </w:r>
          </w:p>
        </w:tc>
        <w:tc>
          <w:tcPr>
            <w:tcW w:w="622" w:type="dxa"/>
            <w:tcBorders>
              <w:top w:val="nil"/>
              <w:left w:val="nil"/>
              <w:right w:val="nil"/>
            </w:tcBorders>
            <w:shd w:val="clear" w:color="auto" w:fill="auto"/>
            <w:noWrap/>
            <w:vAlign w:val="center"/>
            <w:hideMark/>
          </w:tcPr>
          <w:p w14:paraId="60B0C366" w14:textId="02631063"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0.030</w:t>
            </w:r>
          </w:p>
        </w:tc>
        <w:tc>
          <w:tcPr>
            <w:tcW w:w="589" w:type="dxa"/>
            <w:tcBorders>
              <w:top w:val="nil"/>
              <w:left w:val="nil"/>
              <w:right w:val="nil"/>
            </w:tcBorders>
            <w:shd w:val="clear" w:color="auto" w:fill="auto"/>
            <w:noWrap/>
            <w:vAlign w:val="center"/>
            <w:hideMark/>
          </w:tcPr>
          <w:p w14:paraId="7844FB17" w14:textId="1CAECA75"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B0644E" w:rsidRPr="00AB4D2E">
              <w:rPr>
                <w:rFonts w:cstheme="minorHAnsi"/>
                <w:color w:val="000000"/>
                <w:sz w:val="12"/>
                <w:szCs w:val="12"/>
              </w:rPr>
              <w:t>4</w:t>
            </w:r>
          </w:p>
        </w:tc>
        <w:tc>
          <w:tcPr>
            <w:tcW w:w="675" w:type="dxa"/>
            <w:tcBorders>
              <w:top w:val="nil"/>
              <w:left w:val="nil"/>
              <w:right w:val="nil"/>
            </w:tcBorders>
            <w:shd w:val="clear" w:color="auto" w:fill="auto"/>
            <w:noWrap/>
            <w:vAlign w:val="center"/>
            <w:hideMark/>
          </w:tcPr>
          <w:p w14:paraId="096195CC" w14:textId="728F75C8"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215E6A" w:rsidRPr="00AB4D2E">
              <w:rPr>
                <w:rFonts w:cstheme="minorHAnsi"/>
                <w:color w:val="000000"/>
                <w:sz w:val="12"/>
                <w:szCs w:val="12"/>
              </w:rPr>
              <w:t>8</w:t>
            </w:r>
          </w:p>
        </w:tc>
        <w:tc>
          <w:tcPr>
            <w:tcW w:w="646" w:type="dxa"/>
            <w:tcBorders>
              <w:top w:val="nil"/>
              <w:left w:val="nil"/>
              <w:right w:val="nil"/>
            </w:tcBorders>
            <w:shd w:val="clear" w:color="auto" w:fill="auto"/>
            <w:noWrap/>
            <w:vAlign w:val="center"/>
            <w:hideMark/>
          </w:tcPr>
          <w:p w14:paraId="7FBC7112"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0.011</w:t>
            </w:r>
          </w:p>
        </w:tc>
        <w:tc>
          <w:tcPr>
            <w:tcW w:w="631" w:type="dxa"/>
            <w:tcBorders>
              <w:top w:val="nil"/>
              <w:left w:val="nil"/>
              <w:right w:val="nil"/>
            </w:tcBorders>
            <w:shd w:val="clear" w:color="auto" w:fill="auto"/>
            <w:noWrap/>
            <w:vAlign w:val="center"/>
            <w:hideMark/>
          </w:tcPr>
          <w:p w14:paraId="7B4AC80E"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4.034</w:t>
            </w:r>
          </w:p>
        </w:tc>
        <w:tc>
          <w:tcPr>
            <w:tcW w:w="675" w:type="dxa"/>
            <w:tcBorders>
              <w:top w:val="nil"/>
              <w:left w:val="nil"/>
              <w:right w:val="nil"/>
            </w:tcBorders>
            <w:shd w:val="clear" w:color="auto" w:fill="auto"/>
            <w:noWrap/>
            <w:vAlign w:val="center"/>
            <w:hideMark/>
          </w:tcPr>
          <w:p w14:paraId="7EE9BF7D"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3.714</w:t>
            </w:r>
          </w:p>
        </w:tc>
        <w:tc>
          <w:tcPr>
            <w:tcW w:w="610" w:type="dxa"/>
            <w:tcBorders>
              <w:top w:val="nil"/>
              <w:left w:val="nil"/>
              <w:right w:val="nil"/>
            </w:tcBorders>
            <w:shd w:val="clear" w:color="auto" w:fill="auto"/>
            <w:noWrap/>
            <w:vAlign w:val="center"/>
            <w:hideMark/>
          </w:tcPr>
          <w:p w14:paraId="686408BB"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2.758</w:t>
            </w:r>
          </w:p>
        </w:tc>
        <w:tc>
          <w:tcPr>
            <w:tcW w:w="763" w:type="dxa"/>
            <w:tcBorders>
              <w:top w:val="nil"/>
              <w:left w:val="single" w:sz="4" w:space="0" w:color="auto"/>
              <w:right w:val="nil"/>
            </w:tcBorders>
            <w:shd w:val="clear" w:color="auto" w:fill="auto"/>
            <w:noWrap/>
            <w:vAlign w:val="center"/>
            <w:hideMark/>
          </w:tcPr>
          <w:p w14:paraId="60AFE48B"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0.0000***</w:t>
            </w:r>
          </w:p>
        </w:tc>
        <w:tc>
          <w:tcPr>
            <w:tcW w:w="762" w:type="dxa"/>
            <w:tcBorders>
              <w:top w:val="nil"/>
              <w:left w:val="nil"/>
              <w:right w:val="nil"/>
            </w:tcBorders>
            <w:shd w:val="clear" w:color="auto" w:fill="auto"/>
            <w:noWrap/>
            <w:vAlign w:val="center"/>
            <w:hideMark/>
          </w:tcPr>
          <w:p w14:paraId="56DF96F0"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0.0002***</w:t>
            </w:r>
          </w:p>
        </w:tc>
        <w:tc>
          <w:tcPr>
            <w:tcW w:w="808" w:type="dxa"/>
            <w:tcBorders>
              <w:top w:val="nil"/>
              <w:left w:val="nil"/>
              <w:right w:val="single" w:sz="4" w:space="0" w:color="auto"/>
            </w:tcBorders>
            <w:shd w:val="clear" w:color="auto" w:fill="auto"/>
            <w:noWrap/>
            <w:vAlign w:val="center"/>
            <w:hideMark/>
          </w:tcPr>
          <w:p w14:paraId="5AAE6B59"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0.0058**</w:t>
            </w:r>
          </w:p>
        </w:tc>
      </w:tr>
      <w:tr w:rsidR="00F859C9" w:rsidRPr="00AB4D2E" w14:paraId="7FBD0AC9" w14:textId="77777777" w:rsidTr="000F27C1">
        <w:trPr>
          <w:trHeight w:val="295"/>
        </w:trPr>
        <w:tc>
          <w:tcPr>
            <w:tcW w:w="967" w:type="dxa"/>
            <w:tcBorders>
              <w:top w:val="nil"/>
              <w:left w:val="nil"/>
              <w:bottom w:val="nil"/>
              <w:right w:val="nil"/>
            </w:tcBorders>
            <w:shd w:val="clear" w:color="auto" w:fill="auto"/>
            <w:noWrap/>
            <w:vAlign w:val="bottom"/>
            <w:hideMark/>
          </w:tcPr>
          <w:p w14:paraId="263A1F0B"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Elevation</w:t>
            </w:r>
          </w:p>
        </w:tc>
        <w:tc>
          <w:tcPr>
            <w:tcW w:w="792" w:type="dxa"/>
            <w:tcBorders>
              <w:top w:val="nil"/>
              <w:left w:val="nil"/>
              <w:bottom w:val="nil"/>
              <w:right w:val="nil"/>
            </w:tcBorders>
            <w:shd w:val="clear" w:color="auto" w:fill="auto"/>
            <w:noWrap/>
            <w:vAlign w:val="center"/>
            <w:hideMark/>
          </w:tcPr>
          <w:p w14:paraId="1EC5AB76" w14:textId="02502251"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675" w:type="dxa"/>
            <w:tcBorders>
              <w:top w:val="nil"/>
              <w:left w:val="nil"/>
              <w:bottom w:val="nil"/>
              <w:right w:val="nil"/>
            </w:tcBorders>
            <w:shd w:val="clear" w:color="auto" w:fill="auto"/>
            <w:noWrap/>
            <w:vAlign w:val="center"/>
            <w:hideMark/>
          </w:tcPr>
          <w:p w14:paraId="204F85C4" w14:textId="2B106E95"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622" w:type="dxa"/>
            <w:tcBorders>
              <w:top w:val="nil"/>
              <w:left w:val="nil"/>
              <w:bottom w:val="nil"/>
              <w:right w:val="nil"/>
            </w:tcBorders>
            <w:shd w:val="clear" w:color="auto" w:fill="auto"/>
            <w:noWrap/>
            <w:vAlign w:val="center"/>
            <w:hideMark/>
          </w:tcPr>
          <w:p w14:paraId="25CB7703" w14:textId="2D784B5B"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589" w:type="dxa"/>
            <w:tcBorders>
              <w:top w:val="nil"/>
              <w:left w:val="nil"/>
              <w:bottom w:val="nil"/>
              <w:right w:val="nil"/>
            </w:tcBorders>
            <w:shd w:val="clear" w:color="auto" w:fill="auto"/>
            <w:noWrap/>
            <w:vAlign w:val="center"/>
            <w:hideMark/>
          </w:tcPr>
          <w:p w14:paraId="09A17A85" w14:textId="57F4872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675" w:type="dxa"/>
            <w:tcBorders>
              <w:top w:val="nil"/>
              <w:left w:val="nil"/>
              <w:bottom w:val="nil"/>
              <w:right w:val="nil"/>
            </w:tcBorders>
            <w:shd w:val="clear" w:color="auto" w:fill="auto"/>
            <w:noWrap/>
            <w:vAlign w:val="center"/>
            <w:hideMark/>
          </w:tcPr>
          <w:p w14:paraId="12E5FE49" w14:textId="1711B486"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w:t>
            </w:r>
          </w:p>
        </w:tc>
        <w:tc>
          <w:tcPr>
            <w:tcW w:w="646" w:type="dxa"/>
            <w:tcBorders>
              <w:top w:val="nil"/>
              <w:left w:val="nil"/>
              <w:bottom w:val="nil"/>
              <w:right w:val="nil"/>
            </w:tcBorders>
            <w:shd w:val="clear" w:color="auto" w:fill="auto"/>
            <w:noWrap/>
            <w:vAlign w:val="center"/>
            <w:hideMark/>
          </w:tcPr>
          <w:p w14:paraId="1C58F251" w14:textId="5436E721"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215E6A" w:rsidRPr="00AB4D2E">
              <w:rPr>
                <w:rFonts w:cstheme="minorHAnsi"/>
                <w:color w:val="000000"/>
                <w:sz w:val="12"/>
                <w:szCs w:val="12"/>
              </w:rPr>
              <w:t>1</w:t>
            </w:r>
          </w:p>
        </w:tc>
        <w:tc>
          <w:tcPr>
            <w:tcW w:w="631" w:type="dxa"/>
            <w:tcBorders>
              <w:top w:val="nil"/>
              <w:left w:val="nil"/>
              <w:bottom w:val="nil"/>
              <w:right w:val="nil"/>
            </w:tcBorders>
            <w:shd w:val="clear" w:color="auto" w:fill="auto"/>
            <w:noWrap/>
            <w:vAlign w:val="center"/>
            <w:hideMark/>
          </w:tcPr>
          <w:p w14:paraId="1B54BEF5"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0.395</w:t>
            </w:r>
          </w:p>
        </w:tc>
        <w:tc>
          <w:tcPr>
            <w:tcW w:w="675" w:type="dxa"/>
            <w:tcBorders>
              <w:top w:val="nil"/>
              <w:left w:val="nil"/>
              <w:bottom w:val="nil"/>
              <w:right w:val="nil"/>
            </w:tcBorders>
            <w:shd w:val="clear" w:color="auto" w:fill="auto"/>
            <w:noWrap/>
            <w:vAlign w:val="center"/>
            <w:hideMark/>
          </w:tcPr>
          <w:p w14:paraId="1D2E72F4"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3.513</w:t>
            </w:r>
          </w:p>
        </w:tc>
        <w:tc>
          <w:tcPr>
            <w:tcW w:w="610" w:type="dxa"/>
            <w:tcBorders>
              <w:top w:val="nil"/>
              <w:left w:val="nil"/>
              <w:bottom w:val="nil"/>
              <w:right w:val="nil"/>
            </w:tcBorders>
            <w:shd w:val="clear" w:color="auto" w:fill="auto"/>
            <w:noWrap/>
            <w:vAlign w:val="center"/>
            <w:hideMark/>
          </w:tcPr>
          <w:p w14:paraId="19FCCC17" w14:textId="6746F375"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-1.01</w:t>
            </w:r>
            <w:r w:rsidR="0060497C">
              <w:rPr>
                <w:rFonts w:cstheme="minorHAnsi"/>
                <w:color w:val="000000"/>
                <w:sz w:val="12"/>
                <w:szCs w:val="12"/>
              </w:rPr>
              <w:t>0</w:t>
            </w:r>
          </w:p>
        </w:tc>
        <w:tc>
          <w:tcPr>
            <w:tcW w:w="763" w:type="dxa"/>
            <w:tcBorders>
              <w:top w:val="nil"/>
              <w:left w:val="single" w:sz="4" w:space="0" w:color="auto"/>
              <w:bottom w:val="nil"/>
              <w:right w:val="nil"/>
            </w:tcBorders>
            <w:shd w:val="clear" w:color="auto" w:fill="auto"/>
            <w:noWrap/>
            <w:vAlign w:val="center"/>
            <w:hideMark/>
          </w:tcPr>
          <w:p w14:paraId="122E52D8"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0.693</w:t>
            </w:r>
          </w:p>
        </w:tc>
        <w:tc>
          <w:tcPr>
            <w:tcW w:w="762" w:type="dxa"/>
            <w:tcBorders>
              <w:top w:val="nil"/>
              <w:left w:val="nil"/>
              <w:bottom w:val="nil"/>
              <w:right w:val="nil"/>
            </w:tcBorders>
            <w:shd w:val="clear" w:color="auto" w:fill="auto"/>
            <w:noWrap/>
            <w:vAlign w:val="center"/>
            <w:hideMark/>
          </w:tcPr>
          <w:p w14:paraId="162CDCB2"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0.0004***</w:t>
            </w:r>
          </w:p>
        </w:tc>
        <w:tc>
          <w:tcPr>
            <w:tcW w:w="808" w:type="dxa"/>
            <w:tcBorders>
              <w:top w:val="nil"/>
              <w:left w:val="nil"/>
              <w:bottom w:val="nil"/>
              <w:right w:val="single" w:sz="4" w:space="0" w:color="auto"/>
            </w:tcBorders>
            <w:shd w:val="clear" w:color="auto" w:fill="auto"/>
            <w:noWrap/>
            <w:vAlign w:val="center"/>
            <w:hideMark/>
          </w:tcPr>
          <w:p w14:paraId="521B634B"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0.3127</w:t>
            </w:r>
          </w:p>
        </w:tc>
      </w:tr>
      <w:tr w:rsidR="00F859C9" w:rsidRPr="00AB4D2E" w14:paraId="79128747" w14:textId="77777777" w:rsidTr="000F27C1">
        <w:trPr>
          <w:trHeight w:val="295"/>
        </w:trPr>
        <w:tc>
          <w:tcPr>
            <w:tcW w:w="967" w:type="dxa"/>
            <w:tcBorders>
              <w:top w:val="nil"/>
              <w:left w:val="nil"/>
              <w:bottom w:val="single" w:sz="4" w:space="0" w:color="auto"/>
              <w:right w:val="nil"/>
            </w:tcBorders>
            <w:shd w:val="clear" w:color="auto" w:fill="auto"/>
            <w:noWrap/>
            <w:vAlign w:val="bottom"/>
            <w:hideMark/>
          </w:tcPr>
          <w:p w14:paraId="1253B95C"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DLakes</w:t>
            </w:r>
          </w:p>
        </w:tc>
        <w:tc>
          <w:tcPr>
            <w:tcW w:w="792" w:type="dxa"/>
            <w:tcBorders>
              <w:top w:val="nil"/>
              <w:left w:val="nil"/>
              <w:bottom w:val="single" w:sz="4" w:space="0" w:color="auto"/>
              <w:right w:val="nil"/>
            </w:tcBorders>
            <w:shd w:val="clear" w:color="auto" w:fill="auto"/>
            <w:noWrap/>
            <w:vAlign w:val="center"/>
            <w:hideMark/>
          </w:tcPr>
          <w:p w14:paraId="30FAA71C" w14:textId="7C072229"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B0644E" w:rsidRPr="00AB4D2E">
              <w:rPr>
                <w:rFonts w:cstheme="minorHAnsi"/>
                <w:color w:val="000000"/>
                <w:sz w:val="12"/>
                <w:szCs w:val="12"/>
              </w:rPr>
              <w:t>2</w:t>
            </w:r>
          </w:p>
        </w:tc>
        <w:tc>
          <w:tcPr>
            <w:tcW w:w="675" w:type="dxa"/>
            <w:tcBorders>
              <w:top w:val="nil"/>
              <w:left w:val="nil"/>
              <w:bottom w:val="single" w:sz="4" w:space="0" w:color="auto"/>
              <w:right w:val="nil"/>
            </w:tcBorders>
            <w:shd w:val="clear" w:color="auto" w:fill="auto"/>
            <w:noWrap/>
            <w:vAlign w:val="center"/>
            <w:hideMark/>
          </w:tcPr>
          <w:p w14:paraId="1AE9A8DA" w14:textId="5A668BDC"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w:t>
            </w:r>
            <w:r w:rsidR="00B0644E" w:rsidRPr="00AB4D2E">
              <w:rPr>
                <w:rFonts w:cstheme="minorHAnsi"/>
                <w:color w:val="000000"/>
                <w:sz w:val="12"/>
                <w:szCs w:val="12"/>
              </w:rPr>
              <w:t>3</w:t>
            </w:r>
          </w:p>
        </w:tc>
        <w:tc>
          <w:tcPr>
            <w:tcW w:w="622" w:type="dxa"/>
            <w:tcBorders>
              <w:top w:val="nil"/>
              <w:left w:val="nil"/>
              <w:bottom w:val="single" w:sz="4" w:space="0" w:color="auto"/>
              <w:right w:val="nil"/>
            </w:tcBorders>
            <w:shd w:val="clear" w:color="auto" w:fill="auto"/>
            <w:noWrap/>
            <w:vAlign w:val="center"/>
            <w:hideMark/>
          </w:tcPr>
          <w:p w14:paraId="10FF7835"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-0.022</w:t>
            </w:r>
          </w:p>
        </w:tc>
        <w:tc>
          <w:tcPr>
            <w:tcW w:w="589" w:type="dxa"/>
            <w:tcBorders>
              <w:top w:val="nil"/>
              <w:left w:val="nil"/>
              <w:bottom w:val="single" w:sz="4" w:space="0" w:color="auto"/>
              <w:right w:val="nil"/>
            </w:tcBorders>
            <w:shd w:val="clear" w:color="auto" w:fill="auto"/>
            <w:noWrap/>
            <w:vAlign w:val="center"/>
            <w:hideMark/>
          </w:tcPr>
          <w:p w14:paraId="33B347E5" w14:textId="7AEFAE09"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75" w:type="dxa"/>
            <w:tcBorders>
              <w:top w:val="nil"/>
              <w:left w:val="nil"/>
              <w:bottom w:val="single" w:sz="4" w:space="0" w:color="auto"/>
              <w:right w:val="nil"/>
            </w:tcBorders>
            <w:shd w:val="clear" w:color="auto" w:fill="auto"/>
            <w:noWrap/>
            <w:vAlign w:val="center"/>
            <w:hideMark/>
          </w:tcPr>
          <w:p w14:paraId="7FD9F055" w14:textId="04A66BDA"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0.001</w:t>
            </w:r>
          </w:p>
        </w:tc>
        <w:tc>
          <w:tcPr>
            <w:tcW w:w="646" w:type="dxa"/>
            <w:tcBorders>
              <w:top w:val="nil"/>
              <w:left w:val="nil"/>
              <w:bottom w:val="single" w:sz="4" w:space="0" w:color="auto"/>
              <w:right w:val="nil"/>
            </w:tcBorders>
            <w:shd w:val="clear" w:color="auto" w:fill="auto"/>
            <w:noWrap/>
            <w:vAlign w:val="center"/>
            <w:hideMark/>
          </w:tcPr>
          <w:p w14:paraId="66E5EC68"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0.011</w:t>
            </w:r>
          </w:p>
        </w:tc>
        <w:tc>
          <w:tcPr>
            <w:tcW w:w="631" w:type="dxa"/>
            <w:tcBorders>
              <w:top w:val="nil"/>
              <w:left w:val="nil"/>
              <w:bottom w:val="single" w:sz="4" w:space="0" w:color="auto"/>
              <w:right w:val="nil"/>
            </w:tcBorders>
            <w:shd w:val="clear" w:color="auto" w:fill="auto"/>
            <w:noWrap/>
            <w:vAlign w:val="center"/>
            <w:hideMark/>
          </w:tcPr>
          <w:p w14:paraId="1DAB319E" w14:textId="71E25A71"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1.54</w:t>
            </w:r>
            <w:r w:rsidR="00F63DCA" w:rsidRPr="00AB4D2E">
              <w:rPr>
                <w:rFonts w:cstheme="minorHAnsi"/>
                <w:color w:val="000000"/>
                <w:sz w:val="12"/>
                <w:szCs w:val="12"/>
              </w:rPr>
              <w:t>0</w:t>
            </w:r>
          </w:p>
        </w:tc>
        <w:tc>
          <w:tcPr>
            <w:tcW w:w="675" w:type="dxa"/>
            <w:tcBorders>
              <w:top w:val="nil"/>
              <w:left w:val="nil"/>
              <w:bottom w:val="single" w:sz="4" w:space="0" w:color="auto"/>
              <w:right w:val="nil"/>
            </w:tcBorders>
            <w:shd w:val="clear" w:color="auto" w:fill="auto"/>
            <w:noWrap/>
            <w:vAlign w:val="center"/>
            <w:hideMark/>
          </w:tcPr>
          <w:p w14:paraId="4B9B3A16" w14:textId="13B48DB3"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1.85</w:t>
            </w:r>
            <w:r w:rsidR="00F63DCA" w:rsidRPr="00AB4D2E">
              <w:rPr>
                <w:rFonts w:cstheme="minorHAnsi"/>
                <w:color w:val="000000"/>
                <w:sz w:val="12"/>
                <w:szCs w:val="12"/>
              </w:rPr>
              <w:t>0</w:t>
            </w:r>
          </w:p>
        </w:tc>
        <w:tc>
          <w:tcPr>
            <w:tcW w:w="610" w:type="dxa"/>
            <w:tcBorders>
              <w:top w:val="nil"/>
              <w:left w:val="nil"/>
              <w:bottom w:val="single" w:sz="4" w:space="0" w:color="auto"/>
              <w:right w:val="nil"/>
            </w:tcBorders>
            <w:shd w:val="clear" w:color="auto" w:fill="auto"/>
            <w:noWrap/>
            <w:vAlign w:val="center"/>
            <w:hideMark/>
          </w:tcPr>
          <w:p w14:paraId="1D1046F8"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-2.004</w:t>
            </w:r>
          </w:p>
        </w:tc>
        <w:tc>
          <w:tcPr>
            <w:tcW w:w="763" w:type="dxa"/>
            <w:tcBorders>
              <w:top w:val="nil"/>
              <w:left w:val="single" w:sz="4" w:space="0" w:color="auto"/>
              <w:bottom w:val="single" w:sz="4" w:space="0" w:color="auto"/>
              <w:right w:val="nil"/>
            </w:tcBorders>
            <w:shd w:val="clear" w:color="auto" w:fill="auto"/>
            <w:noWrap/>
            <w:vAlign w:val="center"/>
            <w:hideMark/>
          </w:tcPr>
          <w:p w14:paraId="147F5DEE"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0.1236</w:t>
            </w:r>
          </w:p>
        </w:tc>
        <w:tc>
          <w:tcPr>
            <w:tcW w:w="762" w:type="dxa"/>
            <w:tcBorders>
              <w:top w:val="nil"/>
              <w:left w:val="nil"/>
              <w:bottom w:val="single" w:sz="4" w:space="0" w:color="auto"/>
              <w:right w:val="nil"/>
            </w:tcBorders>
            <w:shd w:val="clear" w:color="auto" w:fill="auto"/>
            <w:noWrap/>
            <w:vAlign w:val="center"/>
            <w:hideMark/>
          </w:tcPr>
          <w:p w14:paraId="75433206"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0.0643.</w:t>
            </w:r>
          </w:p>
        </w:tc>
        <w:tc>
          <w:tcPr>
            <w:tcW w:w="808" w:type="dxa"/>
            <w:tcBorders>
              <w:top w:val="nil"/>
              <w:left w:val="nil"/>
              <w:bottom w:val="single" w:sz="4" w:space="0" w:color="auto"/>
              <w:right w:val="single" w:sz="4" w:space="0" w:color="auto"/>
            </w:tcBorders>
            <w:shd w:val="clear" w:color="auto" w:fill="auto"/>
            <w:noWrap/>
            <w:vAlign w:val="center"/>
            <w:hideMark/>
          </w:tcPr>
          <w:p w14:paraId="2DE303B8" w14:textId="77777777" w:rsidR="00B44118" w:rsidRPr="00AB4D2E" w:rsidRDefault="00B44118" w:rsidP="0060497C">
            <w:pPr>
              <w:spacing w:line="240" w:lineRule="auto"/>
              <w:jc w:val="center"/>
              <w:rPr>
                <w:rFonts w:cstheme="minorHAnsi"/>
                <w:color w:val="000000"/>
                <w:sz w:val="12"/>
                <w:szCs w:val="12"/>
              </w:rPr>
            </w:pPr>
            <w:r w:rsidRPr="00AB4D2E">
              <w:rPr>
                <w:rFonts w:cstheme="minorHAnsi"/>
                <w:color w:val="000000"/>
                <w:sz w:val="12"/>
                <w:szCs w:val="12"/>
              </w:rPr>
              <w:t>0.0451*</w:t>
            </w:r>
          </w:p>
        </w:tc>
      </w:tr>
    </w:tbl>
    <w:p w14:paraId="08B0CA7E" w14:textId="254A244F" w:rsidR="00B44118" w:rsidRDefault="00AF1D8B" w:rsidP="00505D6B">
      <w:pPr>
        <w:spacing w:line="240" w:lineRule="auto"/>
      </w:pPr>
      <w:r>
        <w:rPr>
          <w:rFonts w:ascii="Times New Roman" w:eastAsia="Aptos" w:hAnsi="Times New Roman"/>
          <w:bCs/>
          <w:lang w:bidi="ar-SA"/>
          <w14:ligatures w14:val="standardContextual"/>
        </w:rPr>
        <w:t xml:space="preserve">Note: The </w:t>
      </w:r>
      <w:r w:rsidRPr="00103457">
        <w:rPr>
          <w:rFonts w:ascii="Times New Roman" w:eastAsia="Aptos" w:hAnsi="Times New Roman"/>
          <w:bCs/>
          <w:lang w:bidi="ar-SA"/>
          <w14:ligatures w14:val="standardContextual"/>
        </w:rPr>
        <w:t>input variables consist of slope, hillshade, elevation, distance from tertiary roads (DTRoads), distance from secondary roads (DSRoads), distance from rivers (Drivers), distance from primary roads (DPRoads), distance from primary cities center (DPCities), distance from local roads (DLRoads). Distance from lakes (DLakes), development pressure (DevPressure), distance to all roads (DARoads), and distance from all cities center (DACities).</w:t>
      </w:r>
    </w:p>
    <w:p w14:paraId="0154EDE3" w14:textId="1A0B3AC5" w:rsidR="00B44118" w:rsidRPr="00FA1C69" w:rsidRDefault="00FA1C69" w:rsidP="00F91C01">
      <w:pPr>
        <w:spacing w:line="240" w:lineRule="auto"/>
        <w:rPr>
          <w:rFonts w:ascii="Times New Roman" w:hAnsi="Times New Roman"/>
        </w:rPr>
      </w:pPr>
      <w:r w:rsidRPr="006E12E4">
        <w:rPr>
          <w:rFonts w:ascii="Times New Roman" w:hAnsi="Times New Roman"/>
          <w:b/>
          <w:bCs/>
        </w:rPr>
        <w:lastRenderedPageBreak/>
        <w:t>Table S4</w:t>
      </w:r>
      <w:r w:rsidR="00F91C01" w:rsidRPr="00FA1C69">
        <w:rPr>
          <w:rFonts w:ascii="Times New Roman" w:hAnsi="Times New Roman"/>
        </w:rPr>
        <w:t>:</w:t>
      </w:r>
      <w:r w:rsidR="00B44118" w:rsidRPr="00FA1C69">
        <w:rPr>
          <w:rFonts w:ascii="Times New Roman" w:hAnsi="Times New Roman"/>
        </w:rPr>
        <w:t xml:space="preserve"> Summaries of generalized linear modes across large, medium, and small cities in Nigeria and Togo.</w:t>
      </w:r>
    </w:p>
    <w:p w14:paraId="6920D2AF" w14:textId="77777777" w:rsidR="00F91C01" w:rsidRPr="00F91C01" w:rsidRDefault="00F91C01" w:rsidP="00F91C01">
      <w:pPr>
        <w:spacing w:line="240" w:lineRule="auto"/>
        <w:rPr>
          <w:rFonts w:ascii="Times New Roman" w:hAnsi="Times New Roman"/>
        </w:rPr>
      </w:pPr>
    </w:p>
    <w:tbl>
      <w:tblPr>
        <w:tblW w:w="9183" w:type="dxa"/>
        <w:tblInd w:w="108" w:type="dxa"/>
        <w:tblLook w:val="04A0" w:firstRow="1" w:lastRow="0" w:firstColumn="1" w:lastColumn="0" w:noHBand="0" w:noVBand="1"/>
      </w:tblPr>
      <w:tblGrid>
        <w:gridCol w:w="988"/>
        <w:gridCol w:w="723"/>
        <w:gridCol w:w="734"/>
        <w:gridCol w:w="648"/>
        <w:gridCol w:w="512"/>
        <w:gridCol w:w="690"/>
        <w:gridCol w:w="557"/>
        <w:gridCol w:w="623"/>
        <w:gridCol w:w="690"/>
        <w:gridCol w:w="684"/>
        <w:gridCol w:w="777"/>
        <w:gridCol w:w="777"/>
        <w:gridCol w:w="780"/>
      </w:tblGrid>
      <w:tr w:rsidR="00F859C9" w:rsidRPr="00AB4D2E" w14:paraId="10CFF006" w14:textId="77777777" w:rsidTr="000F27C1">
        <w:trPr>
          <w:trHeight w:val="294"/>
        </w:trPr>
        <w:tc>
          <w:tcPr>
            <w:tcW w:w="988" w:type="dxa"/>
            <w:tcBorders>
              <w:top w:val="single" w:sz="4" w:space="0" w:color="auto"/>
              <w:left w:val="nil"/>
              <w:bottom w:val="nil"/>
              <w:right w:val="nil"/>
            </w:tcBorders>
            <w:shd w:val="clear" w:color="auto" w:fill="auto"/>
            <w:noWrap/>
            <w:vAlign w:val="bottom"/>
            <w:hideMark/>
          </w:tcPr>
          <w:p w14:paraId="3236D417"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Nigeria</w:t>
            </w:r>
          </w:p>
        </w:tc>
        <w:tc>
          <w:tcPr>
            <w:tcW w:w="2105" w:type="dxa"/>
            <w:gridSpan w:val="3"/>
            <w:tcBorders>
              <w:top w:val="single" w:sz="4" w:space="0" w:color="auto"/>
              <w:left w:val="nil"/>
              <w:bottom w:val="nil"/>
              <w:right w:val="nil"/>
            </w:tcBorders>
            <w:shd w:val="clear" w:color="auto" w:fill="auto"/>
            <w:noWrap/>
            <w:vAlign w:val="bottom"/>
            <w:hideMark/>
          </w:tcPr>
          <w:p w14:paraId="7C7339CA"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Estimate</w:t>
            </w:r>
          </w:p>
        </w:tc>
        <w:tc>
          <w:tcPr>
            <w:tcW w:w="1759" w:type="dxa"/>
            <w:gridSpan w:val="3"/>
            <w:tcBorders>
              <w:top w:val="single" w:sz="4" w:space="0" w:color="auto"/>
              <w:left w:val="nil"/>
              <w:bottom w:val="nil"/>
              <w:right w:val="nil"/>
            </w:tcBorders>
            <w:shd w:val="clear" w:color="auto" w:fill="auto"/>
            <w:noWrap/>
            <w:vAlign w:val="bottom"/>
            <w:hideMark/>
          </w:tcPr>
          <w:p w14:paraId="6B7CF201"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Std. Error</w:t>
            </w:r>
          </w:p>
        </w:tc>
        <w:tc>
          <w:tcPr>
            <w:tcW w:w="1997" w:type="dxa"/>
            <w:gridSpan w:val="3"/>
            <w:tcBorders>
              <w:top w:val="single" w:sz="4" w:space="0" w:color="auto"/>
              <w:left w:val="nil"/>
              <w:bottom w:val="nil"/>
              <w:right w:val="nil"/>
            </w:tcBorders>
            <w:shd w:val="clear" w:color="auto" w:fill="auto"/>
            <w:noWrap/>
            <w:vAlign w:val="bottom"/>
            <w:hideMark/>
          </w:tcPr>
          <w:p w14:paraId="335CFD16"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Z  Value</w:t>
            </w:r>
          </w:p>
        </w:tc>
        <w:tc>
          <w:tcPr>
            <w:tcW w:w="233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1165FE0D"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 xml:space="preserve">Pr(&gt;|z|) </w:t>
            </w:r>
          </w:p>
        </w:tc>
      </w:tr>
      <w:tr w:rsidR="00F859C9" w:rsidRPr="00AB4D2E" w14:paraId="25784C4C" w14:textId="77777777" w:rsidTr="000F27C1">
        <w:trPr>
          <w:trHeight w:val="294"/>
        </w:trPr>
        <w:tc>
          <w:tcPr>
            <w:tcW w:w="988" w:type="dxa"/>
            <w:tcBorders>
              <w:top w:val="nil"/>
              <w:left w:val="nil"/>
              <w:bottom w:val="single" w:sz="4" w:space="0" w:color="auto"/>
              <w:right w:val="nil"/>
            </w:tcBorders>
            <w:shd w:val="clear" w:color="auto" w:fill="auto"/>
            <w:noWrap/>
            <w:vAlign w:val="bottom"/>
            <w:hideMark/>
          </w:tcPr>
          <w:p w14:paraId="1437CB9B"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Predictor</w:t>
            </w:r>
          </w:p>
        </w:tc>
        <w:tc>
          <w:tcPr>
            <w:tcW w:w="723" w:type="dxa"/>
            <w:tcBorders>
              <w:top w:val="nil"/>
              <w:left w:val="nil"/>
              <w:bottom w:val="single" w:sz="4" w:space="0" w:color="auto"/>
              <w:right w:val="nil"/>
            </w:tcBorders>
            <w:shd w:val="clear" w:color="auto" w:fill="auto"/>
            <w:noWrap/>
            <w:vAlign w:val="bottom"/>
            <w:hideMark/>
          </w:tcPr>
          <w:p w14:paraId="3B8AC057"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734" w:type="dxa"/>
            <w:tcBorders>
              <w:top w:val="nil"/>
              <w:left w:val="nil"/>
              <w:bottom w:val="single" w:sz="4" w:space="0" w:color="auto"/>
              <w:right w:val="nil"/>
            </w:tcBorders>
            <w:shd w:val="clear" w:color="auto" w:fill="auto"/>
            <w:noWrap/>
            <w:vAlign w:val="bottom"/>
            <w:hideMark/>
          </w:tcPr>
          <w:p w14:paraId="5501AAF0"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648" w:type="dxa"/>
            <w:tcBorders>
              <w:top w:val="nil"/>
              <w:left w:val="nil"/>
              <w:bottom w:val="single" w:sz="4" w:space="0" w:color="auto"/>
              <w:right w:val="nil"/>
            </w:tcBorders>
            <w:shd w:val="clear" w:color="auto" w:fill="auto"/>
            <w:noWrap/>
            <w:vAlign w:val="bottom"/>
            <w:hideMark/>
          </w:tcPr>
          <w:p w14:paraId="3C079127"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Large</w:t>
            </w:r>
          </w:p>
        </w:tc>
        <w:tc>
          <w:tcPr>
            <w:tcW w:w="512" w:type="dxa"/>
            <w:tcBorders>
              <w:top w:val="nil"/>
              <w:left w:val="nil"/>
              <w:bottom w:val="single" w:sz="4" w:space="0" w:color="auto"/>
              <w:right w:val="nil"/>
            </w:tcBorders>
            <w:shd w:val="clear" w:color="auto" w:fill="auto"/>
            <w:noWrap/>
            <w:vAlign w:val="bottom"/>
            <w:hideMark/>
          </w:tcPr>
          <w:p w14:paraId="09586874"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690" w:type="dxa"/>
            <w:tcBorders>
              <w:top w:val="nil"/>
              <w:left w:val="nil"/>
              <w:bottom w:val="single" w:sz="4" w:space="0" w:color="auto"/>
              <w:right w:val="nil"/>
            </w:tcBorders>
            <w:shd w:val="clear" w:color="auto" w:fill="auto"/>
            <w:noWrap/>
            <w:vAlign w:val="bottom"/>
            <w:hideMark/>
          </w:tcPr>
          <w:p w14:paraId="1FABD11B"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556" w:type="dxa"/>
            <w:tcBorders>
              <w:top w:val="nil"/>
              <w:left w:val="nil"/>
              <w:bottom w:val="single" w:sz="4" w:space="0" w:color="auto"/>
              <w:right w:val="nil"/>
            </w:tcBorders>
            <w:shd w:val="clear" w:color="auto" w:fill="auto"/>
            <w:noWrap/>
            <w:vAlign w:val="bottom"/>
            <w:hideMark/>
          </w:tcPr>
          <w:p w14:paraId="1D81BDAC"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Large</w:t>
            </w:r>
          </w:p>
        </w:tc>
        <w:tc>
          <w:tcPr>
            <w:tcW w:w="623" w:type="dxa"/>
            <w:tcBorders>
              <w:top w:val="nil"/>
              <w:left w:val="nil"/>
              <w:bottom w:val="single" w:sz="4" w:space="0" w:color="auto"/>
              <w:right w:val="nil"/>
            </w:tcBorders>
            <w:shd w:val="clear" w:color="auto" w:fill="auto"/>
            <w:noWrap/>
            <w:vAlign w:val="bottom"/>
            <w:hideMark/>
          </w:tcPr>
          <w:p w14:paraId="15562031"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Small</w:t>
            </w:r>
          </w:p>
        </w:tc>
        <w:tc>
          <w:tcPr>
            <w:tcW w:w="690" w:type="dxa"/>
            <w:tcBorders>
              <w:top w:val="nil"/>
              <w:left w:val="nil"/>
              <w:bottom w:val="single" w:sz="4" w:space="0" w:color="auto"/>
              <w:right w:val="nil"/>
            </w:tcBorders>
            <w:shd w:val="clear" w:color="auto" w:fill="auto"/>
            <w:noWrap/>
            <w:vAlign w:val="bottom"/>
            <w:hideMark/>
          </w:tcPr>
          <w:p w14:paraId="241DADD3"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Medium</w:t>
            </w:r>
          </w:p>
        </w:tc>
        <w:tc>
          <w:tcPr>
            <w:tcW w:w="683" w:type="dxa"/>
            <w:tcBorders>
              <w:top w:val="nil"/>
              <w:left w:val="nil"/>
              <w:bottom w:val="single" w:sz="4" w:space="0" w:color="auto"/>
              <w:right w:val="nil"/>
            </w:tcBorders>
            <w:shd w:val="clear" w:color="auto" w:fill="auto"/>
            <w:noWrap/>
            <w:vAlign w:val="bottom"/>
            <w:hideMark/>
          </w:tcPr>
          <w:p w14:paraId="21A25012"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Large</w:t>
            </w:r>
          </w:p>
        </w:tc>
        <w:tc>
          <w:tcPr>
            <w:tcW w:w="777" w:type="dxa"/>
            <w:tcBorders>
              <w:top w:val="nil"/>
              <w:left w:val="single" w:sz="4" w:space="0" w:color="auto"/>
              <w:bottom w:val="single" w:sz="4" w:space="0" w:color="auto"/>
              <w:right w:val="nil"/>
            </w:tcBorders>
            <w:shd w:val="clear" w:color="auto" w:fill="auto"/>
            <w:noWrap/>
            <w:vAlign w:val="center"/>
            <w:hideMark/>
          </w:tcPr>
          <w:p w14:paraId="6AE682E6"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Small</w:t>
            </w:r>
          </w:p>
        </w:tc>
        <w:tc>
          <w:tcPr>
            <w:tcW w:w="777" w:type="dxa"/>
            <w:tcBorders>
              <w:top w:val="nil"/>
              <w:left w:val="nil"/>
              <w:bottom w:val="single" w:sz="4" w:space="0" w:color="auto"/>
              <w:right w:val="nil"/>
            </w:tcBorders>
            <w:shd w:val="clear" w:color="auto" w:fill="auto"/>
            <w:noWrap/>
            <w:vAlign w:val="center"/>
            <w:hideMark/>
          </w:tcPr>
          <w:p w14:paraId="2838B2E2"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Medium</w:t>
            </w:r>
          </w:p>
        </w:tc>
        <w:tc>
          <w:tcPr>
            <w:tcW w:w="778" w:type="dxa"/>
            <w:tcBorders>
              <w:top w:val="nil"/>
              <w:left w:val="nil"/>
              <w:bottom w:val="single" w:sz="4" w:space="0" w:color="auto"/>
              <w:right w:val="single" w:sz="4" w:space="0" w:color="auto"/>
            </w:tcBorders>
            <w:shd w:val="clear" w:color="auto" w:fill="auto"/>
            <w:noWrap/>
            <w:vAlign w:val="center"/>
            <w:hideMark/>
          </w:tcPr>
          <w:p w14:paraId="22334F5C"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Large</w:t>
            </w:r>
          </w:p>
        </w:tc>
      </w:tr>
      <w:tr w:rsidR="00F859C9" w:rsidRPr="00AB4D2E" w14:paraId="553D854A" w14:textId="77777777" w:rsidTr="000F27C1">
        <w:trPr>
          <w:trHeight w:val="294"/>
        </w:trPr>
        <w:tc>
          <w:tcPr>
            <w:tcW w:w="988" w:type="dxa"/>
            <w:tcBorders>
              <w:top w:val="nil"/>
              <w:left w:val="nil"/>
              <w:bottom w:val="single" w:sz="4" w:space="0" w:color="auto"/>
              <w:right w:val="nil"/>
            </w:tcBorders>
            <w:shd w:val="clear" w:color="auto" w:fill="auto"/>
            <w:noWrap/>
            <w:vAlign w:val="bottom"/>
            <w:hideMark/>
          </w:tcPr>
          <w:p w14:paraId="1313CB37"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Intercept</w:t>
            </w:r>
          </w:p>
        </w:tc>
        <w:tc>
          <w:tcPr>
            <w:tcW w:w="723" w:type="dxa"/>
            <w:tcBorders>
              <w:top w:val="nil"/>
              <w:left w:val="nil"/>
              <w:bottom w:val="single" w:sz="4" w:space="0" w:color="auto"/>
              <w:right w:val="nil"/>
            </w:tcBorders>
            <w:shd w:val="clear" w:color="auto" w:fill="auto"/>
            <w:noWrap/>
            <w:vAlign w:val="center"/>
            <w:hideMark/>
          </w:tcPr>
          <w:p w14:paraId="7967BB05" w14:textId="68015D85"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-0.1</w:t>
            </w:r>
            <w:r w:rsidR="007C3265" w:rsidRPr="00AB4D2E">
              <w:rPr>
                <w:rFonts w:cstheme="minorHAnsi"/>
                <w:b/>
                <w:bCs/>
                <w:color w:val="000000"/>
                <w:sz w:val="12"/>
                <w:szCs w:val="12"/>
              </w:rPr>
              <w:t>20</w:t>
            </w:r>
          </w:p>
        </w:tc>
        <w:tc>
          <w:tcPr>
            <w:tcW w:w="734" w:type="dxa"/>
            <w:tcBorders>
              <w:top w:val="nil"/>
              <w:left w:val="nil"/>
              <w:bottom w:val="single" w:sz="4" w:space="0" w:color="auto"/>
              <w:right w:val="nil"/>
            </w:tcBorders>
            <w:shd w:val="clear" w:color="auto" w:fill="auto"/>
            <w:noWrap/>
            <w:vAlign w:val="center"/>
            <w:hideMark/>
          </w:tcPr>
          <w:p w14:paraId="1B7E97F2" w14:textId="5A7666D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0.37</w:t>
            </w:r>
            <w:r w:rsidR="00A364F9" w:rsidRPr="00AB4D2E">
              <w:rPr>
                <w:rFonts w:cstheme="minorHAnsi"/>
                <w:b/>
                <w:bCs/>
                <w:color w:val="000000"/>
                <w:sz w:val="12"/>
                <w:szCs w:val="12"/>
              </w:rPr>
              <w:t>9</w:t>
            </w:r>
          </w:p>
        </w:tc>
        <w:tc>
          <w:tcPr>
            <w:tcW w:w="648" w:type="dxa"/>
            <w:tcBorders>
              <w:top w:val="nil"/>
              <w:left w:val="nil"/>
              <w:bottom w:val="single" w:sz="4" w:space="0" w:color="auto"/>
              <w:right w:val="nil"/>
            </w:tcBorders>
            <w:shd w:val="clear" w:color="auto" w:fill="auto"/>
            <w:noWrap/>
            <w:vAlign w:val="bottom"/>
            <w:hideMark/>
          </w:tcPr>
          <w:p w14:paraId="6297CC65" w14:textId="4CF4F96E"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1.772</w:t>
            </w:r>
          </w:p>
        </w:tc>
        <w:tc>
          <w:tcPr>
            <w:tcW w:w="512" w:type="dxa"/>
            <w:tcBorders>
              <w:top w:val="nil"/>
              <w:left w:val="nil"/>
              <w:bottom w:val="single" w:sz="4" w:space="0" w:color="auto"/>
              <w:right w:val="nil"/>
            </w:tcBorders>
            <w:shd w:val="clear" w:color="auto" w:fill="auto"/>
            <w:noWrap/>
            <w:vAlign w:val="center"/>
            <w:hideMark/>
          </w:tcPr>
          <w:p w14:paraId="74892258" w14:textId="6D11D8BC"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0.203</w:t>
            </w:r>
          </w:p>
        </w:tc>
        <w:tc>
          <w:tcPr>
            <w:tcW w:w="690" w:type="dxa"/>
            <w:tcBorders>
              <w:top w:val="nil"/>
              <w:left w:val="nil"/>
              <w:bottom w:val="single" w:sz="4" w:space="0" w:color="auto"/>
              <w:right w:val="nil"/>
            </w:tcBorders>
            <w:shd w:val="clear" w:color="auto" w:fill="auto"/>
            <w:noWrap/>
            <w:vAlign w:val="center"/>
            <w:hideMark/>
          </w:tcPr>
          <w:p w14:paraId="4BF77A23" w14:textId="60B4941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0.212</w:t>
            </w:r>
          </w:p>
        </w:tc>
        <w:tc>
          <w:tcPr>
            <w:tcW w:w="556" w:type="dxa"/>
            <w:tcBorders>
              <w:top w:val="nil"/>
              <w:left w:val="nil"/>
              <w:bottom w:val="single" w:sz="4" w:space="0" w:color="auto"/>
              <w:right w:val="nil"/>
            </w:tcBorders>
            <w:shd w:val="clear" w:color="auto" w:fill="auto"/>
            <w:noWrap/>
            <w:vAlign w:val="center"/>
            <w:hideMark/>
          </w:tcPr>
          <w:p w14:paraId="70156767" w14:textId="1D6FD5B2"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0.19</w:t>
            </w:r>
            <w:r w:rsidR="007C3265" w:rsidRPr="00AB4D2E">
              <w:rPr>
                <w:rFonts w:cstheme="minorHAnsi"/>
                <w:b/>
                <w:bCs/>
                <w:color w:val="000000"/>
                <w:sz w:val="12"/>
                <w:szCs w:val="12"/>
              </w:rPr>
              <w:t>2</w:t>
            </w:r>
          </w:p>
        </w:tc>
        <w:tc>
          <w:tcPr>
            <w:tcW w:w="623" w:type="dxa"/>
            <w:tcBorders>
              <w:top w:val="nil"/>
              <w:left w:val="nil"/>
              <w:bottom w:val="single" w:sz="4" w:space="0" w:color="auto"/>
              <w:right w:val="nil"/>
            </w:tcBorders>
            <w:shd w:val="clear" w:color="auto" w:fill="auto"/>
            <w:noWrap/>
            <w:vAlign w:val="center"/>
            <w:hideMark/>
          </w:tcPr>
          <w:p w14:paraId="002CE0B2"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-0.982</w:t>
            </w:r>
          </w:p>
        </w:tc>
        <w:tc>
          <w:tcPr>
            <w:tcW w:w="690" w:type="dxa"/>
            <w:tcBorders>
              <w:top w:val="nil"/>
              <w:left w:val="nil"/>
              <w:bottom w:val="single" w:sz="4" w:space="0" w:color="auto"/>
              <w:right w:val="nil"/>
            </w:tcBorders>
            <w:shd w:val="clear" w:color="auto" w:fill="auto"/>
            <w:noWrap/>
            <w:vAlign w:val="center"/>
            <w:hideMark/>
          </w:tcPr>
          <w:p w14:paraId="54B4ACF5"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1.785</w:t>
            </w:r>
          </w:p>
        </w:tc>
        <w:tc>
          <w:tcPr>
            <w:tcW w:w="683" w:type="dxa"/>
            <w:tcBorders>
              <w:top w:val="nil"/>
              <w:left w:val="nil"/>
              <w:bottom w:val="single" w:sz="4" w:space="0" w:color="auto"/>
              <w:right w:val="nil"/>
            </w:tcBorders>
            <w:shd w:val="clear" w:color="auto" w:fill="auto"/>
            <w:noWrap/>
            <w:vAlign w:val="center"/>
            <w:hideMark/>
          </w:tcPr>
          <w:p w14:paraId="325C17DC"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9.253</w:t>
            </w:r>
          </w:p>
        </w:tc>
        <w:tc>
          <w:tcPr>
            <w:tcW w:w="777" w:type="dxa"/>
            <w:tcBorders>
              <w:top w:val="nil"/>
              <w:left w:val="single" w:sz="4" w:space="0" w:color="auto"/>
              <w:bottom w:val="single" w:sz="4" w:space="0" w:color="auto"/>
              <w:right w:val="nil"/>
            </w:tcBorders>
            <w:shd w:val="clear" w:color="auto" w:fill="auto"/>
            <w:noWrap/>
            <w:vAlign w:val="center"/>
            <w:hideMark/>
          </w:tcPr>
          <w:p w14:paraId="120C2785" w14:textId="77777777" w:rsidR="00B44118" w:rsidRPr="00AB4D2E" w:rsidRDefault="00B44118" w:rsidP="006F7C17">
            <w:pPr>
              <w:spacing w:line="240" w:lineRule="auto"/>
              <w:jc w:val="right"/>
              <w:rPr>
                <w:rFonts w:cstheme="minorHAnsi"/>
                <w:b/>
                <w:bCs/>
                <w:color w:val="000000"/>
                <w:sz w:val="12"/>
                <w:szCs w:val="12"/>
              </w:rPr>
            </w:pPr>
            <w:r w:rsidRPr="00AB4D2E">
              <w:rPr>
                <w:rFonts w:cstheme="minorHAnsi"/>
                <w:b/>
                <w:bCs/>
                <w:color w:val="000000"/>
                <w:sz w:val="12"/>
                <w:szCs w:val="12"/>
              </w:rPr>
              <w:t>0.3262</w:t>
            </w:r>
          </w:p>
        </w:tc>
        <w:tc>
          <w:tcPr>
            <w:tcW w:w="777" w:type="dxa"/>
            <w:tcBorders>
              <w:top w:val="nil"/>
              <w:left w:val="nil"/>
              <w:bottom w:val="single" w:sz="4" w:space="0" w:color="auto"/>
              <w:right w:val="nil"/>
            </w:tcBorders>
            <w:shd w:val="clear" w:color="auto" w:fill="auto"/>
            <w:noWrap/>
            <w:vAlign w:val="center"/>
            <w:hideMark/>
          </w:tcPr>
          <w:p w14:paraId="7754CF90"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0.0743.</w:t>
            </w:r>
          </w:p>
        </w:tc>
        <w:tc>
          <w:tcPr>
            <w:tcW w:w="778" w:type="dxa"/>
            <w:tcBorders>
              <w:top w:val="nil"/>
              <w:left w:val="nil"/>
              <w:bottom w:val="single" w:sz="4" w:space="0" w:color="auto"/>
              <w:right w:val="single" w:sz="4" w:space="0" w:color="auto"/>
            </w:tcBorders>
            <w:shd w:val="clear" w:color="auto" w:fill="auto"/>
            <w:noWrap/>
            <w:vAlign w:val="center"/>
            <w:hideMark/>
          </w:tcPr>
          <w:p w14:paraId="0BABB4A3"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0.0000***</w:t>
            </w:r>
          </w:p>
        </w:tc>
      </w:tr>
      <w:tr w:rsidR="00F859C9" w:rsidRPr="00AB4D2E" w14:paraId="206253DA" w14:textId="77777777" w:rsidTr="000F27C1">
        <w:trPr>
          <w:trHeight w:val="294"/>
        </w:trPr>
        <w:tc>
          <w:tcPr>
            <w:tcW w:w="988" w:type="dxa"/>
            <w:tcBorders>
              <w:top w:val="nil"/>
              <w:left w:val="nil"/>
              <w:bottom w:val="nil"/>
              <w:right w:val="nil"/>
            </w:tcBorders>
            <w:shd w:val="clear" w:color="auto" w:fill="auto"/>
            <w:noWrap/>
            <w:vAlign w:val="bottom"/>
            <w:hideMark/>
          </w:tcPr>
          <w:p w14:paraId="342F4AF0"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DevPressure</w:t>
            </w:r>
          </w:p>
        </w:tc>
        <w:tc>
          <w:tcPr>
            <w:tcW w:w="723" w:type="dxa"/>
            <w:tcBorders>
              <w:top w:val="nil"/>
              <w:left w:val="nil"/>
              <w:bottom w:val="nil"/>
              <w:right w:val="nil"/>
            </w:tcBorders>
            <w:shd w:val="clear" w:color="auto" w:fill="auto"/>
            <w:noWrap/>
            <w:vAlign w:val="center"/>
            <w:hideMark/>
          </w:tcPr>
          <w:p w14:paraId="155AB7FA" w14:textId="6665DD6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0.564</w:t>
            </w:r>
          </w:p>
        </w:tc>
        <w:tc>
          <w:tcPr>
            <w:tcW w:w="734" w:type="dxa"/>
            <w:tcBorders>
              <w:top w:val="nil"/>
              <w:left w:val="nil"/>
              <w:bottom w:val="nil"/>
              <w:right w:val="nil"/>
            </w:tcBorders>
            <w:shd w:val="clear" w:color="auto" w:fill="auto"/>
            <w:noWrap/>
            <w:vAlign w:val="center"/>
            <w:hideMark/>
          </w:tcPr>
          <w:p w14:paraId="54509CAE" w14:textId="143A781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0.38</w:t>
            </w:r>
            <w:r w:rsidR="007C3265" w:rsidRPr="00AB4D2E">
              <w:rPr>
                <w:rFonts w:cstheme="minorHAnsi"/>
                <w:color w:val="000000"/>
                <w:sz w:val="12"/>
                <w:szCs w:val="12"/>
              </w:rPr>
              <w:t>5</w:t>
            </w:r>
          </w:p>
        </w:tc>
        <w:tc>
          <w:tcPr>
            <w:tcW w:w="648" w:type="dxa"/>
            <w:tcBorders>
              <w:top w:val="nil"/>
              <w:left w:val="nil"/>
              <w:bottom w:val="nil"/>
              <w:right w:val="nil"/>
            </w:tcBorders>
            <w:shd w:val="clear" w:color="auto" w:fill="auto"/>
            <w:noWrap/>
            <w:vAlign w:val="center"/>
            <w:hideMark/>
          </w:tcPr>
          <w:p w14:paraId="33979528" w14:textId="3E4A8A5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0.41</w:t>
            </w:r>
            <w:r w:rsidR="007C3265" w:rsidRPr="00AB4D2E">
              <w:rPr>
                <w:rFonts w:cstheme="minorHAnsi"/>
                <w:color w:val="000000"/>
                <w:sz w:val="12"/>
                <w:szCs w:val="12"/>
              </w:rPr>
              <w:t>8</w:t>
            </w:r>
          </w:p>
        </w:tc>
        <w:tc>
          <w:tcPr>
            <w:tcW w:w="512" w:type="dxa"/>
            <w:tcBorders>
              <w:top w:val="nil"/>
              <w:left w:val="nil"/>
              <w:bottom w:val="nil"/>
              <w:right w:val="nil"/>
            </w:tcBorders>
            <w:shd w:val="clear" w:color="auto" w:fill="auto"/>
            <w:noWrap/>
            <w:vAlign w:val="center"/>
            <w:hideMark/>
          </w:tcPr>
          <w:p w14:paraId="5941E01E" w14:textId="3BCC9BA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w:t>
            </w:r>
            <w:r w:rsidR="007C3265" w:rsidRPr="00AB4D2E">
              <w:rPr>
                <w:rFonts w:cstheme="minorHAnsi"/>
                <w:color w:val="000000"/>
                <w:sz w:val="12"/>
                <w:szCs w:val="12"/>
              </w:rPr>
              <w:t>5</w:t>
            </w:r>
          </w:p>
        </w:tc>
        <w:tc>
          <w:tcPr>
            <w:tcW w:w="690" w:type="dxa"/>
            <w:tcBorders>
              <w:top w:val="nil"/>
              <w:left w:val="nil"/>
              <w:bottom w:val="nil"/>
              <w:right w:val="nil"/>
            </w:tcBorders>
            <w:shd w:val="clear" w:color="auto" w:fill="auto"/>
            <w:noWrap/>
            <w:vAlign w:val="center"/>
            <w:hideMark/>
          </w:tcPr>
          <w:p w14:paraId="4F3FCEC4" w14:textId="6372F9F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w:t>
            </w:r>
            <w:r w:rsidR="0043306A" w:rsidRPr="00AB4D2E">
              <w:rPr>
                <w:rFonts w:cstheme="minorHAnsi"/>
                <w:color w:val="000000"/>
                <w:sz w:val="12"/>
                <w:szCs w:val="12"/>
              </w:rPr>
              <w:t>3</w:t>
            </w:r>
          </w:p>
        </w:tc>
        <w:tc>
          <w:tcPr>
            <w:tcW w:w="556" w:type="dxa"/>
            <w:tcBorders>
              <w:top w:val="nil"/>
              <w:left w:val="nil"/>
              <w:bottom w:val="nil"/>
              <w:right w:val="nil"/>
            </w:tcBorders>
            <w:shd w:val="clear" w:color="auto" w:fill="auto"/>
            <w:noWrap/>
            <w:vAlign w:val="center"/>
            <w:hideMark/>
          </w:tcPr>
          <w:p w14:paraId="5DEC164F" w14:textId="4EA87D9A"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w:t>
            </w:r>
            <w:r w:rsidR="0043306A" w:rsidRPr="00AB4D2E">
              <w:rPr>
                <w:rFonts w:cstheme="minorHAnsi"/>
                <w:color w:val="000000"/>
                <w:sz w:val="12"/>
                <w:szCs w:val="12"/>
              </w:rPr>
              <w:t>6</w:t>
            </w:r>
          </w:p>
        </w:tc>
        <w:tc>
          <w:tcPr>
            <w:tcW w:w="623" w:type="dxa"/>
            <w:tcBorders>
              <w:top w:val="nil"/>
              <w:left w:val="nil"/>
              <w:bottom w:val="nil"/>
              <w:right w:val="nil"/>
            </w:tcBorders>
            <w:shd w:val="clear" w:color="auto" w:fill="auto"/>
            <w:noWrap/>
            <w:vAlign w:val="center"/>
            <w:hideMark/>
          </w:tcPr>
          <w:p w14:paraId="4520BE20"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38.042</w:t>
            </w:r>
          </w:p>
        </w:tc>
        <w:tc>
          <w:tcPr>
            <w:tcW w:w="690" w:type="dxa"/>
            <w:tcBorders>
              <w:top w:val="nil"/>
              <w:left w:val="nil"/>
              <w:bottom w:val="nil"/>
              <w:right w:val="nil"/>
            </w:tcBorders>
            <w:shd w:val="clear" w:color="auto" w:fill="auto"/>
            <w:noWrap/>
            <w:vAlign w:val="center"/>
            <w:hideMark/>
          </w:tcPr>
          <w:p w14:paraId="142A9AE8"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30.444</w:t>
            </w:r>
          </w:p>
        </w:tc>
        <w:tc>
          <w:tcPr>
            <w:tcW w:w="683" w:type="dxa"/>
            <w:tcBorders>
              <w:top w:val="nil"/>
              <w:left w:val="nil"/>
              <w:bottom w:val="nil"/>
              <w:right w:val="nil"/>
            </w:tcBorders>
            <w:shd w:val="clear" w:color="auto" w:fill="auto"/>
            <w:noWrap/>
            <w:vAlign w:val="center"/>
            <w:hideMark/>
          </w:tcPr>
          <w:p w14:paraId="4185827C"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26.736</w:t>
            </w:r>
          </w:p>
        </w:tc>
        <w:tc>
          <w:tcPr>
            <w:tcW w:w="777" w:type="dxa"/>
            <w:tcBorders>
              <w:top w:val="nil"/>
              <w:left w:val="single" w:sz="4" w:space="0" w:color="auto"/>
              <w:bottom w:val="nil"/>
              <w:right w:val="nil"/>
            </w:tcBorders>
            <w:shd w:val="clear" w:color="auto" w:fill="auto"/>
            <w:noWrap/>
            <w:vAlign w:val="center"/>
            <w:hideMark/>
          </w:tcPr>
          <w:p w14:paraId="39EB9E79"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7" w:type="dxa"/>
            <w:tcBorders>
              <w:top w:val="nil"/>
              <w:left w:val="nil"/>
              <w:bottom w:val="nil"/>
              <w:right w:val="nil"/>
            </w:tcBorders>
            <w:shd w:val="clear" w:color="auto" w:fill="auto"/>
            <w:noWrap/>
            <w:vAlign w:val="center"/>
            <w:hideMark/>
          </w:tcPr>
          <w:p w14:paraId="1F2B501E"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8" w:type="dxa"/>
            <w:tcBorders>
              <w:top w:val="nil"/>
              <w:left w:val="nil"/>
              <w:bottom w:val="nil"/>
              <w:right w:val="single" w:sz="4" w:space="0" w:color="auto"/>
            </w:tcBorders>
            <w:shd w:val="clear" w:color="auto" w:fill="auto"/>
            <w:noWrap/>
            <w:vAlign w:val="center"/>
            <w:hideMark/>
          </w:tcPr>
          <w:p w14:paraId="5BAD3F4D"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4649E43F" w14:textId="77777777" w:rsidTr="000F27C1">
        <w:trPr>
          <w:trHeight w:val="294"/>
        </w:trPr>
        <w:tc>
          <w:tcPr>
            <w:tcW w:w="988" w:type="dxa"/>
            <w:tcBorders>
              <w:top w:val="nil"/>
              <w:left w:val="nil"/>
              <w:bottom w:val="nil"/>
              <w:right w:val="nil"/>
            </w:tcBorders>
            <w:shd w:val="clear" w:color="auto" w:fill="auto"/>
            <w:noWrap/>
            <w:vAlign w:val="bottom"/>
            <w:hideMark/>
          </w:tcPr>
          <w:p w14:paraId="773794BB"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DLRoads</w:t>
            </w:r>
          </w:p>
        </w:tc>
        <w:tc>
          <w:tcPr>
            <w:tcW w:w="723" w:type="dxa"/>
            <w:tcBorders>
              <w:top w:val="nil"/>
              <w:left w:val="nil"/>
              <w:bottom w:val="nil"/>
              <w:right w:val="nil"/>
            </w:tcBorders>
            <w:shd w:val="clear" w:color="auto" w:fill="auto"/>
            <w:noWrap/>
            <w:vAlign w:val="center"/>
            <w:hideMark/>
          </w:tcPr>
          <w:p w14:paraId="2A51AF2A" w14:textId="111C3DE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7C3265" w:rsidRPr="00AB4D2E">
              <w:rPr>
                <w:rFonts w:cstheme="minorHAnsi"/>
                <w:color w:val="000000"/>
                <w:sz w:val="12"/>
                <w:szCs w:val="12"/>
              </w:rPr>
              <w:t>3</w:t>
            </w:r>
          </w:p>
        </w:tc>
        <w:tc>
          <w:tcPr>
            <w:tcW w:w="734" w:type="dxa"/>
            <w:tcBorders>
              <w:top w:val="nil"/>
              <w:left w:val="nil"/>
              <w:bottom w:val="nil"/>
              <w:right w:val="nil"/>
            </w:tcBorders>
            <w:shd w:val="clear" w:color="auto" w:fill="auto"/>
            <w:noWrap/>
            <w:vAlign w:val="center"/>
            <w:hideMark/>
          </w:tcPr>
          <w:p w14:paraId="1AB9A106" w14:textId="037F62F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-0.004</w:t>
            </w:r>
          </w:p>
        </w:tc>
        <w:tc>
          <w:tcPr>
            <w:tcW w:w="648" w:type="dxa"/>
            <w:tcBorders>
              <w:top w:val="nil"/>
              <w:left w:val="nil"/>
              <w:bottom w:val="nil"/>
              <w:right w:val="nil"/>
            </w:tcBorders>
            <w:shd w:val="clear" w:color="auto" w:fill="auto"/>
            <w:noWrap/>
            <w:vAlign w:val="center"/>
            <w:hideMark/>
          </w:tcPr>
          <w:p w14:paraId="5E631096" w14:textId="30E7668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512" w:type="dxa"/>
            <w:tcBorders>
              <w:top w:val="nil"/>
              <w:left w:val="nil"/>
              <w:bottom w:val="nil"/>
              <w:right w:val="nil"/>
            </w:tcBorders>
            <w:shd w:val="clear" w:color="auto" w:fill="auto"/>
            <w:noWrap/>
            <w:vAlign w:val="center"/>
            <w:hideMark/>
          </w:tcPr>
          <w:p w14:paraId="1980272E" w14:textId="3854D38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690" w:type="dxa"/>
            <w:tcBorders>
              <w:top w:val="nil"/>
              <w:left w:val="nil"/>
              <w:bottom w:val="nil"/>
              <w:right w:val="nil"/>
            </w:tcBorders>
            <w:shd w:val="clear" w:color="auto" w:fill="auto"/>
            <w:noWrap/>
            <w:vAlign w:val="center"/>
            <w:hideMark/>
          </w:tcPr>
          <w:p w14:paraId="646BDDA2" w14:textId="2943F2B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556" w:type="dxa"/>
            <w:tcBorders>
              <w:top w:val="nil"/>
              <w:left w:val="nil"/>
              <w:bottom w:val="nil"/>
              <w:right w:val="nil"/>
            </w:tcBorders>
            <w:shd w:val="clear" w:color="auto" w:fill="auto"/>
            <w:noWrap/>
            <w:vAlign w:val="center"/>
            <w:hideMark/>
          </w:tcPr>
          <w:p w14:paraId="19228C76" w14:textId="70C3CB7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1</w:t>
            </w:r>
          </w:p>
        </w:tc>
        <w:tc>
          <w:tcPr>
            <w:tcW w:w="623" w:type="dxa"/>
            <w:tcBorders>
              <w:top w:val="nil"/>
              <w:left w:val="nil"/>
              <w:bottom w:val="nil"/>
              <w:right w:val="nil"/>
            </w:tcBorders>
            <w:shd w:val="clear" w:color="auto" w:fill="auto"/>
            <w:noWrap/>
            <w:vAlign w:val="center"/>
            <w:hideMark/>
          </w:tcPr>
          <w:p w14:paraId="5D7340F7"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-6.346</w:t>
            </w:r>
          </w:p>
        </w:tc>
        <w:tc>
          <w:tcPr>
            <w:tcW w:w="690" w:type="dxa"/>
            <w:tcBorders>
              <w:top w:val="nil"/>
              <w:left w:val="nil"/>
              <w:bottom w:val="nil"/>
              <w:right w:val="nil"/>
            </w:tcBorders>
            <w:shd w:val="clear" w:color="auto" w:fill="auto"/>
            <w:noWrap/>
            <w:vAlign w:val="center"/>
            <w:hideMark/>
          </w:tcPr>
          <w:p w14:paraId="2990231E"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-10.02</w:t>
            </w:r>
          </w:p>
        </w:tc>
        <w:tc>
          <w:tcPr>
            <w:tcW w:w="683" w:type="dxa"/>
            <w:tcBorders>
              <w:top w:val="nil"/>
              <w:left w:val="nil"/>
              <w:bottom w:val="nil"/>
              <w:right w:val="nil"/>
            </w:tcBorders>
            <w:shd w:val="clear" w:color="auto" w:fill="auto"/>
            <w:noWrap/>
            <w:vAlign w:val="center"/>
            <w:hideMark/>
          </w:tcPr>
          <w:p w14:paraId="199FF225"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-0.33</w:t>
            </w:r>
          </w:p>
        </w:tc>
        <w:tc>
          <w:tcPr>
            <w:tcW w:w="777" w:type="dxa"/>
            <w:tcBorders>
              <w:top w:val="nil"/>
              <w:left w:val="single" w:sz="4" w:space="0" w:color="auto"/>
              <w:bottom w:val="nil"/>
              <w:right w:val="nil"/>
            </w:tcBorders>
            <w:shd w:val="clear" w:color="auto" w:fill="auto"/>
            <w:noWrap/>
            <w:vAlign w:val="center"/>
            <w:hideMark/>
          </w:tcPr>
          <w:p w14:paraId="28192A6B"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7" w:type="dxa"/>
            <w:tcBorders>
              <w:top w:val="nil"/>
              <w:left w:val="nil"/>
              <w:bottom w:val="nil"/>
              <w:right w:val="nil"/>
            </w:tcBorders>
            <w:shd w:val="clear" w:color="auto" w:fill="auto"/>
            <w:noWrap/>
            <w:vAlign w:val="center"/>
            <w:hideMark/>
          </w:tcPr>
          <w:p w14:paraId="687D0E74"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8" w:type="dxa"/>
            <w:tcBorders>
              <w:top w:val="nil"/>
              <w:left w:val="nil"/>
              <w:bottom w:val="nil"/>
              <w:right w:val="single" w:sz="4" w:space="0" w:color="auto"/>
            </w:tcBorders>
            <w:shd w:val="clear" w:color="auto" w:fill="auto"/>
            <w:noWrap/>
            <w:vAlign w:val="center"/>
            <w:hideMark/>
          </w:tcPr>
          <w:p w14:paraId="20A07233"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0.7413</w:t>
            </w:r>
          </w:p>
        </w:tc>
      </w:tr>
      <w:tr w:rsidR="00F859C9" w:rsidRPr="00AB4D2E" w14:paraId="6AE745C8" w14:textId="77777777" w:rsidTr="000F27C1">
        <w:trPr>
          <w:trHeight w:val="294"/>
        </w:trPr>
        <w:tc>
          <w:tcPr>
            <w:tcW w:w="988" w:type="dxa"/>
            <w:tcBorders>
              <w:top w:val="nil"/>
              <w:left w:val="nil"/>
              <w:bottom w:val="nil"/>
              <w:right w:val="nil"/>
            </w:tcBorders>
            <w:shd w:val="clear" w:color="auto" w:fill="auto"/>
            <w:noWrap/>
            <w:vAlign w:val="bottom"/>
            <w:hideMark/>
          </w:tcPr>
          <w:p w14:paraId="1BC616F0"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DPCities</w:t>
            </w:r>
          </w:p>
        </w:tc>
        <w:tc>
          <w:tcPr>
            <w:tcW w:w="723" w:type="dxa"/>
            <w:tcBorders>
              <w:top w:val="nil"/>
              <w:left w:val="nil"/>
              <w:bottom w:val="nil"/>
              <w:right w:val="nil"/>
            </w:tcBorders>
            <w:shd w:val="clear" w:color="auto" w:fill="auto"/>
            <w:noWrap/>
            <w:vAlign w:val="center"/>
            <w:hideMark/>
          </w:tcPr>
          <w:p w14:paraId="196AA4B2" w14:textId="6F8F45B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-0002</w:t>
            </w:r>
          </w:p>
        </w:tc>
        <w:tc>
          <w:tcPr>
            <w:tcW w:w="734" w:type="dxa"/>
            <w:tcBorders>
              <w:top w:val="nil"/>
              <w:left w:val="nil"/>
              <w:bottom w:val="nil"/>
              <w:right w:val="nil"/>
            </w:tcBorders>
            <w:shd w:val="clear" w:color="auto" w:fill="auto"/>
            <w:noWrap/>
            <w:vAlign w:val="center"/>
            <w:hideMark/>
          </w:tcPr>
          <w:p w14:paraId="2B3CFA49" w14:textId="3B0D631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3</w:t>
            </w:r>
          </w:p>
        </w:tc>
        <w:tc>
          <w:tcPr>
            <w:tcW w:w="648" w:type="dxa"/>
            <w:tcBorders>
              <w:top w:val="nil"/>
              <w:left w:val="nil"/>
              <w:bottom w:val="nil"/>
              <w:right w:val="nil"/>
            </w:tcBorders>
            <w:shd w:val="clear" w:color="auto" w:fill="auto"/>
            <w:noWrap/>
            <w:vAlign w:val="center"/>
            <w:hideMark/>
          </w:tcPr>
          <w:p w14:paraId="5D5A9025" w14:textId="0ED2EBE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1</w:t>
            </w:r>
          </w:p>
        </w:tc>
        <w:tc>
          <w:tcPr>
            <w:tcW w:w="512" w:type="dxa"/>
            <w:tcBorders>
              <w:top w:val="nil"/>
              <w:left w:val="nil"/>
              <w:bottom w:val="nil"/>
              <w:right w:val="nil"/>
            </w:tcBorders>
            <w:shd w:val="clear" w:color="auto" w:fill="auto"/>
            <w:noWrap/>
            <w:vAlign w:val="center"/>
            <w:hideMark/>
          </w:tcPr>
          <w:p w14:paraId="7658BC2C" w14:textId="102BA3F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690" w:type="dxa"/>
            <w:tcBorders>
              <w:top w:val="nil"/>
              <w:left w:val="nil"/>
              <w:bottom w:val="nil"/>
              <w:right w:val="nil"/>
            </w:tcBorders>
            <w:shd w:val="clear" w:color="auto" w:fill="auto"/>
            <w:noWrap/>
            <w:vAlign w:val="center"/>
            <w:hideMark/>
          </w:tcPr>
          <w:p w14:paraId="4537D0EE" w14:textId="6912C56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556" w:type="dxa"/>
            <w:tcBorders>
              <w:top w:val="nil"/>
              <w:left w:val="nil"/>
              <w:bottom w:val="nil"/>
              <w:right w:val="nil"/>
            </w:tcBorders>
            <w:shd w:val="clear" w:color="auto" w:fill="auto"/>
            <w:noWrap/>
            <w:vAlign w:val="center"/>
            <w:hideMark/>
          </w:tcPr>
          <w:p w14:paraId="09571880" w14:textId="7C4963BA"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0.002</w:t>
            </w:r>
          </w:p>
        </w:tc>
        <w:tc>
          <w:tcPr>
            <w:tcW w:w="623" w:type="dxa"/>
            <w:tcBorders>
              <w:top w:val="nil"/>
              <w:left w:val="nil"/>
              <w:bottom w:val="nil"/>
              <w:right w:val="nil"/>
            </w:tcBorders>
            <w:shd w:val="clear" w:color="auto" w:fill="auto"/>
            <w:noWrap/>
            <w:vAlign w:val="center"/>
            <w:hideMark/>
          </w:tcPr>
          <w:p w14:paraId="6D539866"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-7.049</w:t>
            </w:r>
          </w:p>
        </w:tc>
        <w:tc>
          <w:tcPr>
            <w:tcW w:w="690" w:type="dxa"/>
            <w:tcBorders>
              <w:top w:val="nil"/>
              <w:left w:val="nil"/>
              <w:bottom w:val="nil"/>
              <w:right w:val="nil"/>
            </w:tcBorders>
            <w:shd w:val="clear" w:color="auto" w:fill="auto"/>
            <w:noWrap/>
            <w:vAlign w:val="center"/>
            <w:hideMark/>
          </w:tcPr>
          <w:p w14:paraId="3B0A8035"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-7.993</w:t>
            </w:r>
          </w:p>
        </w:tc>
        <w:tc>
          <w:tcPr>
            <w:tcW w:w="683" w:type="dxa"/>
            <w:tcBorders>
              <w:top w:val="nil"/>
              <w:left w:val="nil"/>
              <w:bottom w:val="nil"/>
              <w:right w:val="nil"/>
            </w:tcBorders>
            <w:shd w:val="clear" w:color="auto" w:fill="auto"/>
            <w:noWrap/>
            <w:vAlign w:val="center"/>
            <w:hideMark/>
          </w:tcPr>
          <w:p w14:paraId="1CE55489"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-0.211</w:t>
            </w:r>
          </w:p>
        </w:tc>
        <w:tc>
          <w:tcPr>
            <w:tcW w:w="777" w:type="dxa"/>
            <w:tcBorders>
              <w:top w:val="nil"/>
              <w:left w:val="single" w:sz="4" w:space="0" w:color="auto"/>
              <w:bottom w:val="nil"/>
              <w:right w:val="nil"/>
            </w:tcBorders>
            <w:shd w:val="clear" w:color="auto" w:fill="auto"/>
            <w:noWrap/>
            <w:vAlign w:val="center"/>
            <w:hideMark/>
          </w:tcPr>
          <w:p w14:paraId="24E8D919"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7" w:type="dxa"/>
            <w:tcBorders>
              <w:top w:val="nil"/>
              <w:left w:val="nil"/>
              <w:bottom w:val="nil"/>
              <w:right w:val="nil"/>
            </w:tcBorders>
            <w:shd w:val="clear" w:color="auto" w:fill="auto"/>
            <w:noWrap/>
            <w:vAlign w:val="center"/>
            <w:hideMark/>
          </w:tcPr>
          <w:p w14:paraId="13DD58F2"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8" w:type="dxa"/>
            <w:tcBorders>
              <w:top w:val="nil"/>
              <w:left w:val="nil"/>
              <w:bottom w:val="nil"/>
              <w:right w:val="single" w:sz="4" w:space="0" w:color="auto"/>
            </w:tcBorders>
            <w:shd w:val="clear" w:color="auto" w:fill="auto"/>
            <w:noWrap/>
            <w:vAlign w:val="center"/>
            <w:hideMark/>
          </w:tcPr>
          <w:p w14:paraId="2DA9EC9E"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0.8328</w:t>
            </w:r>
          </w:p>
        </w:tc>
      </w:tr>
      <w:tr w:rsidR="00F859C9" w:rsidRPr="00AB4D2E" w14:paraId="3D6208B9" w14:textId="77777777" w:rsidTr="000F27C1">
        <w:trPr>
          <w:trHeight w:val="294"/>
        </w:trPr>
        <w:tc>
          <w:tcPr>
            <w:tcW w:w="988" w:type="dxa"/>
            <w:tcBorders>
              <w:top w:val="nil"/>
              <w:left w:val="nil"/>
              <w:bottom w:val="nil"/>
              <w:right w:val="nil"/>
            </w:tcBorders>
            <w:shd w:val="clear" w:color="auto" w:fill="auto"/>
            <w:noWrap/>
            <w:vAlign w:val="bottom"/>
            <w:hideMark/>
          </w:tcPr>
          <w:p w14:paraId="456D086F"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DSRoads</w:t>
            </w:r>
          </w:p>
        </w:tc>
        <w:tc>
          <w:tcPr>
            <w:tcW w:w="723" w:type="dxa"/>
            <w:tcBorders>
              <w:top w:val="nil"/>
              <w:left w:val="nil"/>
              <w:bottom w:val="nil"/>
              <w:right w:val="nil"/>
            </w:tcBorders>
            <w:shd w:val="clear" w:color="auto" w:fill="auto"/>
            <w:noWrap/>
            <w:vAlign w:val="center"/>
            <w:hideMark/>
          </w:tcPr>
          <w:p w14:paraId="02E9710E" w14:textId="5F91648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4</w:t>
            </w:r>
          </w:p>
        </w:tc>
        <w:tc>
          <w:tcPr>
            <w:tcW w:w="734" w:type="dxa"/>
            <w:tcBorders>
              <w:top w:val="nil"/>
              <w:left w:val="nil"/>
              <w:bottom w:val="nil"/>
              <w:right w:val="nil"/>
            </w:tcBorders>
            <w:shd w:val="clear" w:color="auto" w:fill="auto"/>
            <w:noWrap/>
            <w:vAlign w:val="center"/>
            <w:hideMark/>
          </w:tcPr>
          <w:p w14:paraId="50A2DAAF" w14:textId="235090E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648" w:type="dxa"/>
            <w:tcBorders>
              <w:top w:val="nil"/>
              <w:left w:val="nil"/>
              <w:bottom w:val="nil"/>
              <w:right w:val="nil"/>
            </w:tcBorders>
            <w:shd w:val="clear" w:color="auto" w:fill="auto"/>
            <w:noWrap/>
            <w:vAlign w:val="center"/>
            <w:hideMark/>
          </w:tcPr>
          <w:p w14:paraId="12AC590D" w14:textId="557EB99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-0.059</w:t>
            </w:r>
          </w:p>
        </w:tc>
        <w:tc>
          <w:tcPr>
            <w:tcW w:w="512" w:type="dxa"/>
            <w:tcBorders>
              <w:top w:val="nil"/>
              <w:left w:val="nil"/>
              <w:bottom w:val="nil"/>
              <w:right w:val="nil"/>
            </w:tcBorders>
            <w:shd w:val="clear" w:color="auto" w:fill="auto"/>
            <w:noWrap/>
            <w:vAlign w:val="center"/>
            <w:hideMark/>
          </w:tcPr>
          <w:p w14:paraId="78E0FA4C" w14:textId="69DB762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1</w:t>
            </w:r>
          </w:p>
        </w:tc>
        <w:tc>
          <w:tcPr>
            <w:tcW w:w="690" w:type="dxa"/>
            <w:tcBorders>
              <w:top w:val="nil"/>
              <w:left w:val="nil"/>
              <w:bottom w:val="nil"/>
              <w:right w:val="nil"/>
            </w:tcBorders>
            <w:shd w:val="clear" w:color="auto" w:fill="auto"/>
            <w:noWrap/>
            <w:vAlign w:val="center"/>
            <w:hideMark/>
          </w:tcPr>
          <w:p w14:paraId="69EF26C0"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556" w:type="dxa"/>
            <w:tcBorders>
              <w:top w:val="nil"/>
              <w:left w:val="nil"/>
              <w:bottom w:val="nil"/>
              <w:right w:val="nil"/>
            </w:tcBorders>
            <w:shd w:val="clear" w:color="auto" w:fill="auto"/>
            <w:noWrap/>
            <w:vAlign w:val="center"/>
            <w:hideMark/>
          </w:tcPr>
          <w:p w14:paraId="16AE7862" w14:textId="21CE240A"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4</w:t>
            </w:r>
          </w:p>
        </w:tc>
        <w:tc>
          <w:tcPr>
            <w:tcW w:w="623" w:type="dxa"/>
            <w:tcBorders>
              <w:top w:val="nil"/>
              <w:left w:val="nil"/>
              <w:bottom w:val="nil"/>
              <w:right w:val="nil"/>
            </w:tcBorders>
            <w:shd w:val="clear" w:color="auto" w:fill="auto"/>
            <w:noWrap/>
            <w:vAlign w:val="center"/>
            <w:hideMark/>
          </w:tcPr>
          <w:p w14:paraId="3E4CF8E8"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4.748</w:t>
            </w:r>
          </w:p>
        </w:tc>
        <w:tc>
          <w:tcPr>
            <w:tcW w:w="690" w:type="dxa"/>
            <w:tcBorders>
              <w:top w:val="nil"/>
              <w:left w:val="nil"/>
              <w:bottom w:val="nil"/>
              <w:right w:val="nil"/>
            </w:tcBorders>
            <w:shd w:val="clear" w:color="auto" w:fill="auto"/>
            <w:noWrap/>
            <w:vAlign w:val="center"/>
            <w:hideMark/>
          </w:tcPr>
          <w:p w14:paraId="29F5A3B1"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-1.459</w:t>
            </w:r>
          </w:p>
        </w:tc>
        <w:tc>
          <w:tcPr>
            <w:tcW w:w="683" w:type="dxa"/>
            <w:tcBorders>
              <w:top w:val="nil"/>
              <w:left w:val="nil"/>
              <w:bottom w:val="nil"/>
              <w:right w:val="nil"/>
            </w:tcBorders>
            <w:shd w:val="clear" w:color="auto" w:fill="auto"/>
            <w:noWrap/>
            <w:vAlign w:val="center"/>
            <w:hideMark/>
          </w:tcPr>
          <w:p w14:paraId="4F9574BF"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-15.203</w:t>
            </w:r>
          </w:p>
        </w:tc>
        <w:tc>
          <w:tcPr>
            <w:tcW w:w="777" w:type="dxa"/>
            <w:tcBorders>
              <w:top w:val="nil"/>
              <w:left w:val="single" w:sz="4" w:space="0" w:color="auto"/>
              <w:bottom w:val="nil"/>
              <w:right w:val="nil"/>
            </w:tcBorders>
            <w:shd w:val="clear" w:color="auto" w:fill="auto"/>
            <w:noWrap/>
            <w:vAlign w:val="center"/>
            <w:hideMark/>
          </w:tcPr>
          <w:p w14:paraId="33ACAD1D"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7" w:type="dxa"/>
            <w:tcBorders>
              <w:top w:val="nil"/>
              <w:left w:val="nil"/>
              <w:bottom w:val="nil"/>
              <w:right w:val="nil"/>
            </w:tcBorders>
            <w:shd w:val="clear" w:color="auto" w:fill="auto"/>
            <w:noWrap/>
            <w:vAlign w:val="center"/>
            <w:hideMark/>
          </w:tcPr>
          <w:p w14:paraId="0279F054"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0.1446</w:t>
            </w:r>
          </w:p>
        </w:tc>
        <w:tc>
          <w:tcPr>
            <w:tcW w:w="778" w:type="dxa"/>
            <w:tcBorders>
              <w:top w:val="nil"/>
              <w:left w:val="nil"/>
              <w:bottom w:val="nil"/>
              <w:right w:val="single" w:sz="4" w:space="0" w:color="auto"/>
            </w:tcBorders>
            <w:shd w:val="clear" w:color="auto" w:fill="auto"/>
            <w:noWrap/>
            <w:vAlign w:val="center"/>
            <w:hideMark/>
          </w:tcPr>
          <w:p w14:paraId="1B05823C"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253A6D43" w14:textId="77777777" w:rsidTr="000F27C1">
        <w:trPr>
          <w:trHeight w:val="294"/>
        </w:trPr>
        <w:tc>
          <w:tcPr>
            <w:tcW w:w="988" w:type="dxa"/>
            <w:tcBorders>
              <w:top w:val="nil"/>
              <w:left w:val="nil"/>
              <w:bottom w:val="nil"/>
              <w:right w:val="nil"/>
            </w:tcBorders>
            <w:shd w:val="clear" w:color="auto" w:fill="auto"/>
            <w:noWrap/>
            <w:vAlign w:val="bottom"/>
            <w:hideMark/>
          </w:tcPr>
          <w:p w14:paraId="74F57247"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DACities</w:t>
            </w:r>
          </w:p>
        </w:tc>
        <w:tc>
          <w:tcPr>
            <w:tcW w:w="723" w:type="dxa"/>
            <w:tcBorders>
              <w:top w:val="nil"/>
              <w:left w:val="nil"/>
              <w:bottom w:val="nil"/>
              <w:right w:val="nil"/>
            </w:tcBorders>
            <w:shd w:val="clear" w:color="auto" w:fill="auto"/>
            <w:noWrap/>
            <w:vAlign w:val="center"/>
            <w:hideMark/>
          </w:tcPr>
          <w:p w14:paraId="072DFC2B" w14:textId="67CA79BD"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-0.027</w:t>
            </w:r>
          </w:p>
        </w:tc>
        <w:tc>
          <w:tcPr>
            <w:tcW w:w="734" w:type="dxa"/>
            <w:tcBorders>
              <w:top w:val="nil"/>
              <w:left w:val="nil"/>
              <w:bottom w:val="nil"/>
              <w:right w:val="nil"/>
            </w:tcBorders>
            <w:shd w:val="clear" w:color="auto" w:fill="auto"/>
            <w:noWrap/>
            <w:vAlign w:val="center"/>
            <w:hideMark/>
          </w:tcPr>
          <w:p w14:paraId="0A2FA02B" w14:textId="6641D42E"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9</w:t>
            </w:r>
          </w:p>
        </w:tc>
        <w:tc>
          <w:tcPr>
            <w:tcW w:w="648" w:type="dxa"/>
            <w:tcBorders>
              <w:top w:val="nil"/>
              <w:left w:val="nil"/>
              <w:bottom w:val="nil"/>
              <w:right w:val="nil"/>
            </w:tcBorders>
            <w:shd w:val="clear" w:color="auto" w:fill="auto"/>
            <w:noWrap/>
            <w:vAlign w:val="center"/>
            <w:hideMark/>
          </w:tcPr>
          <w:p w14:paraId="60203AFB" w14:textId="4BF6C8B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-0.02</w:t>
            </w:r>
            <w:r w:rsidR="0043306A" w:rsidRPr="00AB4D2E">
              <w:rPr>
                <w:rFonts w:cstheme="minorHAnsi"/>
                <w:color w:val="000000"/>
                <w:sz w:val="12"/>
                <w:szCs w:val="12"/>
              </w:rPr>
              <w:t>5</w:t>
            </w:r>
          </w:p>
        </w:tc>
        <w:tc>
          <w:tcPr>
            <w:tcW w:w="512" w:type="dxa"/>
            <w:tcBorders>
              <w:top w:val="nil"/>
              <w:left w:val="nil"/>
              <w:bottom w:val="nil"/>
              <w:right w:val="nil"/>
            </w:tcBorders>
            <w:shd w:val="clear" w:color="auto" w:fill="auto"/>
            <w:noWrap/>
            <w:vAlign w:val="center"/>
            <w:hideMark/>
          </w:tcPr>
          <w:p w14:paraId="4F839336" w14:textId="700596D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0.017</w:t>
            </w:r>
          </w:p>
        </w:tc>
        <w:tc>
          <w:tcPr>
            <w:tcW w:w="690" w:type="dxa"/>
            <w:tcBorders>
              <w:top w:val="nil"/>
              <w:left w:val="nil"/>
              <w:bottom w:val="nil"/>
              <w:right w:val="nil"/>
            </w:tcBorders>
            <w:shd w:val="clear" w:color="auto" w:fill="auto"/>
            <w:noWrap/>
            <w:vAlign w:val="center"/>
            <w:hideMark/>
          </w:tcPr>
          <w:p w14:paraId="05B36B44"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0.008</w:t>
            </w:r>
          </w:p>
        </w:tc>
        <w:tc>
          <w:tcPr>
            <w:tcW w:w="556" w:type="dxa"/>
            <w:tcBorders>
              <w:top w:val="nil"/>
              <w:left w:val="nil"/>
              <w:bottom w:val="nil"/>
              <w:right w:val="nil"/>
            </w:tcBorders>
            <w:shd w:val="clear" w:color="auto" w:fill="auto"/>
            <w:noWrap/>
            <w:vAlign w:val="center"/>
            <w:hideMark/>
          </w:tcPr>
          <w:p w14:paraId="4F26D1B7" w14:textId="625B0C6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0.002</w:t>
            </w:r>
          </w:p>
        </w:tc>
        <w:tc>
          <w:tcPr>
            <w:tcW w:w="623" w:type="dxa"/>
            <w:tcBorders>
              <w:top w:val="nil"/>
              <w:left w:val="nil"/>
              <w:bottom w:val="nil"/>
              <w:right w:val="nil"/>
            </w:tcBorders>
            <w:shd w:val="clear" w:color="auto" w:fill="auto"/>
            <w:noWrap/>
            <w:vAlign w:val="center"/>
            <w:hideMark/>
          </w:tcPr>
          <w:p w14:paraId="1F48344C"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-1.607</w:t>
            </w:r>
          </w:p>
        </w:tc>
        <w:tc>
          <w:tcPr>
            <w:tcW w:w="690" w:type="dxa"/>
            <w:tcBorders>
              <w:top w:val="nil"/>
              <w:left w:val="nil"/>
              <w:bottom w:val="nil"/>
              <w:right w:val="nil"/>
            </w:tcBorders>
            <w:shd w:val="clear" w:color="auto" w:fill="auto"/>
            <w:noWrap/>
            <w:vAlign w:val="center"/>
            <w:hideMark/>
          </w:tcPr>
          <w:p w14:paraId="300B00C8"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-1.081</w:t>
            </w:r>
          </w:p>
        </w:tc>
        <w:tc>
          <w:tcPr>
            <w:tcW w:w="683" w:type="dxa"/>
            <w:tcBorders>
              <w:top w:val="nil"/>
              <w:left w:val="nil"/>
              <w:bottom w:val="nil"/>
              <w:right w:val="nil"/>
            </w:tcBorders>
            <w:shd w:val="clear" w:color="auto" w:fill="auto"/>
            <w:noWrap/>
            <w:vAlign w:val="center"/>
            <w:hideMark/>
          </w:tcPr>
          <w:p w14:paraId="3129C2D6"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-4.702</w:t>
            </w:r>
          </w:p>
        </w:tc>
        <w:tc>
          <w:tcPr>
            <w:tcW w:w="777" w:type="dxa"/>
            <w:tcBorders>
              <w:top w:val="nil"/>
              <w:left w:val="single" w:sz="4" w:space="0" w:color="auto"/>
              <w:bottom w:val="nil"/>
              <w:right w:val="nil"/>
            </w:tcBorders>
            <w:shd w:val="clear" w:color="auto" w:fill="auto"/>
            <w:noWrap/>
            <w:vAlign w:val="center"/>
            <w:hideMark/>
          </w:tcPr>
          <w:p w14:paraId="2A245ED7"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0.1081</w:t>
            </w:r>
          </w:p>
        </w:tc>
        <w:tc>
          <w:tcPr>
            <w:tcW w:w="777" w:type="dxa"/>
            <w:tcBorders>
              <w:top w:val="nil"/>
              <w:left w:val="nil"/>
              <w:bottom w:val="nil"/>
              <w:right w:val="nil"/>
            </w:tcBorders>
            <w:shd w:val="clear" w:color="auto" w:fill="auto"/>
            <w:noWrap/>
            <w:vAlign w:val="center"/>
            <w:hideMark/>
          </w:tcPr>
          <w:p w14:paraId="50572270"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0.2796</w:t>
            </w:r>
          </w:p>
        </w:tc>
        <w:tc>
          <w:tcPr>
            <w:tcW w:w="778" w:type="dxa"/>
            <w:tcBorders>
              <w:top w:val="nil"/>
              <w:left w:val="nil"/>
              <w:bottom w:val="nil"/>
              <w:right w:val="single" w:sz="4" w:space="0" w:color="auto"/>
            </w:tcBorders>
            <w:shd w:val="clear" w:color="auto" w:fill="auto"/>
            <w:noWrap/>
            <w:vAlign w:val="center"/>
            <w:hideMark/>
          </w:tcPr>
          <w:p w14:paraId="39D115B4"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698F71F4" w14:textId="77777777" w:rsidTr="000F27C1">
        <w:trPr>
          <w:trHeight w:val="294"/>
        </w:trPr>
        <w:tc>
          <w:tcPr>
            <w:tcW w:w="988" w:type="dxa"/>
            <w:tcBorders>
              <w:top w:val="nil"/>
              <w:left w:val="nil"/>
              <w:bottom w:val="nil"/>
              <w:right w:val="nil"/>
            </w:tcBorders>
            <w:shd w:val="clear" w:color="auto" w:fill="auto"/>
            <w:noWrap/>
            <w:vAlign w:val="bottom"/>
            <w:hideMark/>
          </w:tcPr>
          <w:p w14:paraId="4D7E7922"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DARoads</w:t>
            </w:r>
          </w:p>
        </w:tc>
        <w:tc>
          <w:tcPr>
            <w:tcW w:w="723" w:type="dxa"/>
            <w:tcBorders>
              <w:top w:val="nil"/>
              <w:left w:val="nil"/>
              <w:bottom w:val="nil"/>
              <w:right w:val="nil"/>
            </w:tcBorders>
            <w:shd w:val="clear" w:color="auto" w:fill="auto"/>
            <w:noWrap/>
            <w:vAlign w:val="center"/>
            <w:hideMark/>
          </w:tcPr>
          <w:p w14:paraId="07F9E65F" w14:textId="5DAD3AA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-0.023</w:t>
            </w:r>
          </w:p>
        </w:tc>
        <w:tc>
          <w:tcPr>
            <w:tcW w:w="734" w:type="dxa"/>
            <w:tcBorders>
              <w:top w:val="nil"/>
              <w:left w:val="nil"/>
              <w:bottom w:val="nil"/>
              <w:right w:val="nil"/>
            </w:tcBorders>
            <w:shd w:val="clear" w:color="auto" w:fill="auto"/>
            <w:noWrap/>
            <w:vAlign w:val="center"/>
            <w:hideMark/>
          </w:tcPr>
          <w:p w14:paraId="190775E6" w14:textId="59B0D1B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-0.110</w:t>
            </w:r>
          </w:p>
        </w:tc>
        <w:tc>
          <w:tcPr>
            <w:tcW w:w="648" w:type="dxa"/>
            <w:tcBorders>
              <w:top w:val="nil"/>
              <w:left w:val="nil"/>
              <w:bottom w:val="nil"/>
              <w:right w:val="nil"/>
            </w:tcBorders>
            <w:shd w:val="clear" w:color="auto" w:fill="auto"/>
            <w:noWrap/>
            <w:vAlign w:val="center"/>
            <w:hideMark/>
          </w:tcPr>
          <w:p w14:paraId="4E42B28C" w14:textId="76D75A6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-0.18</w:t>
            </w:r>
            <w:r w:rsidR="0043306A" w:rsidRPr="00AB4D2E">
              <w:rPr>
                <w:rFonts w:cstheme="minorHAnsi"/>
                <w:color w:val="000000"/>
                <w:sz w:val="12"/>
                <w:szCs w:val="12"/>
              </w:rPr>
              <w:t>5</w:t>
            </w:r>
          </w:p>
        </w:tc>
        <w:tc>
          <w:tcPr>
            <w:tcW w:w="512" w:type="dxa"/>
            <w:tcBorders>
              <w:top w:val="nil"/>
              <w:left w:val="nil"/>
              <w:bottom w:val="nil"/>
              <w:right w:val="nil"/>
            </w:tcBorders>
            <w:shd w:val="clear" w:color="auto" w:fill="auto"/>
            <w:noWrap/>
            <w:vAlign w:val="center"/>
            <w:hideMark/>
          </w:tcPr>
          <w:p w14:paraId="6FC89553" w14:textId="7FFB8AB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8</w:t>
            </w:r>
          </w:p>
        </w:tc>
        <w:tc>
          <w:tcPr>
            <w:tcW w:w="690" w:type="dxa"/>
            <w:tcBorders>
              <w:top w:val="nil"/>
              <w:left w:val="nil"/>
              <w:bottom w:val="nil"/>
              <w:right w:val="nil"/>
            </w:tcBorders>
            <w:shd w:val="clear" w:color="auto" w:fill="auto"/>
            <w:noWrap/>
            <w:vAlign w:val="center"/>
            <w:hideMark/>
          </w:tcPr>
          <w:p w14:paraId="7D1583A4" w14:textId="7CB261B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w:t>
            </w:r>
            <w:r w:rsidR="0043306A" w:rsidRPr="00AB4D2E">
              <w:rPr>
                <w:rFonts w:cstheme="minorHAnsi"/>
                <w:color w:val="000000"/>
                <w:sz w:val="12"/>
                <w:szCs w:val="12"/>
              </w:rPr>
              <w:t>6</w:t>
            </w:r>
          </w:p>
        </w:tc>
        <w:tc>
          <w:tcPr>
            <w:tcW w:w="556" w:type="dxa"/>
            <w:tcBorders>
              <w:top w:val="nil"/>
              <w:left w:val="nil"/>
              <w:bottom w:val="nil"/>
              <w:right w:val="nil"/>
            </w:tcBorders>
            <w:shd w:val="clear" w:color="auto" w:fill="auto"/>
            <w:noWrap/>
            <w:vAlign w:val="center"/>
            <w:hideMark/>
          </w:tcPr>
          <w:p w14:paraId="3D681966" w14:textId="630FAA6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w:t>
            </w:r>
            <w:r w:rsidR="0043306A" w:rsidRPr="00AB4D2E">
              <w:rPr>
                <w:rFonts w:cstheme="minorHAnsi"/>
                <w:color w:val="000000"/>
                <w:sz w:val="12"/>
                <w:szCs w:val="12"/>
              </w:rPr>
              <w:t>8</w:t>
            </w:r>
          </w:p>
        </w:tc>
        <w:tc>
          <w:tcPr>
            <w:tcW w:w="623" w:type="dxa"/>
            <w:tcBorders>
              <w:top w:val="nil"/>
              <w:left w:val="nil"/>
              <w:bottom w:val="nil"/>
              <w:right w:val="nil"/>
            </w:tcBorders>
            <w:shd w:val="clear" w:color="auto" w:fill="auto"/>
            <w:noWrap/>
            <w:vAlign w:val="center"/>
            <w:hideMark/>
          </w:tcPr>
          <w:p w14:paraId="5DA32A68"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-3.047</w:t>
            </w:r>
          </w:p>
        </w:tc>
        <w:tc>
          <w:tcPr>
            <w:tcW w:w="690" w:type="dxa"/>
            <w:tcBorders>
              <w:top w:val="nil"/>
              <w:left w:val="nil"/>
              <w:bottom w:val="nil"/>
              <w:right w:val="nil"/>
            </w:tcBorders>
            <w:shd w:val="clear" w:color="auto" w:fill="auto"/>
            <w:noWrap/>
            <w:vAlign w:val="center"/>
            <w:hideMark/>
          </w:tcPr>
          <w:p w14:paraId="579EB524"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-7.106</w:t>
            </w:r>
          </w:p>
        </w:tc>
        <w:tc>
          <w:tcPr>
            <w:tcW w:w="683" w:type="dxa"/>
            <w:tcBorders>
              <w:top w:val="nil"/>
              <w:left w:val="nil"/>
              <w:bottom w:val="nil"/>
              <w:right w:val="nil"/>
            </w:tcBorders>
            <w:shd w:val="clear" w:color="auto" w:fill="auto"/>
            <w:noWrap/>
            <w:vAlign w:val="center"/>
            <w:hideMark/>
          </w:tcPr>
          <w:p w14:paraId="7E980C5A"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-10.39</w:t>
            </w:r>
          </w:p>
        </w:tc>
        <w:tc>
          <w:tcPr>
            <w:tcW w:w="777" w:type="dxa"/>
            <w:tcBorders>
              <w:top w:val="nil"/>
              <w:left w:val="single" w:sz="4" w:space="0" w:color="auto"/>
              <w:bottom w:val="nil"/>
              <w:right w:val="nil"/>
            </w:tcBorders>
            <w:shd w:val="clear" w:color="auto" w:fill="auto"/>
            <w:noWrap/>
            <w:vAlign w:val="center"/>
            <w:hideMark/>
          </w:tcPr>
          <w:p w14:paraId="2A1ED694"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0.0023</w:t>
            </w:r>
          </w:p>
        </w:tc>
        <w:tc>
          <w:tcPr>
            <w:tcW w:w="777" w:type="dxa"/>
            <w:tcBorders>
              <w:top w:val="nil"/>
              <w:left w:val="nil"/>
              <w:bottom w:val="nil"/>
              <w:right w:val="nil"/>
            </w:tcBorders>
            <w:shd w:val="clear" w:color="auto" w:fill="auto"/>
            <w:noWrap/>
            <w:vAlign w:val="center"/>
            <w:hideMark/>
          </w:tcPr>
          <w:p w14:paraId="7C1AA53B"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8" w:type="dxa"/>
            <w:tcBorders>
              <w:top w:val="nil"/>
              <w:left w:val="nil"/>
              <w:bottom w:val="nil"/>
              <w:right w:val="single" w:sz="4" w:space="0" w:color="auto"/>
            </w:tcBorders>
            <w:shd w:val="clear" w:color="auto" w:fill="auto"/>
            <w:noWrap/>
            <w:vAlign w:val="center"/>
            <w:hideMark/>
          </w:tcPr>
          <w:p w14:paraId="2541D4DA"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20FCF49B" w14:textId="77777777" w:rsidTr="000F27C1">
        <w:trPr>
          <w:trHeight w:val="294"/>
        </w:trPr>
        <w:tc>
          <w:tcPr>
            <w:tcW w:w="988" w:type="dxa"/>
            <w:tcBorders>
              <w:top w:val="nil"/>
              <w:left w:val="nil"/>
              <w:bottom w:val="nil"/>
              <w:right w:val="nil"/>
            </w:tcBorders>
            <w:shd w:val="clear" w:color="auto" w:fill="auto"/>
            <w:noWrap/>
            <w:vAlign w:val="bottom"/>
            <w:hideMark/>
          </w:tcPr>
          <w:p w14:paraId="3F1397C6"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DTRoads</w:t>
            </w:r>
          </w:p>
        </w:tc>
        <w:tc>
          <w:tcPr>
            <w:tcW w:w="723" w:type="dxa"/>
            <w:tcBorders>
              <w:top w:val="nil"/>
              <w:left w:val="nil"/>
              <w:bottom w:val="nil"/>
              <w:right w:val="nil"/>
            </w:tcBorders>
            <w:shd w:val="clear" w:color="auto" w:fill="auto"/>
            <w:noWrap/>
            <w:vAlign w:val="center"/>
            <w:hideMark/>
          </w:tcPr>
          <w:p w14:paraId="6DB2639D"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0.017</w:t>
            </w:r>
          </w:p>
        </w:tc>
        <w:tc>
          <w:tcPr>
            <w:tcW w:w="734" w:type="dxa"/>
            <w:tcBorders>
              <w:top w:val="nil"/>
              <w:left w:val="nil"/>
              <w:bottom w:val="nil"/>
              <w:right w:val="nil"/>
            </w:tcBorders>
            <w:shd w:val="clear" w:color="auto" w:fill="auto"/>
            <w:noWrap/>
            <w:vAlign w:val="center"/>
            <w:hideMark/>
          </w:tcPr>
          <w:p w14:paraId="6FA47252" w14:textId="1BA388E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0.03</w:t>
            </w:r>
            <w:r w:rsidR="0043306A" w:rsidRPr="00AB4D2E">
              <w:rPr>
                <w:rFonts w:cstheme="minorHAnsi"/>
                <w:color w:val="000000"/>
                <w:sz w:val="12"/>
                <w:szCs w:val="12"/>
              </w:rPr>
              <w:t>2</w:t>
            </w:r>
          </w:p>
        </w:tc>
        <w:tc>
          <w:tcPr>
            <w:tcW w:w="648" w:type="dxa"/>
            <w:tcBorders>
              <w:top w:val="nil"/>
              <w:left w:val="nil"/>
              <w:bottom w:val="nil"/>
              <w:right w:val="nil"/>
            </w:tcBorders>
            <w:shd w:val="clear" w:color="auto" w:fill="auto"/>
            <w:noWrap/>
            <w:vAlign w:val="center"/>
            <w:hideMark/>
          </w:tcPr>
          <w:p w14:paraId="12C2B066" w14:textId="3EB3E57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0.015</w:t>
            </w:r>
          </w:p>
        </w:tc>
        <w:tc>
          <w:tcPr>
            <w:tcW w:w="512" w:type="dxa"/>
            <w:tcBorders>
              <w:top w:val="nil"/>
              <w:left w:val="nil"/>
              <w:bottom w:val="nil"/>
              <w:right w:val="nil"/>
            </w:tcBorders>
            <w:shd w:val="clear" w:color="auto" w:fill="auto"/>
            <w:noWrap/>
            <w:vAlign w:val="center"/>
            <w:hideMark/>
          </w:tcPr>
          <w:p w14:paraId="51F5EF3A" w14:textId="66AA79AE"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6</w:t>
            </w:r>
          </w:p>
        </w:tc>
        <w:tc>
          <w:tcPr>
            <w:tcW w:w="690" w:type="dxa"/>
            <w:tcBorders>
              <w:top w:val="nil"/>
              <w:left w:val="nil"/>
              <w:bottom w:val="nil"/>
              <w:right w:val="nil"/>
            </w:tcBorders>
            <w:shd w:val="clear" w:color="auto" w:fill="auto"/>
            <w:noWrap/>
            <w:vAlign w:val="center"/>
            <w:hideMark/>
          </w:tcPr>
          <w:p w14:paraId="62E76A6C" w14:textId="32D503F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6</w:t>
            </w:r>
          </w:p>
        </w:tc>
        <w:tc>
          <w:tcPr>
            <w:tcW w:w="556" w:type="dxa"/>
            <w:tcBorders>
              <w:top w:val="nil"/>
              <w:left w:val="nil"/>
              <w:bottom w:val="nil"/>
              <w:right w:val="nil"/>
            </w:tcBorders>
            <w:shd w:val="clear" w:color="auto" w:fill="auto"/>
            <w:noWrap/>
            <w:vAlign w:val="center"/>
            <w:hideMark/>
          </w:tcPr>
          <w:p w14:paraId="62EA8FB8" w14:textId="6B09640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0.010</w:t>
            </w:r>
          </w:p>
        </w:tc>
        <w:tc>
          <w:tcPr>
            <w:tcW w:w="623" w:type="dxa"/>
            <w:tcBorders>
              <w:top w:val="nil"/>
              <w:left w:val="nil"/>
              <w:bottom w:val="nil"/>
              <w:right w:val="nil"/>
            </w:tcBorders>
            <w:shd w:val="clear" w:color="auto" w:fill="auto"/>
            <w:noWrap/>
            <w:vAlign w:val="center"/>
            <w:hideMark/>
          </w:tcPr>
          <w:p w14:paraId="5B98618E"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2.866</w:t>
            </w:r>
          </w:p>
        </w:tc>
        <w:tc>
          <w:tcPr>
            <w:tcW w:w="690" w:type="dxa"/>
            <w:tcBorders>
              <w:top w:val="nil"/>
              <w:left w:val="nil"/>
              <w:bottom w:val="nil"/>
              <w:right w:val="nil"/>
            </w:tcBorders>
            <w:shd w:val="clear" w:color="auto" w:fill="auto"/>
            <w:noWrap/>
            <w:vAlign w:val="center"/>
            <w:hideMark/>
          </w:tcPr>
          <w:p w14:paraId="7FE36B02"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5.299</w:t>
            </w:r>
          </w:p>
        </w:tc>
        <w:tc>
          <w:tcPr>
            <w:tcW w:w="683" w:type="dxa"/>
            <w:tcBorders>
              <w:top w:val="nil"/>
              <w:left w:val="nil"/>
              <w:bottom w:val="nil"/>
              <w:right w:val="nil"/>
            </w:tcBorders>
            <w:shd w:val="clear" w:color="auto" w:fill="auto"/>
            <w:noWrap/>
            <w:vAlign w:val="center"/>
            <w:hideMark/>
          </w:tcPr>
          <w:p w14:paraId="528D378B"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1.497</w:t>
            </w:r>
          </w:p>
        </w:tc>
        <w:tc>
          <w:tcPr>
            <w:tcW w:w="777" w:type="dxa"/>
            <w:tcBorders>
              <w:top w:val="nil"/>
              <w:left w:val="single" w:sz="4" w:space="0" w:color="auto"/>
              <w:bottom w:val="nil"/>
              <w:right w:val="nil"/>
            </w:tcBorders>
            <w:shd w:val="clear" w:color="auto" w:fill="auto"/>
            <w:noWrap/>
            <w:vAlign w:val="center"/>
            <w:hideMark/>
          </w:tcPr>
          <w:p w14:paraId="0E98A73E"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0.0042**</w:t>
            </w:r>
          </w:p>
        </w:tc>
        <w:tc>
          <w:tcPr>
            <w:tcW w:w="777" w:type="dxa"/>
            <w:tcBorders>
              <w:top w:val="nil"/>
              <w:left w:val="nil"/>
              <w:bottom w:val="nil"/>
              <w:right w:val="nil"/>
            </w:tcBorders>
            <w:shd w:val="clear" w:color="auto" w:fill="auto"/>
            <w:noWrap/>
            <w:vAlign w:val="center"/>
            <w:hideMark/>
          </w:tcPr>
          <w:p w14:paraId="11549D8A"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8" w:type="dxa"/>
            <w:tcBorders>
              <w:top w:val="nil"/>
              <w:left w:val="nil"/>
              <w:bottom w:val="nil"/>
              <w:right w:val="single" w:sz="4" w:space="0" w:color="auto"/>
            </w:tcBorders>
            <w:shd w:val="clear" w:color="auto" w:fill="auto"/>
            <w:noWrap/>
            <w:vAlign w:val="center"/>
            <w:hideMark/>
          </w:tcPr>
          <w:p w14:paraId="762C6A75"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0.1344</w:t>
            </w:r>
          </w:p>
        </w:tc>
      </w:tr>
      <w:tr w:rsidR="00F859C9" w:rsidRPr="00AB4D2E" w14:paraId="0B53CB9C" w14:textId="77777777" w:rsidTr="000F27C1">
        <w:trPr>
          <w:trHeight w:val="294"/>
        </w:trPr>
        <w:tc>
          <w:tcPr>
            <w:tcW w:w="988" w:type="dxa"/>
            <w:tcBorders>
              <w:top w:val="nil"/>
              <w:left w:val="nil"/>
              <w:bottom w:val="nil"/>
              <w:right w:val="nil"/>
            </w:tcBorders>
            <w:shd w:val="clear" w:color="auto" w:fill="auto"/>
            <w:noWrap/>
            <w:vAlign w:val="bottom"/>
            <w:hideMark/>
          </w:tcPr>
          <w:p w14:paraId="23409994"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DRivers</w:t>
            </w:r>
          </w:p>
        </w:tc>
        <w:tc>
          <w:tcPr>
            <w:tcW w:w="723" w:type="dxa"/>
            <w:tcBorders>
              <w:top w:val="nil"/>
              <w:left w:val="nil"/>
              <w:bottom w:val="nil"/>
              <w:right w:val="nil"/>
            </w:tcBorders>
            <w:shd w:val="clear" w:color="auto" w:fill="auto"/>
            <w:noWrap/>
            <w:vAlign w:val="center"/>
            <w:hideMark/>
          </w:tcPr>
          <w:p w14:paraId="0050903F" w14:textId="6BC72D3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734" w:type="dxa"/>
            <w:tcBorders>
              <w:top w:val="nil"/>
              <w:left w:val="nil"/>
              <w:bottom w:val="nil"/>
              <w:right w:val="nil"/>
            </w:tcBorders>
            <w:shd w:val="clear" w:color="auto" w:fill="auto"/>
            <w:noWrap/>
            <w:vAlign w:val="center"/>
            <w:hideMark/>
          </w:tcPr>
          <w:p w14:paraId="2DBA6D52" w14:textId="780F2E91"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2</w:t>
            </w:r>
          </w:p>
        </w:tc>
        <w:tc>
          <w:tcPr>
            <w:tcW w:w="648" w:type="dxa"/>
            <w:tcBorders>
              <w:top w:val="nil"/>
              <w:left w:val="nil"/>
              <w:bottom w:val="nil"/>
              <w:right w:val="nil"/>
            </w:tcBorders>
            <w:shd w:val="clear" w:color="auto" w:fill="auto"/>
            <w:noWrap/>
            <w:vAlign w:val="center"/>
            <w:hideMark/>
          </w:tcPr>
          <w:p w14:paraId="6400B19D" w14:textId="7790BF3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512" w:type="dxa"/>
            <w:tcBorders>
              <w:top w:val="nil"/>
              <w:left w:val="nil"/>
              <w:bottom w:val="nil"/>
              <w:right w:val="nil"/>
            </w:tcBorders>
            <w:shd w:val="clear" w:color="auto" w:fill="auto"/>
            <w:noWrap/>
            <w:vAlign w:val="center"/>
            <w:hideMark/>
          </w:tcPr>
          <w:p w14:paraId="09AABF90" w14:textId="797A79B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690" w:type="dxa"/>
            <w:tcBorders>
              <w:top w:val="nil"/>
              <w:left w:val="nil"/>
              <w:bottom w:val="nil"/>
              <w:right w:val="nil"/>
            </w:tcBorders>
            <w:shd w:val="clear" w:color="auto" w:fill="auto"/>
            <w:noWrap/>
            <w:vAlign w:val="center"/>
            <w:hideMark/>
          </w:tcPr>
          <w:p w14:paraId="76839D86" w14:textId="639E702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556" w:type="dxa"/>
            <w:tcBorders>
              <w:top w:val="nil"/>
              <w:left w:val="nil"/>
              <w:bottom w:val="nil"/>
              <w:right w:val="nil"/>
            </w:tcBorders>
            <w:shd w:val="clear" w:color="auto" w:fill="auto"/>
            <w:noWrap/>
            <w:vAlign w:val="center"/>
            <w:hideMark/>
          </w:tcPr>
          <w:p w14:paraId="323F0FF2" w14:textId="369A96F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623" w:type="dxa"/>
            <w:tcBorders>
              <w:top w:val="nil"/>
              <w:left w:val="nil"/>
              <w:bottom w:val="nil"/>
              <w:right w:val="nil"/>
            </w:tcBorders>
            <w:shd w:val="clear" w:color="auto" w:fill="auto"/>
            <w:noWrap/>
            <w:vAlign w:val="center"/>
            <w:hideMark/>
          </w:tcPr>
          <w:p w14:paraId="385390E7"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8.23</w:t>
            </w:r>
          </w:p>
        </w:tc>
        <w:tc>
          <w:tcPr>
            <w:tcW w:w="690" w:type="dxa"/>
            <w:tcBorders>
              <w:top w:val="nil"/>
              <w:left w:val="nil"/>
              <w:bottom w:val="nil"/>
              <w:right w:val="nil"/>
            </w:tcBorders>
            <w:shd w:val="clear" w:color="auto" w:fill="auto"/>
            <w:noWrap/>
            <w:vAlign w:val="center"/>
            <w:hideMark/>
          </w:tcPr>
          <w:p w14:paraId="78EACD86"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8.61</w:t>
            </w:r>
          </w:p>
        </w:tc>
        <w:tc>
          <w:tcPr>
            <w:tcW w:w="683" w:type="dxa"/>
            <w:tcBorders>
              <w:top w:val="nil"/>
              <w:left w:val="nil"/>
              <w:bottom w:val="nil"/>
              <w:right w:val="nil"/>
            </w:tcBorders>
            <w:shd w:val="clear" w:color="auto" w:fill="auto"/>
            <w:noWrap/>
            <w:vAlign w:val="center"/>
            <w:hideMark/>
          </w:tcPr>
          <w:p w14:paraId="62DB8530"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-0.102</w:t>
            </w:r>
          </w:p>
        </w:tc>
        <w:tc>
          <w:tcPr>
            <w:tcW w:w="777" w:type="dxa"/>
            <w:tcBorders>
              <w:top w:val="nil"/>
              <w:left w:val="single" w:sz="4" w:space="0" w:color="auto"/>
              <w:bottom w:val="nil"/>
              <w:right w:val="nil"/>
            </w:tcBorders>
            <w:shd w:val="clear" w:color="auto" w:fill="auto"/>
            <w:noWrap/>
            <w:vAlign w:val="center"/>
            <w:hideMark/>
          </w:tcPr>
          <w:p w14:paraId="1A9177DA"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7" w:type="dxa"/>
            <w:tcBorders>
              <w:top w:val="nil"/>
              <w:left w:val="nil"/>
              <w:bottom w:val="nil"/>
              <w:right w:val="nil"/>
            </w:tcBorders>
            <w:shd w:val="clear" w:color="auto" w:fill="auto"/>
            <w:noWrap/>
            <w:vAlign w:val="center"/>
            <w:hideMark/>
          </w:tcPr>
          <w:p w14:paraId="59AFB1DF"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8" w:type="dxa"/>
            <w:tcBorders>
              <w:top w:val="nil"/>
              <w:left w:val="nil"/>
              <w:bottom w:val="nil"/>
              <w:right w:val="single" w:sz="4" w:space="0" w:color="auto"/>
            </w:tcBorders>
            <w:shd w:val="clear" w:color="auto" w:fill="auto"/>
            <w:noWrap/>
            <w:vAlign w:val="center"/>
            <w:hideMark/>
          </w:tcPr>
          <w:p w14:paraId="4447A362"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0.9185</w:t>
            </w:r>
          </w:p>
        </w:tc>
      </w:tr>
      <w:tr w:rsidR="00F859C9" w:rsidRPr="00AB4D2E" w14:paraId="671F268A" w14:textId="77777777" w:rsidTr="000F27C1">
        <w:trPr>
          <w:trHeight w:val="294"/>
        </w:trPr>
        <w:tc>
          <w:tcPr>
            <w:tcW w:w="988" w:type="dxa"/>
            <w:tcBorders>
              <w:top w:val="nil"/>
              <w:left w:val="nil"/>
              <w:bottom w:val="nil"/>
              <w:right w:val="nil"/>
            </w:tcBorders>
            <w:shd w:val="clear" w:color="auto" w:fill="auto"/>
            <w:noWrap/>
            <w:vAlign w:val="bottom"/>
            <w:hideMark/>
          </w:tcPr>
          <w:p w14:paraId="28B6CD74"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DPRoads</w:t>
            </w:r>
          </w:p>
        </w:tc>
        <w:tc>
          <w:tcPr>
            <w:tcW w:w="723" w:type="dxa"/>
            <w:tcBorders>
              <w:top w:val="nil"/>
              <w:left w:val="nil"/>
              <w:bottom w:val="nil"/>
              <w:right w:val="nil"/>
            </w:tcBorders>
            <w:shd w:val="clear" w:color="auto" w:fill="auto"/>
            <w:noWrap/>
            <w:vAlign w:val="center"/>
            <w:hideMark/>
          </w:tcPr>
          <w:p w14:paraId="07F4B44F" w14:textId="4DDAABA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2</w:t>
            </w:r>
          </w:p>
        </w:tc>
        <w:tc>
          <w:tcPr>
            <w:tcW w:w="734" w:type="dxa"/>
            <w:tcBorders>
              <w:top w:val="nil"/>
              <w:left w:val="nil"/>
              <w:bottom w:val="nil"/>
              <w:right w:val="nil"/>
            </w:tcBorders>
            <w:shd w:val="clear" w:color="auto" w:fill="auto"/>
            <w:noWrap/>
            <w:vAlign w:val="center"/>
            <w:hideMark/>
          </w:tcPr>
          <w:p w14:paraId="51B5F405" w14:textId="531DFB5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0.006</w:t>
            </w:r>
          </w:p>
        </w:tc>
        <w:tc>
          <w:tcPr>
            <w:tcW w:w="648" w:type="dxa"/>
            <w:tcBorders>
              <w:top w:val="nil"/>
              <w:left w:val="nil"/>
              <w:bottom w:val="nil"/>
              <w:right w:val="nil"/>
            </w:tcBorders>
            <w:shd w:val="clear" w:color="auto" w:fill="auto"/>
            <w:noWrap/>
            <w:vAlign w:val="center"/>
            <w:hideMark/>
          </w:tcPr>
          <w:p w14:paraId="4C5F3BEF" w14:textId="5B1D2C9A"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w:t>
            </w:r>
            <w:r w:rsidR="0043306A" w:rsidRPr="00AB4D2E">
              <w:rPr>
                <w:rFonts w:cstheme="minorHAnsi"/>
                <w:color w:val="000000"/>
                <w:sz w:val="12"/>
                <w:szCs w:val="12"/>
              </w:rPr>
              <w:t>8</w:t>
            </w:r>
          </w:p>
        </w:tc>
        <w:tc>
          <w:tcPr>
            <w:tcW w:w="512" w:type="dxa"/>
            <w:tcBorders>
              <w:top w:val="nil"/>
              <w:left w:val="nil"/>
              <w:bottom w:val="nil"/>
              <w:right w:val="nil"/>
            </w:tcBorders>
            <w:shd w:val="clear" w:color="auto" w:fill="auto"/>
            <w:noWrap/>
            <w:vAlign w:val="center"/>
            <w:hideMark/>
          </w:tcPr>
          <w:p w14:paraId="7C8B0AAD" w14:textId="19909B1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1</w:t>
            </w:r>
          </w:p>
        </w:tc>
        <w:tc>
          <w:tcPr>
            <w:tcW w:w="690" w:type="dxa"/>
            <w:tcBorders>
              <w:top w:val="nil"/>
              <w:left w:val="nil"/>
              <w:bottom w:val="nil"/>
              <w:right w:val="nil"/>
            </w:tcBorders>
            <w:shd w:val="clear" w:color="auto" w:fill="auto"/>
            <w:noWrap/>
            <w:vAlign w:val="center"/>
            <w:hideMark/>
          </w:tcPr>
          <w:p w14:paraId="7D257A4B" w14:textId="5C1F3D3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1</w:t>
            </w:r>
          </w:p>
        </w:tc>
        <w:tc>
          <w:tcPr>
            <w:tcW w:w="556" w:type="dxa"/>
            <w:tcBorders>
              <w:top w:val="nil"/>
              <w:left w:val="nil"/>
              <w:bottom w:val="nil"/>
              <w:right w:val="nil"/>
            </w:tcBorders>
            <w:shd w:val="clear" w:color="auto" w:fill="auto"/>
            <w:noWrap/>
            <w:vAlign w:val="center"/>
            <w:hideMark/>
          </w:tcPr>
          <w:p w14:paraId="21D17B5F" w14:textId="12F4061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623" w:type="dxa"/>
            <w:tcBorders>
              <w:top w:val="nil"/>
              <w:left w:val="nil"/>
              <w:bottom w:val="nil"/>
              <w:right w:val="nil"/>
            </w:tcBorders>
            <w:shd w:val="clear" w:color="auto" w:fill="auto"/>
            <w:noWrap/>
            <w:vAlign w:val="center"/>
            <w:hideMark/>
          </w:tcPr>
          <w:p w14:paraId="7C76A32E"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2.562</w:t>
            </w:r>
          </w:p>
        </w:tc>
        <w:tc>
          <w:tcPr>
            <w:tcW w:w="690" w:type="dxa"/>
            <w:tcBorders>
              <w:top w:val="nil"/>
              <w:left w:val="nil"/>
              <w:bottom w:val="nil"/>
              <w:right w:val="nil"/>
            </w:tcBorders>
            <w:shd w:val="clear" w:color="auto" w:fill="auto"/>
            <w:noWrap/>
            <w:vAlign w:val="center"/>
            <w:hideMark/>
          </w:tcPr>
          <w:p w14:paraId="6E5F1A56"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8.749</w:t>
            </w:r>
          </w:p>
        </w:tc>
        <w:tc>
          <w:tcPr>
            <w:tcW w:w="683" w:type="dxa"/>
            <w:tcBorders>
              <w:top w:val="nil"/>
              <w:left w:val="nil"/>
              <w:bottom w:val="nil"/>
              <w:right w:val="nil"/>
            </w:tcBorders>
            <w:shd w:val="clear" w:color="auto" w:fill="auto"/>
            <w:noWrap/>
            <w:vAlign w:val="center"/>
            <w:hideMark/>
          </w:tcPr>
          <w:p w14:paraId="5182548B"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-12.925</w:t>
            </w:r>
          </w:p>
        </w:tc>
        <w:tc>
          <w:tcPr>
            <w:tcW w:w="777" w:type="dxa"/>
            <w:tcBorders>
              <w:top w:val="nil"/>
              <w:left w:val="single" w:sz="4" w:space="0" w:color="auto"/>
              <w:bottom w:val="nil"/>
              <w:right w:val="nil"/>
            </w:tcBorders>
            <w:shd w:val="clear" w:color="auto" w:fill="auto"/>
            <w:noWrap/>
            <w:vAlign w:val="center"/>
            <w:hideMark/>
          </w:tcPr>
          <w:p w14:paraId="0FF249B7"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0.0104*</w:t>
            </w:r>
          </w:p>
        </w:tc>
        <w:tc>
          <w:tcPr>
            <w:tcW w:w="777" w:type="dxa"/>
            <w:tcBorders>
              <w:top w:val="nil"/>
              <w:left w:val="nil"/>
              <w:bottom w:val="nil"/>
              <w:right w:val="nil"/>
            </w:tcBorders>
            <w:shd w:val="clear" w:color="auto" w:fill="auto"/>
            <w:noWrap/>
            <w:vAlign w:val="center"/>
            <w:hideMark/>
          </w:tcPr>
          <w:p w14:paraId="5D02B690"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8" w:type="dxa"/>
            <w:tcBorders>
              <w:top w:val="nil"/>
              <w:left w:val="nil"/>
              <w:bottom w:val="nil"/>
              <w:right w:val="single" w:sz="4" w:space="0" w:color="auto"/>
            </w:tcBorders>
            <w:shd w:val="clear" w:color="auto" w:fill="auto"/>
            <w:noWrap/>
            <w:vAlign w:val="center"/>
            <w:hideMark/>
          </w:tcPr>
          <w:p w14:paraId="4C229E49"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3BB6AB89" w14:textId="77777777" w:rsidTr="000F27C1">
        <w:trPr>
          <w:trHeight w:val="294"/>
        </w:trPr>
        <w:tc>
          <w:tcPr>
            <w:tcW w:w="988" w:type="dxa"/>
            <w:tcBorders>
              <w:top w:val="nil"/>
              <w:left w:val="nil"/>
              <w:bottom w:val="nil"/>
              <w:right w:val="nil"/>
            </w:tcBorders>
            <w:shd w:val="clear" w:color="auto" w:fill="auto"/>
            <w:noWrap/>
            <w:vAlign w:val="bottom"/>
            <w:hideMark/>
          </w:tcPr>
          <w:p w14:paraId="31167C09"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Hillshade</w:t>
            </w:r>
          </w:p>
        </w:tc>
        <w:tc>
          <w:tcPr>
            <w:tcW w:w="723" w:type="dxa"/>
            <w:tcBorders>
              <w:top w:val="nil"/>
              <w:left w:val="nil"/>
              <w:bottom w:val="nil"/>
              <w:right w:val="nil"/>
            </w:tcBorders>
            <w:shd w:val="clear" w:color="auto" w:fill="auto"/>
            <w:noWrap/>
            <w:vAlign w:val="center"/>
            <w:hideMark/>
          </w:tcPr>
          <w:p w14:paraId="46A1416E" w14:textId="58F815C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734" w:type="dxa"/>
            <w:tcBorders>
              <w:top w:val="nil"/>
              <w:left w:val="nil"/>
              <w:bottom w:val="nil"/>
              <w:right w:val="nil"/>
            </w:tcBorders>
            <w:shd w:val="clear" w:color="auto" w:fill="auto"/>
            <w:noWrap/>
            <w:vAlign w:val="center"/>
            <w:hideMark/>
          </w:tcPr>
          <w:p w14:paraId="335802D6" w14:textId="5651D55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1</w:t>
            </w:r>
          </w:p>
        </w:tc>
        <w:tc>
          <w:tcPr>
            <w:tcW w:w="648" w:type="dxa"/>
            <w:tcBorders>
              <w:top w:val="nil"/>
              <w:left w:val="nil"/>
              <w:bottom w:val="nil"/>
              <w:right w:val="nil"/>
            </w:tcBorders>
            <w:shd w:val="clear" w:color="auto" w:fill="auto"/>
            <w:noWrap/>
            <w:vAlign w:val="center"/>
            <w:hideMark/>
          </w:tcPr>
          <w:p w14:paraId="52719878" w14:textId="1C73126D"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-0.003</w:t>
            </w:r>
          </w:p>
        </w:tc>
        <w:tc>
          <w:tcPr>
            <w:tcW w:w="512" w:type="dxa"/>
            <w:tcBorders>
              <w:top w:val="nil"/>
              <w:left w:val="nil"/>
              <w:bottom w:val="nil"/>
              <w:right w:val="nil"/>
            </w:tcBorders>
            <w:shd w:val="clear" w:color="auto" w:fill="auto"/>
            <w:noWrap/>
            <w:vAlign w:val="center"/>
            <w:hideMark/>
          </w:tcPr>
          <w:p w14:paraId="6AF30D6E" w14:textId="5650DF3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2</w:t>
            </w:r>
          </w:p>
        </w:tc>
        <w:tc>
          <w:tcPr>
            <w:tcW w:w="690" w:type="dxa"/>
            <w:tcBorders>
              <w:top w:val="nil"/>
              <w:left w:val="nil"/>
              <w:bottom w:val="nil"/>
              <w:right w:val="nil"/>
            </w:tcBorders>
            <w:shd w:val="clear" w:color="auto" w:fill="auto"/>
            <w:noWrap/>
            <w:vAlign w:val="center"/>
            <w:hideMark/>
          </w:tcPr>
          <w:p w14:paraId="09572D00" w14:textId="490BF06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2</w:t>
            </w:r>
          </w:p>
        </w:tc>
        <w:tc>
          <w:tcPr>
            <w:tcW w:w="556" w:type="dxa"/>
            <w:tcBorders>
              <w:top w:val="nil"/>
              <w:left w:val="nil"/>
              <w:bottom w:val="nil"/>
              <w:right w:val="nil"/>
            </w:tcBorders>
            <w:shd w:val="clear" w:color="auto" w:fill="auto"/>
            <w:noWrap/>
            <w:vAlign w:val="center"/>
            <w:hideMark/>
          </w:tcPr>
          <w:p w14:paraId="70660C2C" w14:textId="6A13468F"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623" w:type="dxa"/>
            <w:tcBorders>
              <w:top w:val="nil"/>
              <w:left w:val="nil"/>
              <w:bottom w:val="nil"/>
              <w:right w:val="nil"/>
            </w:tcBorders>
            <w:shd w:val="clear" w:color="auto" w:fill="auto"/>
            <w:noWrap/>
            <w:vAlign w:val="center"/>
            <w:hideMark/>
          </w:tcPr>
          <w:p w14:paraId="15EDF683"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-0.895</w:t>
            </w:r>
          </w:p>
        </w:tc>
        <w:tc>
          <w:tcPr>
            <w:tcW w:w="690" w:type="dxa"/>
            <w:tcBorders>
              <w:top w:val="nil"/>
              <w:left w:val="nil"/>
              <w:bottom w:val="nil"/>
              <w:right w:val="nil"/>
            </w:tcBorders>
            <w:shd w:val="clear" w:color="auto" w:fill="auto"/>
            <w:noWrap/>
            <w:vAlign w:val="center"/>
            <w:hideMark/>
          </w:tcPr>
          <w:p w14:paraId="6516C340"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-0.396</w:t>
            </w:r>
          </w:p>
        </w:tc>
        <w:tc>
          <w:tcPr>
            <w:tcW w:w="683" w:type="dxa"/>
            <w:tcBorders>
              <w:top w:val="nil"/>
              <w:left w:val="nil"/>
              <w:bottom w:val="nil"/>
              <w:right w:val="nil"/>
            </w:tcBorders>
            <w:shd w:val="clear" w:color="auto" w:fill="auto"/>
            <w:noWrap/>
            <w:vAlign w:val="center"/>
            <w:hideMark/>
          </w:tcPr>
          <w:p w14:paraId="354D48EA"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-2.434</w:t>
            </w:r>
          </w:p>
        </w:tc>
        <w:tc>
          <w:tcPr>
            <w:tcW w:w="777" w:type="dxa"/>
            <w:tcBorders>
              <w:top w:val="nil"/>
              <w:left w:val="single" w:sz="4" w:space="0" w:color="auto"/>
              <w:bottom w:val="nil"/>
              <w:right w:val="nil"/>
            </w:tcBorders>
            <w:shd w:val="clear" w:color="auto" w:fill="auto"/>
            <w:noWrap/>
            <w:vAlign w:val="center"/>
            <w:hideMark/>
          </w:tcPr>
          <w:p w14:paraId="70F30A9A"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0.3709</w:t>
            </w:r>
          </w:p>
        </w:tc>
        <w:tc>
          <w:tcPr>
            <w:tcW w:w="777" w:type="dxa"/>
            <w:tcBorders>
              <w:top w:val="nil"/>
              <w:left w:val="nil"/>
              <w:bottom w:val="nil"/>
              <w:right w:val="nil"/>
            </w:tcBorders>
            <w:shd w:val="clear" w:color="auto" w:fill="auto"/>
            <w:noWrap/>
            <w:vAlign w:val="center"/>
            <w:hideMark/>
          </w:tcPr>
          <w:p w14:paraId="36EAAEBB"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0.692</w:t>
            </w:r>
          </w:p>
        </w:tc>
        <w:tc>
          <w:tcPr>
            <w:tcW w:w="778" w:type="dxa"/>
            <w:tcBorders>
              <w:top w:val="nil"/>
              <w:left w:val="nil"/>
              <w:bottom w:val="nil"/>
              <w:right w:val="single" w:sz="4" w:space="0" w:color="auto"/>
            </w:tcBorders>
            <w:shd w:val="clear" w:color="auto" w:fill="auto"/>
            <w:noWrap/>
            <w:vAlign w:val="center"/>
            <w:hideMark/>
          </w:tcPr>
          <w:p w14:paraId="643E0E47"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 xml:space="preserve">0.0149 * </w:t>
            </w:r>
          </w:p>
        </w:tc>
      </w:tr>
      <w:tr w:rsidR="00F859C9" w:rsidRPr="00AB4D2E" w14:paraId="6F612186" w14:textId="77777777" w:rsidTr="000F27C1">
        <w:trPr>
          <w:trHeight w:val="294"/>
        </w:trPr>
        <w:tc>
          <w:tcPr>
            <w:tcW w:w="988" w:type="dxa"/>
            <w:tcBorders>
              <w:top w:val="nil"/>
              <w:left w:val="nil"/>
              <w:bottom w:val="nil"/>
              <w:right w:val="nil"/>
            </w:tcBorders>
            <w:shd w:val="clear" w:color="auto" w:fill="auto"/>
            <w:noWrap/>
            <w:vAlign w:val="bottom"/>
            <w:hideMark/>
          </w:tcPr>
          <w:p w14:paraId="69DF7644"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Slope</w:t>
            </w:r>
          </w:p>
        </w:tc>
        <w:tc>
          <w:tcPr>
            <w:tcW w:w="723" w:type="dxa"/>
            <w:tcBorders>
              <w:top w:val="nil"/>
              <w:left w:val="nil"/>
              <w:bottom w:val="nil"/>
              <w:right w:val="nil"/>
            </w:tcBorders>
            <w:shd w:val="clear" w:color="auto" w:fill="auto"/>
            <w:noWrap/>
            <w:vAlign w:val="center"/>
            <w:hideMark/>
          </w:tcPr>
          <w:p w14:paraId="3CC90431" w14:textId="1591379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2</w:t>
            </w:r>
          </w:p>
        </w:tc>
        <w:tc>
          <w:tcPr>
            <w:tcW w:w="734" w:type="dxa"/>
            <w:tcBorders>
              <w:top w:val="nil"/>
              <w:left w:val="nil"/>
              <w:bottom w:val="nil"/>
              <w:right w:val="nil"/>
            </w:tcBorders>
            <w:shd w:val="clear" w:color="auto" w:fill="auto"/>
            <w:noWrap/>
            <w:vAlign w:val="center"/>
            <w:hideMark/>
          </w:tcPr>
          <w:p w14:paraId="06B29E73" w14:textId="7F0DB70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-0.017</w:t>
            </w:r>
          </w:p>
        </w:tc>
        <w:tc>
          <w:tcPr>
            <w:tcW w:w="648" w:type="dxa"/>
            <w:tcBorders>
              <w:top w:val="nil"/>
              <w:left w:val="nil"/>
              <w:bottom w:val="nil"/>
              <w:right w:val="nil"/>
            </w:tcBorders>
            <w:shd w:val="clear" w:color="auto" w:fill="auto"/>
            <w:noWrap/>
            <w:vAlign w:val="center"/>
            <w:hideMark/>
          </w:tcPr>
          <w:p w14:paraId="0D7562AB" w14:textId="434474F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6</w:t>
            </w:r>
          </w:p>
        </w:tc>
        <w:tc>
          <w:tcPr>
            <w:tcW w:w="512" w:type="dxa"/>
            <w:tcBorders>
              <w:top w:val="nil"/>
              <w:left w:val="nil"/>
              <w:bottom w:val="nil"/>
              <w:right w:val="nil"/>
            </w:tcBorders>
            <w:shd w:val="clear" w:color="auto" w:fill="auto"/>
            <w:noWrap/>
            <w:vAlign w:val="center"/>
            <w:hideMark/>
          </w:tcPr>
          <w:p w14:paraId="6B56F922" w14:textId="637B03CD"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0.004</w:t>
            </w:r>
          </w:p>
        </w:tc>
        <w:tc>
          <w:tcPr>
            <w:tcW w:w="690" w:type="dxa"/>
            <w:tcBorders>
              <w:top w:val="nil"/>
              <w:left w:val="nil"/>
              <w:bottom w:val="nil"/>
              <w:right w:val="nil"/>
            </w:tcBorders>
            <w:shd w:val="clear" w:color="auto" w:fill="auto"/>
            <w:noWrap/>
            <w:vAlign w:val="center"/>
            <w:hideMark/>
          </w:tcPr>
          <w:p w14:paraId="02A08457" w14:textId="6668D99D"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6</w:t>
            </w:r>
          </w:p>
        </w:tc>
        <w:tc>
          <w:tcPr>
            <w:tcW w:w="556" w:type="dxa"/>
            <w:tcBorders>
              <w:top w:val="nil"/>
              <w:left w:val="nil"/>
              <w:bottom w:val="nil"/>
              <w:right w:val="nil"/>
            </w:tcBorders>
            <w:shd w:val="clear" w:color="auto" w:fill="auto"/>
            <w:noWrap/>
            <w:vAlign w:val="center"/>
            <w:hideMark/>
          </w:tcPr>
          <w:p w14:paraId="6301C22A" w14:textId="2D75957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43306A" w:rsidRPr="00AB4D2E">
              <w:rPr>
                <w:rFonts w:cstheme="minorHAnsi"/>
                <w:color w:val="000000"/>
                <w:sz w:val="12"/>
                <w:szCs w:val="12"/>
              </w:rPr>
              <w:t>4</w:t>
            </w:r>
          </w:p>
        </w:tc>
        <w:tc>
          <w:tcPr>
            <w:tcW w:w="623" w:type="dxa"/>
            <w:tcBorders>
              <w:top w:val="nil"/>
              <w:left w:val="nil"/>
              <w:bottom w:val="nil"/>
              <w:right w:val="nil"/>
            </w:tcBorders>
            <w:shd w:val="clear" w:color="auto" w:fill="auto"/>
            <w:noWrap/>
            <w:vAlign w:val="center"/>
            <w:hideMark/>
          </w:tcPr>
          <w:p w14:paraId="5582A6D1"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0.336</w:t>
            </w:r>
          </w:p>
        </w:tc>
        <w:tc>
          <w:tcPr>
            <w:tcW w:w="690" w:type="dxa"/>
            <w:tcBorders>
              <w:top w:val="nil"/>
              <w:left w:val="nil"/>
              <w:bottom w:val="nil"/>
              <w:right w:val="nil"/>
            </w:tcBorders>
            <w:shd w:val="clear" w:color="auto" w:fill="auto"/>
            <w:noWrap/>
            <w:vAlign w:val="center"/>
            <w:hideMark/>
          </w:tcPr>
          <w:p w14:paraId="10467D71"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-3.083</w:t>
            </w:r>
          </w:p>
        </w:tc>
        <w:tc>
          <w:tcPr>
            <w:tcW w:w="683" w:type="dxa"/>
            <w:tcBorders>
              <w:top w:val="nil"/>
              <w:left w:val="nil"/>
              <w:bottom w:val="nil"/>
              <w:right w:val="nil"/>
            </w:tcBorders>
            <w:shd w:val="clear" w:color="auto" w:fill="auto"/>
            <w:noWrap/>
            <w:vAlign w:val="center"/>
            <w:hideMark/>
          </w:tcPr>
          <w:p w14:paraId="7B46FF89"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-1.504</w:t>
            </w:r>
          </w:p>
        </w:tc>
        <w:tc>
          <w:tcPr>
            <w:tcW w:w="777" w:type="dxa"/>
            <w:tcBorders>
              <w:top w:val="nil"/>
              <w:left w:val="single" w:sz="4" w:space="0" w:color="auto"/>
              <w:bottom w:val="nil"/>
              <w:right w:val="nil"/>
            </w:tcBorders>
            <w:shd w:val="clear" w:color="auto" w:fill="auto"/>
            <w:noWrap/>
            <w:vAlign w:val="center"/>
            <w:hideMark/>
          </w:tcPr>
          <w:p w14:paraId="6DC62068"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0.737</w:t>
            </w:r>
          </w:p>
        </w:tc>
        <w:tc>
          <w:tcPr>
            <w:tcW w:w="777" w:type="dxa"/>
            <w:tcBorders>
              <w:top w:val="nil"/>
              <w:left w:val="nil"/>
              <w:bottom w:val="nil"/>
              <w:right w:val="nil"/>
            </w:tcBorders>
            <w:shd w:val="clear" w:color="auto" w:fill="auto"/>
            <w:noWrap/>
            <w:vAlign w:val="center"/>
            <w:hideMark/>
          </w:tcPr>
          <w:p w14:paraId="64D61683"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0.0021**</w:t>
            </w:r>
          </w:p>
        </w:tc>
        <w:tc>
          <w:tcPr>
            <w:tcW w:w="778" w:type="dxa"/>
            <w:tcBorders>
              <w:top w:val="nil"/>
              <w:left w:val="nil"/>
              <w:bottom w:val="nil"/>
              <w:right w:val="single" w:sz="4" w:space="0" w:color="auto"/>
            </w:tcBorders>
            <w:shd w:val="clear" w:color="auto" w:fill="auto"/>
            <w:noWrap/>
            <w:vAlign w:val="center"/>
            <w:hideMark/>
          </w:tcPr>
          <w:p w14:paraId="042A8C9D"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0.1325</w:t>
            </w:r>
          </w:p>
        </w:tc>
      </w:tr>
      <w:tr w:rsidR="00F859C9" w:rsidRPr="00AB4D2E" w14:paraId="003D505F" w14:textId="77777777" w:rsidTr="000F27C1">
        <w:trPr>
          <w:trHeight w:val="294"/>
        </w:trPr>
        <w:tc>
          <w:tcPr>
            <w:tcW w:w="988" w:type="dxa"/>
            <w:tcBorders>
              <w:top w:val="nil"/>
              <w:left w:val="nil"/>
              <w:bottom w:val="nil"/>
              <w:right w:val="nil"/>
            </w:tcBorders>
            <w:shd w:val="clear" w:color="auto" w:fill="auto"/>
            <w:noWrap/>
            <w:vAlign w:val="bottom"/>
            <w:hideMark/>
          </w:tcPr>
          <w:p w14:paraId="7C4FFE3F"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DProtected</w:t>
            </w:r>
          </w:p>
        </w:tc>
        <w:tc>
          <w:tcPr>
            <w:tcW w:w="723" w:type="dxa"/>
            <w:tcBorders>
              <w:top w:val="nil"/>
              <w:left w:val="nil"/>
              <w:bottom w:val="nil"/>
              <w:right w:val="nil"/>
            </w:tcBorders>
            <w:shd w:val="clear" w:color="auto" w:fill="auto"/>
            <w:noWrap/>
            <w:vAlign w:val="center"/>
            <w:hideMark/>
          </w:tcPr>
          <w:p w14:paraId="23D9BEBC" w14:textId="41B5BA4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0.004</w:t>
            </w:r>
          </w:p>
        </w:tc>
        <w:tc>
          <w:tcPr>
            <w:tcW w:w="734" w:type="dxa"/>
            <w:tcBorders>
              <w:top w:val="nil"/>
              <w:left w:val="nil"/>
              <w:bottom w:val="nil"/>
              <w:right w:val="nil"/>
            </w:tcBorders>
            <w:shd w:val="clear" w:color="auto" w:fill="auto"/>
            <w:noWrap/>
            <w:vAlign w:val="center"/>
            <w:hideMark/>
          </w:tcPr>
          <w:p w14:paraId="7376F1E8" w14:textId="64D3ECD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-0.006</w:t>
            </w:r>
          </w:p>
        </w:tc>
        <w:tc>
          <w:tcPr>
            <w:tcW w:w="648" w:type="dxa"/>
            <w:tcBorders>
              <w:top w:val="nil"/>
              <w:left w:val="nil"/>
              <w:bottom w:val="nil"/>
              <w:right w:val="nil"/>
            </w:tcBorders>
            <w:shd w:val="clear" w:color="auto" w:fill="auto"/>
            <w:noWrap/>
            <w:vAlign w:val="center"/>
            <w:hideMark/>
          </w:tcPr>
          <w:p w14:paraId="352B59A7" w14:textId="2D7823E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-0.02</w:t>
            </w:r>
            <w:r w:rsidR="0043306A" w:rsidRPr="00AB4D2E">
              <w:rPr>
                <w:rFonts w:cstheme="minorHAnsi"/>
                <w:color w:val="000000"/>
                <w:sz w:val="12"/>
                <w:szCs w:val="12"/>
              </w:rPr>
              <w:t>5</w:t>
            </w:r>
          </w:p>
        </w:tc>
        <w:tc>
          <w:tcPr>
            <w:tcW w:w="512" w:type="dxa"/>
            <w:tcBorders>
              <w:top w:val="nil"/>
              <w:left w:val="nil"/>
              <w:bottom w:val="nil"/>
              <w:right w:val="nil"/>
            </w:tcBorders>
            <w:shd w:val="clear" w:color="auto" w:fill="auto"/>
            <w:noWrap/>
            <w:vAlign w:val="center"/>
            <w:hideMark/>
          </w:tcPr>
          <w:p w14:paraId="5B1B259F" w14:textId="3448AF5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0.002</w:t>
            </w:r>
          </w:p>
        </w:tc>
        <w:tc>
          <w:tcPr>
            <w:tcW w:w="690" w:type="dxa"/>
            <w:tcBorders>
              <w:top w:val="nil"/>
              <w:left w:val="nil"/>
              <w:bottom w:val="nil"/>
              <w:right w:val="nil"/>
            </w:tcBorders>
            <w:shd w:val="clear" w:color="auto" w:fill="auto"/>
            <w:noWrap/>
            <w:vAlign w:val="center"/>
            <w:hideMark/>
          </w:tcPr>
          <w:p w14:paraId="3B7F2951" w14:textId="47AD95E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0.002</w:t>
            </w:r>
          </w:p>
        </w:tc>
        <w:tc>
          <w:tcPr>
            <w:tcW w:w="556" w:type="dxa"/>
            <w:tcBorders>
              <w:top w:val="nil"/>
              <w:left w:val="nil"/>
              <w:bottom w:val="nil"/>
              <w:right w:val="nil"/>
            </w:tcBorders>
            <w:shd w:val="clear" w:color="auto" w:fill="auto"/>
            <w:noWrap/>
            <w:vAlign w:val="center"/>
            <w:hideMark/>
          </w:tcPr>
          <w:p w14:paraId="1860D920"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0.003</w:t>
            </w:r>
          </w:p>
        </w:tc>
        <w:tc>
          <w:tcPr>
            <w:tcW w:w="623" w:type="dxa"/>
            <w:tcBorders>
              <w:top w:val="nil"/>
              <w:left w:val="nil"/>
              <w:bottom w:val="nil"/>
              <w:right w:val="nil"/>
            </w:tcBorders>
            <w:shd w:val="clear" w:color="auto" w:fill="auto"/>
            <w:noWrap/>
            <w:vAlign w:val="center"/>
            <w:hideMark/>
          </w:tcPr>
          <w:p w14:paraId="56766C27"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2.034</w:t>
            </w:r>
          </w:p>
        </w:tc>
        <w:tc>
          <w:tcPr>
            <w:tcW w:w="690" w:type="dxa"/>
            <w:tcBorders>
              <w:top w:val="nil"/>
              <w:left w:val="nil"/>
              <w:bottom w:val="nil"/>
              <w:right w:val="nil"/>
            </w:tcBorders>
            <w:shd w:val="clear" w:color="auto" w:fill="auto"/>
            <w:noWrap/>
            <w:vAlign w:val="center"/>
            <w:hideMark/>
          </w:tcPr>
          <w:p w14:paraId="181FF19B"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-2.794</w:t>
            </w:r>
          </w:p>
        </w:tc>
        <w:tc>
          <w:tcPr>
            <w:tcW w:w="683" w:type="dxa"/>
            <w:tcBorders>
              <w:top w:val="nil"/>
              <w:left w:val="nil"/>
              <w:bottom w:val="nil"/>
              <w:right w:val="nil"/>
            </w:tcBorders>
            <w:shd w:val="clear" w:color="auto" w:fill="auto"/>
            <w:noWrap/>
            <w:vAlign w:val="center"/>
            <w:hideMark/>
          </w:tcPr>
          <w:p w14:paraId="1C848E31"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-8.223</w:t>
            </w:r>
          </w:p>
        </w:tc>
        <w:tc>
          <w:tcPr>
            <w:tcW w:w="777" w:type="dxa"/>
            <w:tcBorders>
              <w:top w:val="nil"/>
              <w:left w:val="single" w:sz="4" w:space="0" w:color="auto"/>
              <w:bottom w:val="nil"/>
              <w:right w:val="nil"/>
            </w:tcBorders>
            <w:shd w:val="clear" w:color="auto" w:fill="auto"/>
            <w:noWrap/>
            <w:vAlign w:val="center"/>
            <w:hideMark/>
          </w:tcPr>
          <w:p w14:paraId="244FC133"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0.0419*</w:t>
            </w:r>
          </w:p>
        </w:tc>
        <w:tc>
          <w:tcPr>
            <w:tcW w:w="777" w:type="dxa"/>
            <w:tcBorders>
              <w:top w:val="nil"/>
              <w:left w:val="nil"/>
              <w:bottom w:val="nil"/>
              <w:right w:val="nil"/>
            </w:tcBorders>
            <w:shd w:val="clear" w:color="auto" w:fill="auto"/>
            <w:noWrap/>
            <w:vAlign w:val="center"/>
            <w:hideMark/>
          </w:tcPr>
          <w:p w14:paraId="22B37B60"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 xml:space="preserve"> 0.0052**</w:t>
            </w:r>
          </w:p>
        </w:tc>
        <w:tc>
          <w:tcPr>
            <w:tcW w:w="778" w:type="dxa"/>
            <w:tcBorders>
              <w:top w:val="nil"/>
              <w:left w:val="nil"/>
              <w:bottom w:val="nil"/>
              <w:right w:val="single" w:sz="4" w:space="0" w:color="auto"/>
            </w:tcBorders>
            <w:shd w:val="clear" w:color="auto" w:fill="auto"/>
            <w:noWrap/>
            <w:vAlign w:val="center"/>
            <w:hideMark/>
          </w:tcPr>
          <w:p w14:paraId="5A90CE0B"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4205306F" w14:textId="77777777" w:rsidTr="000F27C1">
        <w:trPr>
          <w:trHeight w:val="294"/>
        </w:trPr>
        <w:tc>
          <w:tcPr>
            <w:tcW w:w="988" w:type="dxa"/>
            <w:tcBorders>
              <w:top w:val="nil"/>
              <w:left w:val="nil"/>
              <w:bottom w:val="nil"/>
              <w:right w:val="nil"/>
            </w:tcBorders>
            <w:shd w:val="clear" w:color="auto" w:fill="auto"/>
            <w:noWrap/>
            <w:vAlign w:val="bottom"/>
            <w:hideMark/>
          </w:tcPr>
          <w:p w14:paraId="4B40EDDB"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Elevation</w:t>
            </w:r>
          </w:p>
        </w:tc>
        <w:tc>
          <w:tcPr>
            <w:tcW w:w="723" w:type="dxa"/>
            <w:tcBorders>
              <w:top w:val="nil"/>
              <w:left w:val="nil"/>
              <w:bottom w:val="nil"/>
              <w:right w:val="nil"/>
            </w:tcBorders>
            <w:shd w:val="clear" w:color="auto" w:fill="auto"/>
            <w:noWrap/>
            <w:vAlign w:val="center"/>
            <w:hideMark/>
          </w:tcPr>
          <w:p w14:paraId="14F1BDE2" w14:textId="00D9E1BD"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734" w:type="dxa"/>
            <w:tcBorders>
              <w:top w:val="nil"/>
              <w:left w:val="nil"/>
              <w:bottom w:val="nil"/>
              <w:right w:val="nil"/>
            </w:tcBorders>
            <w:shd w:val="clear" w:color="auto" w:fill="auto"/>
            <w:noWrap/>
            <w:vAlign w:val="center"/>
            <w:hideMark/>
          </w:tcPr>
          <w:p w14:paraId="190E485E" w14:textId="31320F2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648" w:type="dxa"/>
            <w:tcBorders>
              <w:top w:val="nil"/>
              <w:left w:val="nil"/>
              <w:bottom w:val="nil"/>
              <w:right w:val="nil"/>
            </w:tcBorders>
            <w:shd w:val="clear" w:color="auto" w:fill="auto"/>
            <w:noWrap/>
            <w:vAlign w:val="center"/>
            <w:hideMark/>
          </w:tcPr>
          <w:p w14:paraId="53FAF9A4" w14:textId="75065AD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512" w:type="dxa"/>
            <w:tcBorders>
              <w:top w:val="nil"/>
              <w:left w:val="nil"/>
              <w:bottom w:val="nil"/>
              <w:right w:val="nil"/>
            </w:tcBorders>
            <w:shd w:val="clear" w:color="auto" w:fill="auto"/>
            <w:noWrap/>
            <w:vAlign w:val="center"/>
            <w:hideMark/>
          </w:tcPr>
          <w:p w14:paraId="5E47EAF5" w14:textId="014DCAF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690" w:type="dxa"/>
            <w:tcBorders>
              <w:top w:val="nil"/>
              <w:left w:val="nil"/>
              <w:bottom w:val="nil"/>
              <w:right w:val="nil"/>
            </w:tcBorders>
            <w:shd w:val="clear" w:color="auto" w:fill="auto"/>
            <w:noWrap/>
            <w:vAlign w:val="center"/>
            <w:hideMark/>
          </w:tcPr>
          <w:p w14:paraId="080DA5CE" w14:textId="432042C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556" w:type="dxa"/>
            <w:tcBorders>
              <w:top w:val="nil"/>
              <w:left w:val="nil"/>
              <w:bottom w:val="nil"/>
              <w:right w:val="nil"/>
            </w:tcBorders>
            <w:shd w:val="clear" w:color="auto" w:fill="auto"/>
            <w:noWrap/>
            <w:vAlign w:val="center"/>
            <w:hideMark/>
          </w:tcPr>
          <w:p w14:paraId="0E9E796D" w14:textId="19C2040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623" w:type="dxa"/>
            <w:tcBorders>
              <w:top w:val="nil"/>
              <w:left w:val="nil"/>
              <w:bottom w:val="nil"/>
              <w:right w:val="nil"/>
            </w:tcBorders>
            <w:shd w:val="clear" w:color="auto" w:fill="auto"/>
            <w:noWrap/>
            <w:vAlign w:val="center"/>
            <w:hideMark/>
          </w:tcPr>
          <w:p w14:paraId="70A4F6CD"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-1.37</w:t>
            </w:r>
          </w:p>
        </w:tc>
        <w:tc>
          <w:tcPr>
            <w:tcW w:w="690" w:type="dxa"/>
            <w:tcBorders>
              <w:top w:val="nil"/>
              <w:left w:val="nil"/>
              <w:bottom w:val="nil"/>
              <w:right w:val="nil"/>
            </w:tcBorders>
            <w:shd w:val="clear" w:color="auto" w:fill="auto"/>
            <w:noWrap/>
            <w:vAlign w:val="center"/>
            <w:hideMark/>
          </w:tcPr>
          <w:p w14:paraId="039D1D1F"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0.365</w:t>
            </w:r>
          </w:p>
        </w:tc>
        <w:tc>
          <w:tcPr>
            <w:tcW w:w="683" w:type="dxa"/>
            <w:tcBorders>
              <w:top w:val="nil"/>
              <w:left w:val="nil"/>
              <w:bottom w:val="nil"/>
              <w:right w:val="nil"/>
            </w:tcBorders>
            <w:shd w:val="clear" w:color="auto" w:fill="auto"/>
            <w:noWrap/>
            <w:vAlign w:val="center"/>
            <w:hideMark/>
          </w:tcPr>
          <w:p w14:paraId="3D72F179" w14:textId="2169C0C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-1.2</w:t>
            </w:r>
            <w:r w:rsidR="00BA39FD" w:rsidRPr="00AB4D2E">
              <w:rPr>
                <w:rFonts w:cstheme="minorHAnsi"/>
                <w:color w:val="000000"/>
                <w:sz w:val="12"/>
                <w:szCs w:val="12"/>
              </w:rPr>
              <w:t>00</w:t>
            </w:r>
          </w:p>
        </w:tc>
        <w:tc>
          <w:tcPr>
            <w:tcW w:w="777" w:type="dxa"/>
            <w:tcBorders>
              <w:top w:val="nil"/>
              <w:left w:val="single" w:sz="4" w:space="0" w:color="auto"/>
              <w:bottom w:val="nil"/>
              <w:right w:val="nil"/>
            </w:tcBorders>
            <w:shd w:val="clear" w:color="auto" w:fill="auto"/>
            <w:noWrap/>
            <w:vAlign w:val="center"/>
            <w:hideMark/>
          </w:tcPr>
          <w:p w14:paraId="7DA6862C"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0.1708</w:t>
            </w:r>
          </w:p>
        </w:tc>
        <w:tc>
          <w:tcPr>
            <w:tcW w:w="777" w:type="dxa"/>
            <w:tcBorders>
              <w:top w:val="nil"/>
              <w:left w:val="nil"/>
              <w:bottom w:val="nil"/>
              <w:right w:val="nil"/>
            </w:tcBorders>
            <w:shd w:val="clear" w:color="auto" w:fill="auto"/>
            <w:noWrap/>
            <w:vAlign w:val="center"/>
            <w:hideMark/>
          </w:tcPr>
          <w:p w14:paraId="7876304E"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0.7148</w:t>
            </w:r>
          </w:p>
        </w:tc>
        <w:tc>
          <w:tcPr>
            <w:tcW w:w="778" w:type="dxa"/>
            <w:tcBorders>
              <w:top w:val="nil"/>
              <w:left w:val="nil"/>
              <w:bottom w:val="nil"/>
              <w:right w:val="single" w:sz="4" w:space="0" w:color="auto"/>
            </w:tcBorders>
            <w:shd w:val="clear" w:color="auto" w:fill="auto"/>
            <w:noWrap/>
            <w:vAlign w:val="center"/>
            <w:hideMark/>
          </w:tcPr>
          <w:p w14:paraId="692816F2" w14:textId="77777777" w:rsidR="00B44118" w:rsidRPr="00AB4D2E" w:rsidRDefault="00B44118" w:rsidP="006F7C17">
            <w:pPr>
              <w:spacing w:line="240" w:lineRule="auto"/>
              <w:jc w:val="right"/>
              <w:rPr>
                <w:rFonts w:cstheme="minorHAnsi"/>
                <w:color w:val="000000"/>
                <w:sz w:val="12"/>
                <w:szCs w:val="12"/>
              </w:rPr>
            </w:pPr>
            <w:r w:rsidRPr="00AB4D2E">
              <w:rPr>
                <w:rFonts w:cstheme="minorHAnsi"/>
                <w:color w:val="000000"/>
                <w:sz w:val="12"/>
                <w:szCs w:val="12"/>
              </w:rPr>
              <w:t>0.2301</w:t>
            </w:r>
          </w:p>
        </w:tc>
      </w:tr>
      <w:tr w:rsidR="00F859C9" w:rsidRPr="00AB4D2E" w14:paraId="2C6D7B3E" w14:textId="77777777" w:rsidTr="000F27C1">
        <w:trPr>
          <w:trHeight w:val="294"/>
        </w:trPr>
        <w:tc>
          <w:tcPr>
            <w:tcW w:w="988" w:type="dxa"/>
            <w:tcBorders>
              <w:top w:val="nil"/>
              <w:left w:val="nil"/>
              <w:bottom w:val="single" w:sz="4" w:space="0" w:color="auto"/>
              <w:right w:val="nil"/>
            </w:tcBorders>
            <w:shd w:val="clear" w:color="auto" w:fill="auto"/>
            <w:noWrap/>
            <w:vAlign w:val="bottom"/>
            <w:hideMark/>
          </w:tcPr>
          <w:p w14:paraId="5C1FE917"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DLakes</w:t>
            </w:r>
          </w:p>
        </w:tc>
        <w:tc>
          <w:tcPr>
            <w:tcW w:w="723" w:type="dxa"/>
            <w:tcBorders>
              <w:top w:val="nil"/>
              <w:left w:val="nil"/>
              <w:bottom w:val="nil"/>
              <w:right w:val="nil"/>
            </w:tcBorders>
            <w:shd w:val="clear" w:color="auto" w:fill="auto"/>
            <w:noWrap/>
            <w:vAlign w:val="center"/>
            <w:hideMark/>
          </w:tcPr>
          <w:p w14:paraId="4F3DFE3B" w14:textId="5FD4C6C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-0.012</w:t>
            </w:r>
          </w:p>
        </w:tc>
        <w:tc>
          <w:tcPr>
            <w:tcW w:w="734" w:type="dxa"/>
            <w:tcBorders>
              <w:top w:val="nil"/>
              <w:left w:val="nil"/>
              <w:bottom w:val="nil"/>
              <w:right w:val="nil"/>
            </w:tcBorders>
            <w:shd w:val="clear" w:color="auto" w:fill="auto"/>
            <w:noWrap/>
            <w:vAlign w:val="center"/>
            <w:hideMark/>
          </w:tcPr>
          <w:p w14:paraId="184F0656" w14:textId="687B5E1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-0.014</w:t>
            </w:r>
          </w:p>
        </w:tc>
        <w:tc>
          <w:tcPr>
            <w:tcW w:w="648" w:type="dxa"/>
            <w:tcBorders>
              <w:top w:val="nil"/>
              <w:left w:val="nil"/>
              <w:bottom w:val="nil"/>
              <w:right w:val="nil"/>
            </w:tcBorders>
            <w:shd w:val="clear" w:color="auto" w:fill="auto"/>
            <w:noWrap/>
            <w:vAlign w:val="center"/>
            <w:hideMark/>
          </w:tcPr>
          <w:p w14:paraId="2AB2D01C" w14:textId="0FD6CE1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-0.012</w:t>
            </w:r>
          </w:p>
        </w:tc>
        <w:tc>
          <w:tcPr>
            <w:tcW w:w="512" w:type="dxa"/>
            <w:tcBorders>
              <w:top w:val="nil"/>
              <w:left w:val="nil"/>
              <w:bottom w:val="nil"/>
              <w:right w:val="nil"/>
            </w:tcBorders>
            <w:shd w:val="clear" w:color="auto" w:fill="auto"/>
            <w:noWrap/>
            <w:vAlign w:val="center"/>
            <w:hideMark/>
          </w:tcPr>
          <w:p w14:paraId="28E684DC" w14:textId="3EADB50E"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690" w:type="dxa"/>
            <w:tcBorders>
              <w:top w:val="nil"/>
              <w:left w:val="nil"/>
              <w:bottom w:val="nil"/>
              <w:right w:val="nil"/>
            </w:tcBorders>
            <w:shd w:val="clear" w:color="auto" w:fill="auto"/>
            <w:noWrap/>
            <w:vAlign w:val="center"/>
            <w:hideMark/>
          </w:tcPr>
          <w:p w14:paraId="2E83B8BA" w14:textId="2907AC5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556" w:type="dxa"/>
            <w:tcBorders>
              <w:top w:val="nil"/>
              <w:left w:val="nil"/>
              <w:bottom w:val="nil"/>
              <w:right w:val="nil"/>
            </w:tcBorders>
            <w:shd w:val="clear" w:color="auto" w:fill="auto"/>
            <w:noWrap/>
            <w:vAlign w:val="center"/>
            <w:hideMark/>
          </w:tcPr>
          <w:p w14:paraId="0E527205" w14:textId="266C09D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623" w:type="dxa"/>
            <w:tcBorders>
              <w:top w:val="nil"/>
              <w:left w:val="nil"/>
              <w:bottom w:val="nil"/>
              <w:right w:val="nil"/>
            </w:tcBorders>
            <w:shd w:val="clear" w:color="auto" w:fill="auto"/>
            <w:noWrap/>
            <w:vAlign w:val="center"/>
            <w:hideMark/>
          </w:tcPr>
          <w:p w14:paraId="0BECD102"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-10.677</w:t>
            </w:r>
          </w:p>
        </w:tc>
        <w:tc>
          <w:tcPr>
            <w:tcW w:w="690" w:type="dxa"/>
            <w:tcBorders>
              <w:top w:val="nil"/>
              <w:left w:val="nil"/>
              <w:bottom w:val="nil"/>
              <w:right w:val="nil"/>
            </w:tcBorders>
            <w:shd w:val="clear" w:color="auto" w:fill="auto"/>
            <w:noWrap/>
            <w:vAlign w:val="center"/>
            <w:hideMark/>
          </w:tcPr>
          <w:p w14:paraId="171AED21"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-12.868</w:t>
            </w:r>
          </w:p>
        </w:tc>
        <w:tc>
          <w:tcPr>
            <w:tcW w:w="683" w:type="dxa"/>
            <w:tcBorders>
              <w:top w:val="nil"/>
              <w:left w:val="nil"/>
              <w:bottom w:val="nil"/>
              <w:right w:val="nil"/>
            </w:tcBorders>
            <w:shd w:val="clear" w:color="auto" w:fill="auto"/>
            <w:noWrap/>
            <w:vAlign w:val="center"/>
            <w:hideMark/>
          </w:tcPr>
          <w:p w14:paraId="7F07D5B0" w14:textId="7777777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-9.836</w:t>
            </w:r>
          </w:p>
        </w:tc>
        <w:tc>
          <w:tcPr>
            <w:tcW w:w="777" w:type="dxa"/>
            <w:tcBorders>
              <w:top w:val="nil"/>
              <w:left w:val="single" w:sz="4" w:space="0" w:color="auto"/>
              <w:bottom w:val="single" w:sz="4" w:space="0" w:color="auto"/>
              <w:right w:val="nil"/>
            </w:tcBorders>
            <w:shd w:val="clear" w:color="auto" w:fill="auto"/>
            <w:noWrap/>
            <w:vAlign w:val="center"/>
            <w:hideMark/>
          </w:tcPr>
          <w:p w14:paraId="6A9DC4CF"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7" w:type="dxa"/>
            <w:tcBorders>
              <w:top w:val="nil"/>
              <w:left w:val="nil"/>
              <w:bottom w:val="single" w:sz="4" w:space="0" w:color="auto"/>
              <w:right w:val="nil"/>
            </w:tcBorders>
            <w:shd w:val="clear" w:color="auto" w:fill="auto"/>
            <w:noWrap/>
            <w:vAlign w:val="center"/>
            <w:hideMark/>
          </w:tcPr>
          <w:p w14:paraId="41942D6A"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8" w:type="dxa"/>
            <w:tcBorders>
              <w:top w:val="nil"/>
              <w:left w:val="nil"/>
              <w:bottom w:val="single" w:sz="4" w:space="0" w:color="auto"/>
              <w:right w:val="single" w:sz="4" w:space="0" w:color="auto"/>
            </w:tcBorders>
            <w:shd w:val="clear" w:color="auto" w:fill="auto"/>
            <w:noWrap/>
            <w:vAlign w:val="center"/>
            <w:hideMark/>
          </w:tcPr>
          <w:p w14:paraId="6C9F0AC8"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r>
      <w:tr w:rsidR="00F859C9" w:rsidRPr="00AB4D2E" w14:paraId="38D76988" w14:textId="77777777" w:rsidTr="000F27C1">
        <w:trPr>
          <w:trHeight w:val="294"/>
        </w:trPr>
        <w:tc>
          <w:tcPr>
            <w:tcW w:w="988" w:type="dxa"/>
            <w:tcBorders>
              <w:top w:val="nil"/>
              <w:left w:val="nil"/>
              <w:bottom w:val="nil"/>
              <w:right w:val="nil"/>
            </w:tcBorders>
            <w:shd w:val="clear" w:color="auto" w:fill="auto"/>
            <w:noWrap/>
            <w:vAlign w:val="bottom"/>
            <w:hideMark/>
          </w:tcPr>
          <w:p w14:paraId="7F1DB23E"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Togo</w:t>
            </w:r>
          </w:p>
        </w:tc>
        <w:tc>
          <w:tcPr>
            <w:tcW w:w="2105" w:type="dxa"/>
            <w:gridSpan w:val="3"/>
            <w:tcBorders>
              <w:top w:val="single" w:sz="4" w:space="0" w:color="auto"/>
              <w:left w:val="nil"/>
              <w:bottom w:val="nil"/>
              <w:right w:val="nil"/>
            </w:tcBorders>
            <w:shd w:val="clear" w:color="auto" w:fill="auto"/>
            <w:noWrap/>
            <w:vAlign w:val="bottom"/>
            <w:hideMark/>
          </w:tcPr>
          <w:p w14:paraId="314BE19F"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Estimate</w:t>
            </w:r>
          </w:p>
        </w:tc>
        <w:tc>
          <w:tcPr>
            <w:tcW w:w="1759" w:type="dxa"/>
            <w:gridSpan w:val="3"/>
            <w:tcBorders>
              <w:top w:val="single" w:sz="4" w:space="0" w:color="auto"/>
              <w:left w:val="nil"/>
              <w:bottom w:val="nil"/>
              <w:right w:val="nil"/>
            </w:tcBorders>
            <w:shd w:val="clear" w:color="auto" w:fill="auto"/>
            <w:noWrap/>
            <w:vAlign w:val="bottom"/>
            <w:hideMark/>
          </w:tcPr>
          <w:p w14:paraId="471B5638"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Std. Error</w:t>
            </w:r>
          </w:p>
        </w:tc>
        <w:tc>
          <w:tcPr>
            <w:tcW w:w="1997" w:type="dxa"/>
            <w:gridSpan w:val="3"/>
            <w:tcBorders>
              <w:top w:val="single" w:sz="4" w:space="0" w:color="auto"/>
              <w:left w:val="nil"/>
              <w:bottom w:val="nil"/>
              <w:right w:val="nil"/>
            </w:tcBorders>
            <w:shd w:val="clear" w:color="auto" w:fill="auto"/>
            <w:noWrap/>
            <w:vAlign w:val="bottom"/>
            <w:hideMark/>
          </w:tcPr>
          <w:p w14:paraId="7EC78ACA"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Z  Value</w:t>
            </w:r>
          </w:p>
        </w:tc>
        <w:tc>
          <w:tcPr>
            <w:tcW w:w="233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48246F87" w14:textId="77777777" w:rsidR="00B44118" w:rsidRPr="00AB4D2E" w:rsidRDefault="00B44118" w:rsidP="006F7C17">
            <w:pPr>
              <w:spacing w:line="240" w:lineRule="auto"/>
              <w:jc w:val="center"/>
              <w:rPr>
                <w:rFonts w:cstheme="minorHAnsi"/>
                <w:b/>
                <w:bCs/>
                <w:color w:val="000000"/>
                <w:sz w:val="12"/>
                <w:szCs w:val="12"/>
              </w:rPr>
            </w:pPr>
            <w:r w:rsidRPr="00AB4D2E">
              <w:rPr>
                <w:rFonts w:cstheme="minorHAnsi"/>
                <w:b/>
                <w:bCs/>
                <w:color w:val="000000"/>
                <w:sz w:val="12"/>
                <w:szCs w:val="12"/>
              </w:rPr>
              <w:t xml:space="preserve">Pr(&gt;|z|) </w:t>
            </w:r>
          </w:p>
        </w:tc>
      </w:tr>
      <w:tr w:rsidR="00F859C9" w:rsidRPr="00AB4D2E" w14:paraId="448FB69E" w14:textId="77777777" w:rsidTr="000F27C1">
        <w:trPr>
          <w:trHeight w:val="294"/>
        </w:trPr>
        <w:tc>
          <w:tcPr>
            <w:tcW w:w="988" w:type="dxa"/>
            <w:tcBorders>
              <w:top w:val="nil"/>
              <w:left w:val="nil"/>
              <w:bottom w:val="single" w:sz="4" w:space="0" w:color="auto"/>
              <w:right w:val="nil"/>
            </w:tcBorders>
            <w:shd w:val="clear" w:color="auto" w:fill="auto"/>
            <w:noWrap/>
            <w:vAlign w:val="bottom"/>
            <w:hideMark/>
          </w:tcPr>
          <w:p w14:paraId="3AF857EE"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Predictor</w:t>
            </w:r>
          </w:p>
        </w:tc>
        <w:tc>
          <w:tcPr>
            <w:tcW w:w="723" w:type="dxa"/>
            <w:tcBorders>
              <w:top w:val="nil"/>
              <w:left w:val="nil"/>
              <w:bottom w:val="single" w:sz="4" w:space="0" w:color="auto"/>
              <w:right w:val="nil"/>
            </w:tcBorders>
            <w:shd w:val="clear" w:color="auto" w:fill="auto"/>
            <w:noWrap/>
            <w:vAlign w:val="bottom"/>
            <w:hideMark/>
          </w:tcPr>
          <w:p w14:paraId="645210E9"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Small</w:t>
            </w:r>
          </w:p>
        </w:tc>
        <w:tc>
          <w:tcPr>
            <w:tcW w:w="734" w:type="dxa"/>
            <w:tcBorders>
              <w:top w:val="nil"/>
              <w:left w:val="nil"/>
              <w:bottom w:val="single" w:sz="4" w:space="0" w:color="auto"/>
              <w:right w:val="nil"/>
            </w:tcBorders>
            <w:shd w:val="clear" w:color="auto" w:fill="auto"/>
            <w:noWrap/>
            <w:vAlign w:val="bottom"/>
            <w:hideMark/>
          </w:tcPr>
          <w:p w14:paraId="3B5FB77A"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Medium</w:t>
            </w:r>
          </w:p>
        </w:tc>
        <w:tc>
          <w:tcPr>
            <w:tcW w:w="648" w:type="dxa"/>
            <w:tcBorders>
              <w:top w:val="nil"/>
              <w:left w:val="nil"/>
              <w:bottom w:val="single" w:sz="4" w:space="0" w:color="auto"/>
              <w:right w:val="nil"/>
            </w:tcBorders>
            <w:shd w:val="clear" w:color="auto" w:fill="auto"/>
            <w:noWrap/>
            <w:vAlign w:val="bottom"/>
            <w:hideMark/>
          </w:tcPr>
          <w:p w14:paraId="620E8E52"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Large</w:t>
            </w:r>
          </w:p>
        </w:tc>
        <w:tc>
          <w:tcPr>
            <w:tcW w:w="512" w:type="dxa"/>
            <w:tcBorders>
              <w:top w:val="nil"/>
              <w:left w:val="nil"/>
              <w:bottom w:val="single" w:sz="4" w:space="0" w:color="auto"/>
              <w:right w:val="nil"/>
            </w:tcBorders>
            <w:shd w:val="clear" w:color="auto" w:fill="auto"/>
            <w:noWrap/>
            <w:vAlign w:val="bottom"/>
            <w:hideMark/>
          </w:tcPr>
          <w:p w14:paraId="6376D92C"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Small</w:t>
            </w:r>
          </w:p>
        </w:tc>
        <w:tc>
          <w:tcPr>
            <w:tcW w:w="690" w:type="dxa"/>
            <w:tcBorders>
              <w:top w:val="nil"/>
              <w:left w:val="nil"/>
              <w:bottom w:val="single" w:sz="4" w:space="0" w:color="auto"/>
              <w:right w:val="nil"/>
            </w:tcBorders>
            <w:shd w:val="clear" w:color="auto" w:fill="auto"/>
            <w:noWrap/>
            <w:vAlign w:val="bottom"/>
            <w:hideMark/>
          </w:tcPr>
          <w:p w14:paraId="617650B6"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Medium</w:t>
            </w:r>
          </w:p>
        </w:tc>
        <w:tc>
          <w:tcPr>
            <w:tcW w:w="556" w:type="dxa"/>
            <w:tcBorders>
              <w:top w:val="nil"/>
              <w:left w:val="nil"/>
              <w:bottom w:val="single" w:sz="4" w:space="0" w:color="auto"/>
              <w:right w:val="nil"/>
            </w:tcBorders>
            <w:shd w:val="clear" w:color="auto" w:fill="auto"/>
            <w:noWrap/>
            <w:vAlign w:val="bottom"/>
            <w:hideMark/>
          </w:tcPr>
          <w:p w14:paraId="13034D42"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Large</w:t>
            </w:r>
          </w:p>
        </w:tc>
        <w:tc>
          <w:tcPr>
            <w:tcW w:w="623" w:type="dxa"/>
            <w:tcBorders>
              <w:top w:val="nil"/>
              <w:left w:val="nil"/>
              <w:bottom w:val="single" w:sz="4" w:space="0" w:color="auto"/>
              <w:right w:val="nil"/>
            </w:tcBorders>
            <w:shd w:val="clear" w:color="auto" w:fill="auto"/>
            <w:noWrap/>
            <w:vAlign w:val="bottom"/>
            <w:hideMark/>
          </w:tcPr>
          <w:p w14:paraId="00B7891D"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Small</w:t>
            </w:r>
          </w:p>
        </w:tc>
        <w:tc>
          <w:tcPr>
            <w:tcW w:w="690" w:type="dxa"/>
            <w:tcBorders>
              <w:top w:val="nil"/>
              <w:left w:val="nil"/>
              <w:bottom w:val="single" w:sz="4" w:space="0" w:color="auto"/>
              <w:right w:val="nil"/>
            </w:tcBorders>
            <w:shd w:val="clear" w:color="auto" w:fill="auto"/>
            <w:noWrap/>
            <w:vAlign w:val="bottom"/>
            <w:hideMark/>
          </w:tcPr>
          <w:p w14:paraId="1C13D07D"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Medium</w:t>
            </w:r>
          </w:p>
        </w:tc>
        <w:tc>
          <w:tcPr>
            <w:tcW w:w="683" w:type="dxa"/>
            <w:tcBorders>
              <w:top w:val="nil"/>
              <w:left w:val="nil"/>
              <w:bottom w:val="single" w:sz="4" w:space="0" w:color="auto"/>
              <w:right w:val="nil"/>
            </w:tcBorders>
            <w:shd w:val="clear" w:color="auto" w:fill="auto"/>
            <w:noWrap/>
            <w:vAlign w:val="bottom"/>
            <w:hideMark/>
          </w:tcPr>
          <w:p w14:paraId="3F3212AB"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Large</w:t>
            </w:r>
          </w:p>
        </w:tc>
        <w:tc>
          <w:tcPr>
            <w:tcW w:w="777" w:type="dxa"/>
            <w:tcBorders>
              <w:top w:val="nil"/>
              <w:left w:val="single" w:sz="4" w:space="0" w:color="auto"/>
              <w:bottom w:val="single" w:sz="4" w:space="0" w:color="auto"/>
              <w:right w:val="nil"/>
            </w:tcBorders>
            <w:shd w:val="clear" w:color="auto" w:fill="auto"/>
            <w:noWrap/>
            <w:vAlign w:val="center"/>
            <w:hideMark/>
          </w:tcPr>
          <w:p w14:paraId="7F03057E"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Small</w:t>
            </w:r>
          </w:p>
        </w:tc>
        <w:tc>
          <w:tcPr>
            <w:tcW w:w="777" w:type="dxa"/>
            <w:tcBorders>
              <w:top w:val="nil"/>
              <w:left w:val="nil"/>
              <w:bottom w:val="single" w:sz="4" w:space="0" w:color="auto"/>
              <w:right w:val="nil"/>
            </w:tcBorders>
            <w:shd w:val="clear" w:color="auto" w:fill="auto"/>
            <w:noWrap/>
            <w:vAlign w:val="center"/>
            <w:hideMark/>
          </w:tcPr>
          <w:p w14:paraId="31F6B35A"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Medium</w:t>
            </w:r>
          </w:p>
        </w:tc>
        <w:tc>
          <w:tcPr>
            <w:tcW w:w="778" w:type="dxa"/>
            <w:tcBorders>
              <w:top w:val="nil"/>
              <w:left w:val="nil"/>
              <w:bottom w:val="single" w:sz="4" w:space="0" w:color="auto"/>
              <w:right w:val="single" w:sz="4" w:space="0" w:color="auto"/>
            </w:tcBorders>
            <w:shd w:val="clear" w:color="auto" w:fill="auto"/>
            <w:noWrap/>
            <w:vAlign w:val="center"/>
            <w:hideMark/>
          </w:tcPr>
          <w:p w14:paraId="604B51D8"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Large</w:t>
            </w:r>
          </w:p>
        </w:tc>
      </w:tr>
      <w:tr w:rsidR="00F859C9" w:rsidRPr="00AB4D2E" w14:paraId="37A93F13" w14:textId="77777777" w:rsidTr="000F27C1">
        <w:trPr>
          <w:trHeight w:val="294"/>
        </w:trPr>
        <w:tc>
          <w:tcPr>
            <w:tcW w:w="988" w:type="dxa"/>
            <w:tcBorders>
              <w:top w:val="nil"/>
              <w:left w:val="nil"/>
              <w:bottom w:val="nil"/>
              <w:right w:val="nil"/>
            </w:tcBorders>
            <w:shd w:val="clear" w:color="auto" w:fill="auto"/>
            <w:noWrap/>
            <w:vAlign w:val="bottom"/>
            <w:hideMark/>
          </w:tcPr>
          <w:p w14:paraId="585D9B7F"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Intercept</w:t>
            </w:r>
          </w:p>
        </w:tc>
        <w:tc>
          <w:tcPr>
            <w:tcW w:w="723" w:type="dxa"/>
            <w:tcBorders>
              <w:top w:val="nil"/>
              <w:left w:val="nil"/>
              <w:bottom w:val="nil"/>
              <w:right w:val="nil"/>
            </w:tcBorders>
            <w:shd w:val="clear" w:color="auto" w:fill="auto"/>
            <w:noWrap/>
            <w:vAlign w:val="center"/>
            <w:hideMark/>
          </w:tcPr>
          <w:p w14:paraId="1A2337A6"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-1.466</w:t>
            </w:r>
          </w:p>
        </w:tc>
        <w:tc>
          <w:tcPr>
            <w:tcW w:w="734" w:type="dxa"/>
            <w:tcBorders>
              <w:top w:val="nil"/>
              <w:left w:val="nil"/>
              <w:bottom w:val="nil"/>
              <w:right w:val="nil"/>
            </w:tcBorders>
            <w:shd w:val="clear" w:color="auto" w:fill="auto"/>
            <w:noWrap/>
            <w:vAlign w:val="center"/>
            <w:hideMark/>
          </w:tcPr>
          <w:p w14:paraId="541A8CFB" w14:textId="20C986B0"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0.761</w:t>
            </w:r>
          </w:p>
        </w:tc>
        <w:tc>
          <w:tcPr>
            <w:tcW w:w="648" w:type="dxa"/>
            <w:tcBorders>
              <w:top w:val="nil"/>
              <w:left w:val="nil"/>
              <w:bottom w:val="nil"/>
              <w:right w:val="nil"/>
            </w:tcBorders>
            <w:shd w:val="clear" w:color="auto" w:fill="auto"/>
            <w:noWrap/>
            <w:vAlign w:val="center"/>
            <w:hideMark/>
          </w:tcPr>
          <w:p w14:paraId="199F636F" w14:textId="57B805E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-0.425</w:t>
            </w:r>
          </w:p>
        </w:tc>
        <w:tc>
          <w:tcPr>
            <w:tcW w:w="512" w:type="dxa"/>
            <w:tcBorders>
              <w:top w:val="nil"/>
              <w:left w:val="nil"/>
              <w:bottom w:val="nil"/>
              <w:right w:val="nil"/>
            </w:tcBorders>
            <w:shd w:val="clear" w:color="auto" w:fill="auto"/>
            <w:noWrap/>
            <w:vAlign w:val="center"/>
            <w:hideMark/>
          </w:tcPr>
          <w:p w14:paraId="12B66288" w14:textId="4C78F76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0.854</w:t>
            </w:r>
          </w:p>
        </w:tc>
        <w:tc>
          <w:tcPr>
            <w:tcW w:w="690" w:type="dxa"/>
            <w:tcBorders>
              <w:top w:val="nil"/>
              <w:left w:val="nil"/>
              <w:bottom w:val="nil"/>
              <w:right w:val="nil"/>
            </w:tcBorders>
            <w:shd w:val="clear" w:color="auto" w:fill="auto"/>
            <w:noWrap/>
            <w:vAlign w:val="center"/>
            <w:hideMark/>
          </w:tcPr>
          <w:p w14:paraId="79EEC0A3"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0.676</w:t>
            </w:r>
          </w:p>
        </w:tc>
        <w:tc>
          <w:tcPr>
            <w:tcW w:w="556" w:type="dxa"/>
            <w:tcBorders>
              <w:top w:val="nil"/>
              <w:left w:val="nil"/>
              <w:bottom w:val="nil"/>
              <w:right w:val="nil"/>
            </w:tcBorders>
            <w:shd w:val="clear" w:color="auto" w:fill="auto"/>
            <w:noWrap/>
            <w:vAlign w:val="center"/>
            <w:hideMark/>
          </w:tcPr>
          <w:p w14:paraId="5761271F" w14:textId="4C03E51A"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0.51</w:t>
            </w:r>
            <w:r w:rsidR="004A51B8" w:rsidRPr="00AB4D2E">
              <w:rPr>
                <w:rFonts w:cstheme="minorHAnsi"/>
                <w:b/>
                <w:bCs/>
                <w:color w:val="000000"/>
                <w:sz w:val="12"/>
                <w:szCs w:val="12"/>
              </w:rPr>
              <w:t>1</w:t>
            </w:r>
          </w:p>
        </w:tc>
        <w:tc>
          <w:tcPr>
            <w:tcW w:w="623" w:type="dxa"/>
            <w:tcBorders>
              <w:top w:val="nil"/>
              <w:left w:val="nil"/>
              <w:bottom w:val="nil"/>
              <w:right w:val="nil"/>
            </w:tcBorders>
            <w:shd w:val="clear" w:color="auto" w:fill="auto"/>
            <w:noWrap/>
            <w:vAlign w:val="center"/>
            <w:hideMark/>
          </w:tcPr>
          <w:p w14:paraId="4526BE7B"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-1.716</w:t>
            </w:r>
          </w:p>
        </w:tc>
        <w:tc>
          <w:tcPr>
            <w:tcW w:w="690" w:type="dxa"/>
            <w:tcBorders>
              <w:top w:val="nil"/>
              <w:left w:val="nil"/>
              <w:bottom w:val="nil"/>
              <w:right w:val="nil"/>
            </w:tcBorders>
            <w:shd w:val="clear" w:color="auto" w:fill="auto"/>
            <w:noWrap/>
            <w:vAlign w:val="center"/>
            <w:hideMark/>
          </w:tcPr>
          <w:p w14:paraId="7A6655F0"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1.126</w:t>
            </w:r>
          </w:p>
        </w:tc>
        <w:tc>
          <w:tcPr>
            <w:tcW w:w="683" w:type="dxa"/>
            <w:tcBorders>
              <w:top w:val="nil"/>
              <w:left w:val="nil"/>
              <w:bottom w:val="nil"/>
              <w:right w:val="nil"/>
            </w:tcBorders>
            <w:shd w:val="clear" w:color="auto" w:fill="auto"/>
            <w:noWrap/>
            <w:vAlign w:val="center"/>
            <w:hideMark/>
          </w:tcPr>
          <w:p w14:paraId="42FBCF8C" w14:textId="77777777" w:rsidR="00B44118" w:rsidRPr="00AB4D2E" w:rsidRDefault="00B44118" w:rsidP="00A1696E">
            <w:pPr>
              <w:spacing w:line="240" w:lineRule="auto"/>
              <w:jc w:val="center"/>
              <w:rPr>
                <w:rFonts w:cstheme="minorHAnsi"/>
                <w:b/>
                <w:bCs/>
                <w:color w:val="000000"/>
                <w:sz w:val="12"/>
                <w:szCs w:val="12"/>
              </w:rPr>
            </w:pPr>
            <w:r w:rsidRPr="00AB4D2E">
              <w:rPr>
                <w:rFonts w:cstheme="minorHAnsi"/>
                <w:b/>
                <w:bCs/>
                <w:color w:val="000000"/>
                <w:sz w:val="12"/>
                <w:szCs w:val="12"/>
              </w:rPr>
              <w:t>-0.832</w:t>
            </w:r>
          </w:p>
        </w:tc>
        <w:tc>
          <w:tcPr>
            <w:tcW w:w="777" w:type="dxa"/>
            <w:tcBorders>
              <w:top w:val="nil"/>
              <w:left w:val="single" w:sz="4" w:space="0" w:color="auto"/>
              <w:bottom w:val="nil"/>
              <w:right w:val="nil"/>
            </w:tcBorders>
            <w:shd w:val="clear" w:color="auto" w:fill="auto"/>
            <w:noWrap/>
            <w:vAlign w:val="center"/>
            <w:hideMark/>
          </w:tcPr>
          <w:p w14:paraId="51561556" w14:textId="77777777" w:rsidR="00B44118" w:rsidRPr="00AB4D2E" w:rsidRDefault="00B44118" w:rsidP="006F7C17">
            <w:pPr>
              <w:spacing w:line="240" w:lineRule="auto"/>
              <w:rPr>
                <w:rFonts w:cstheme="minorHAnsi"/>
                <w:b/>
                <w:bCs/>
                <w:color w:val="000000"/>
                <w:sz w:val="12"/>
                <w:szCs w:val="12"/>
              </w:rPr>
            </w:pPr>
            <w:r w:rsidRPr="00AB4D2E">
              <w:rPr>
                <w:rFonts w:cstheme="minorHAnsi"/>
                <w:b/>
                <w:bCs/>
                <w:color w:val="000000"/>
                <w:sz w:val="12"/>
                <w:szCs w:val="12"/>
              </w:rPr>
              <w:t>0.0861.</w:t>
            </w:r>
          </w:p>
        </w:tc>
        <w:tc>
          <w:tcPr>
            <w:tcW w:w="777" w:type="dxa"/>
            <w:tcBorders>
              <w:top w:val="nil"/>
              <w:left w:val="nil"/>
              <w:bottom w:val="nil"/>
              <w:right w:val="nil"/>
            </w:tcBorders>
            <w:shd w:val="clear" w:color="auto" w:fill="auto"/>
            <w:noWrap/>
            <w:vAlign w:val="center"/>
            <w:hideMark/>
          </w:tcPr>
          <w:p w14:paraId="6E7D5829" w14:textId="77777777" w:rsidR="00B44118" w:rsidRPr="00AB4D2E" w:rsidRDefault="00B44118" w:rsidP="006F7C17">
            <w:pPr>
              <w:spacing w:line="240" w:lineRule="auto"/>
              <w:jc w:val="right"/>
              <w:rPr>
                <w:rFonts w:cstheme="minorHAnsi"/>
                <w:b/>
                <w:bCs/>
                <w:color w:val="000000"/>
                <w:sz w:val="12"/>
                <w:szCs w:val="12"/>
              </w:rPr>
            </w:pPr>
            <w:r w:rsidRPr="00AB4D2E">
              <w:rPr>
                <w:rFonts w:cstheme="minorHAnsi"/>
                <w:b/>
                <w:bCs/>
                <w:color w:val="000000"/>
                <w:sz w:val="12"/>
                <w:szCs w:val="12"/>
              </w:rPr>
              <w:t>0.2602</w:t>
            </w:r>
          </w:p>
        </w:tc>
        <w:tc>
          <w:tcPr>
            <w:tcW w:w="778" w:type="dxa"/>
            <w:tcBorders>
              <w:top w:val="nil"/>
              <w:left w:val="nil"/>
              <w:bottom w:val="nil"/>
              <w:right w:val="single" w:sz="4" w:space="0" w:color="auto"/>
            </w:tcBorders>
            <w:shd w:val="clear" w:color="auto" w:fill="auto"/>
            <w:noWrap/>
            <w:vAlign w:val="center"/>
            <w:hideMark/>
          </w:tcPr>
          <w:p w14:paraId="59AC0784" w14:textId="77777777" w:rsidR="00B44118" w:rsidRPr="00AB4D2E" w:rsidRDefault="00B44118" w:rsidP="006F7C17">
            <w:pPr>
              <w:spacing w:line="240" w:lineRule="auto"/>
              <w:jc w:val="right"/>
              <w:rPr>
                <w:rFonts w:cstheme="minorHAnsi"/>
                <w:b/>
                <w:bCs/>
                <w:color w:val="000000"/>
                <w:sz w:val="12"/>
                <w:szCs w:val="12"/>
              </w:rPr>
            </w:pPr>
            <w:r w:rsidRPr="00AB4D2E">
              <w:rPr>
                <w:rFonts w:cstheme="minorHAnsi"/>
                <w:b/>
                <w:bCs/>
                <w:color w:val="000000"/>
                <w:sz w:val="12"/>
                <w:szCs w:val="12"/>
              </w:rPr>
              <w:t>0.4054</w:t>
            </w:r>
          </w:p>
        </w:tc>
      </w:tr>
      <w:tr w:rsidR="00F859C9" w:rsidRPr="00AB4D2E" w14:paraId="34B7E479" w14:textId="77777777" w:rsidTr="000F27C1">
        <w:trPr>
          <w:trHeight w:val="294"/>
        </w:trPr>
        <w:tc>
          <w:tcPr>
            <w:tcW w:w="988" w:type="dxa"/>
            <w:tcBorders>
              <w:top w:val="single" w:sz="4" w:space="0" w:color="auto"/>
              <w:left w:val="nil"/>
              <w:bottom w:val="nil"/>
              <w:right w:val="nil"/>
            </w:tcBorders>
            <w:shd w:val="clear" w:color="auto" w:fill="auto"/>
            <w:noWrap/>
            <w:vAlign w:val="bottom"/>
            <w:hideMark/>
          </w:tcPr>
          <w:p w14:paraId="72E599DC"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DevPressure</w:t>
            </w:r>
          </w:p>
        </w:tc>
        <w:tc>
          <w:tcPr>
            <w:tcW w:w="723" w:type="dxa"/>
            <w:tcBorders>
              <w:top w:val="single" w:sz="4" w:space="0" w:color="auto"/>
              <w:left w:val="nil"/>
              <w:bottom w:val="nil"/>
              <w:right w:val="nil"/>
            </w:tcBorders>
            <w:shd w:val="clear" w:color="auto" w:fill="auto"/>
            <w:noWrap/>
            <w:vAlign w:val="center"/>
            <w:hideMark/>
          </w:tcPr>
          <w:p w14:paraId="6D4C8494" w14:textId="0170BC9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0.60</w:t>
            </w:r>
            <w:r w:rsidR="00A364F9" w:rsidRPr="00AB4D2E">
              <w:rPr>
                <w:rFonts w:cstheme="minorHAnsi"/>
                <w:color w:val="000000"/>
                <w:sz w:val="12"/>
                <w:szCs w:val="12"/>
              </w:rPr>
              <w:t>7</w:t>
            </w:r>
          </w:p>
        </w:tc>
        <w:tc>
          <w:tcPr>
            <w:tcW w:w="734" w:type="dxa"/>
            <w:tcBorders>
              <w:top w:val="single" w:sz="4" w:space="0" w:color="auto"/>
              <w:left w:val="nil"/>
              <w:bottom w:val="nil"/>
              <w:right w:val="nil"/>
            </w:tcBorders>
            <w:shd w:val="clear" w:color="auto" w:fill="auto"/>
            <w:noWrap/>
            <w:vAlign w:val="center"/>
            <w:hideMark/>
          </w:tcPr>
          <w:p w14:paraId="2B87251E" w14:textId="31583A8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0.428</w:t>
            </w:r>
          </w:p>
        </w:tc>
        <w:tc>
          <w:tcPr>
            <w:tcW w:w="648" w:type="dxa"/>
            <w:tcBorders>
              <w:top w:val="single" w:sz="4" w:space="0" w:color="auto"/>
              <w:left w:val="nil"/>
              <w:bottom w:val="nil"/>
              <w:right w:val="nil"/>
            </w:tcBorders>
            <w:shd w:val="clear" w:color="auto" w:fill="auto"/>
            <w:noWrap/>
            <w:vAlign w:val="center"/>
            <w:hideMark/>
          </w:tcPr>
          <w:p w14:paraId="7AA7B368" w14:textId="004B8D9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0.199</w:t>
            </w:r>
          </w:p>
        </w:tc>
        <w:tc>
          <w:tcPr>
            <w:tcW w:w="512" w:type="dxa"/>
            <w:tcBorders>
              <w:top w:val="single" w:sz="4" w:space="0" w:color="auto"/>
              <w:left w:val="nil"/>
              <w:bottom w:val="nil"/>
              <w:right w:val="nil"/>
            </w:tcBorders>
            <w:shd w:val="clear" w:color="auto" w:fill="auto"/>
            <w:noWrap/>
            <w:vAlign w:val="center"/>
            <w:hideMark/>
          </w:tcPr>
          <w:p w14:paraId="0E9A8FE0" w14:textId="6D8359C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0.040</w:t>
            </w:r>
          </w:p>
        </w:tc>
        <w:tc>
          <w:tcPr>
            <w:tcW w:w="690" w:type="dxa"/>
            <w:tcBorders>
              <w:top w:val="single" w:sz="4" w:space="0" w:color="auto"/>
              <w:left w:val="nil"/>
              <w:bottom w:val="nil"/>
              <w:right w:val="nil"/>
            </w:tcBorders>
            <w:shd w:val="clear" w:color="auto" w:fill="auto"/>
            <w:noWrap/>
            <w:vAlign w:val="center"/>
            <w:hideMark/>
          </w:tcPr>
          <w:p w14:paraId="5A8E37D9" w14:textId="2B2614B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0.04</w:t>
            </w:r>
            <w:r w:rsidR="00A364F9" w:rsidRPr="00AB4D2E">
              <w:rPr>
                <w:rFonts w:cstheme="minorHAnsi"/>
                <w:color w:val="000000"/>
                <w:sz w:val="12"/>
                <w:szCs w:val="12"/>
              </w:rPr>
              <w:t>2</w:t>
            </w:r>
          </w:p>
        </w:tc>
        <w:tc>
          <w:tcPr>
            <w:tcW w:w="556" w:type="dxa"/>
            <w:tcBorders>
              <w:top w:val="single" w:sz="4" w:space="0" w:color="auto"/>
              <w:left w:val="nil"/>
              <w:bottom w:val="nil"/>
              <w:right w:val="nil"/>
            </w:tcBorders>
            <w:shd w:val="clear" w:color="auto" w:fill="auto"/>
            <w:noWrap/>
            <w:vAlign w:val="center"/>
            <w:hideMark/>
          </w:tcPr>
          <w:p w14:paraId="1D0177DF" w14:textId="6EF60D71"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0.034</w:t>
            </w:r>
          </w:p>
        </w:tc>
        <w:tc>
          <w:tcPr>
            <w:tcW w:w="623" w:type="dxa"/>
            <w:tcBorders>
              <w:top w:val="single" w:sz="4" w:space="0" w:color="auto"/>
              <w:left w:val="nil"/>
              <w:bottom w:val="nil"/>
              <w:right w:val="nil"/>
            </w:tcBorders>
            <w:shd w:val="clear" w:color="auto" w:fill="auto"/>
            <w:noWrap/>
            <w:vAlign w:val="center"/>
            <w:hideMark/>
          </w:tcPr>
          <w:p w14:paraId="5C605909" w14:textId="66B0AA1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15.036</w:t>
            </w:r>
          </w:p>
        </w:tc>
        <w:tc>
          <w:tcPr>
            <w:tcW w:w="690" w:type="dxa"/>
            <w:tcBorders>
              <w:top w:val="single" w:sz="4" w:space="0" w:color="auto"/>
              <w:left w:val="nil"/>
              <w:bottom w:val="nil"/>
              <w:right w:val="nil"/>
            </w:tcBorders>
            <w:shd w:val="clear" w:color="auto" w:fill="auto"/>
            <w:noWrap/>
            <w:vAlign w:val="center"/>
            <w:hideMark/>
          </w:tcPr>
          <w:p w14:paraId="7744A2DB" w14:textId="2279AC91"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10.271</w:t>
            </w:r>
          </w:p>
        </w:tc>
        <w:tc>
          <w:tcPr>
            <w:tcW w:w="683" w:type="dxa"/>
            <w:tcBorders>
              <w:top w:val="single" w:sz="4" w:space="0" w:color="auto"/>
              <w:left w:val="nil"/>
              <w:bottom w:val="nil"/>
              <w:right w:val="nil"/>
            </w:tcBorders>
            <w:shd w:val="clear" w:color="auto" w:fill="auto"/>
            <w:noWrap/>
            <w:vAlign w:val="center"/>
            <w:hideMark/>
          </w:tcPr>
          <w:p w14:paraId="1F289DAD" w14:textId="787FE34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5.858</w:t>
            </w:r>
          </w:p>
        </w:tc>
        <w:tc>
          <w:tcPr>
            <w:tcW w:w="777" w:type="dxa"/>
            <w:tcBorders>
              <w:top w:val="single" w:sz="4" w:space="0" w:color="auto"/>
              <w:left w:val="single" w:sz="4" w:space="0" w:color="auto"/>
              <w:bottom w:val="nil"/>
              <w:right w:val="nil"/>
            </w:tcBorders>
            <w:shd w:val="clear" w:color="auto" w:fill="auto"/>
            <w:noWrap/>
            <w:vAlign w:val="center"/>
            <w:hideMark/>
          </w:tcPr>
          <w:p w14:paraId="7435C1E6"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p>
        </w:tc>
        <w:tc>
          <w:tcPr>
            <w:tcW w:w="777" w:type="dxa"/>
            <w:tcBorders>
              <w:top w:val="single" w:sz="4" w:space="0" w:color="auto"/>
              <w:left w:val="nil"/>
              <w:bottom w:val="nil"/>
              <w:right w:val="nil"/>
            </w:tcBorders>
            <w:shd w:val="clear" w:color="auto" w:fill="auto"/>
            <w:noWrap/>
            <w:vAlign w:val="center"/>
            <w:hideMark/>
          </w:tcPr>
          <w:p w14:paraId="4D5C7C68"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 ***</w:t>
            </w:r>
          </w:p>
        </w:tc>
        <w:tc>
          <w:tcPr>
            <w:tcW w:w="778" w:type="dxa"/>
            <w:tcBorders>
              <w:top w:val="single" w:sz="4" w:space="0" w:color="auto"/>
              <w:left w:val="nil"/>
              <w:bottom w:val="nil"/>
              <w:right w:val="single" w:sz="4" w:space="0" w:color="auto"/>
            </w:tcBorders>
            <w:shd w:val="clear" w:color="auto" w:fill="auto"/>
            <w:noWrap/>
            <w:vAlign w:val="center"/>
            <w:hideMark/>
          </w:tcPr>
          <w:p w14:paraId="701D7254"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4E954A6A" w14:textId="77777777" w:rsidTr="000F27C1">
        <w:trPr>
          <w:trHeight w:val="294"/>
        </w:trPr>
        <w:tc>
          <w:tcPr>
            <w:tcW w:w="988" w:type="dxa"/>
            <w:tcBorders>
              <w:top w:val="nil"/>
              <w:left w:val="nil"/>
              <w:bottom w:val="nil"/>
              <w:right w:val="nil"/>
            </w:tcBorders>
            <w:shd w:val="clear" w:color="auto" w:fill="auto"/>
            <w:noWrap/>
            <w:vAlign w:val="bottom"/>
            <w:hideMark/>
          </w:tcPr>
          <w:p w14:paraId="0DC4B56D"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DLRoads</w:t>
            </w:r>
          </w:p>
        </w:tc>
        <w:tc>
          <w:tcPr>
            <w:tcW w:w="723" w:type="dxa"/>
            <w:tcBorders>
              <w:top w:val="nil"/>
              <w:left w:val="nil"/>
              <w:bottom w:val="nil"/>
              <w:right w:val="nil"/>
            </w:tcBorders>
            <w:shd w:val="clear" w:color="auto" w:fill="auto"/>
            <w:noWrap/>
            <w:vAlign w:val="center"/>
            <w:hideMark/>
          </w:tcPr>
          <w:p w14:paraId="4E70C44E" w14:textId="029205C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-0.03</w:t>
            </w:r>
            <w:r w:rsidR="00A364F9" w:rsidRPr="00AB4D2E">
              <w:rPr>
                <w:rFonts w:cstheme="minorHAnsi"/>
                <w:color w:val="000000"/>
                <w:sz w:val="12"/>
                <w:szCs w:val="12"/>
              </w:rPr>
              <w:t>8</w:t>
            </w:r>
          </w:p>
        </w:tc>
        <w:tc>
          <w:tcPr>
            <w:tcW w:w="734" w:type="dxa"/>
            <w:tcBorders>
              <w:top w:val="nil"/>
              <w:left w:val="nil"/>
              <w:bottom w:val="nil"/>
              <w:right w:val="nil"/>
            </w:tcBorders>
            <w:shd w:val="clear" w:color="auto" w:fill="auto"/>
            <w:noWrap/>
            <w:vAlign w:val="center"/>
            <w:hideMark/>
          </w:tcPr>
          <w:p w14:paraId="5727B688" w14:textId="3FE0E25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9</w:t>
            </w:r>
          </w:p>
        </w:tc>
        <w:tc>
          <w:tcPr>
            <w:tcW w:w="648" w:type="dxa"/>
            <w:tcBorders>
              <w:top w:val="nil"/>
              <w:left w:val="nil"/>
              <w:bottom w:val="nil"/>
              <w:right w:val="nil"/>
            </w:tcBorders>
            <w:shd w:val="clear" w:color="auto" w:fill="auto"/>
            <w:noWrap/>
            <w:vAlign w:val="center"/>
            <w:hideMark/>
          </w:tcPr>
          <w:p w14:paraId="29926336" w14:textId="6630FC4A"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-1.483</w:t>
            </w:r>
          </w:p>
        </w:tc>
        <w:tc>
          <w:tcPr>
            <w:tcW w:w="512" w:type="dxa"/>
            <w:tcBorders>
              <w:top w:val="nil"/>
              <w:left w:val="nil"/>
              <w:bottom w:val="nil"/>
              <w:right w:val="nil"/>
            </w:tcBorders>
            <w:shd w:val="clear" w:color="auto" w:fill="auto"/>
            <w:noWrap/>
            <w:vAlign w:val="center"/>
            <w:hideMark/>
          </w:tcPr>
          <w:p w14:paraId="6FF4E65B" w14:textId="6318208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0.016</w:t>
            </w:r>
          </w:p>
        </w:tc>
        <w:tc>
          <w:tcPr>
            <w:tcW w:w="690" w:type="dxa"/>
            <w:tcBorders>
              <w:top w:val="nil"/>
              <w:left w:val="nil"/>
              <w:bottom w:val="nil"/>
              <w:right w:val="nil"/>
            </w:tcBorders>
            <w:shd w:val="clear" w:color="auto" w:fill="auto"/>
            <w:noWrap/>
            <w:vAlign w:val="center"/>
            <w:hideMark/>
          </w:tcPr>
          <w:p w14:paraId="213625CD" w14:textId="7292022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0.015</w:t>
            </w:r>
          </w:p>
        </w:tc>
        <w:tc>
          <w:tcPr>
            <w:tcW w:w="556" w:type="dxa"/>
            <w:tcBorders>
              <w:top w:val="nil"/>
              <w:left w:val="nil"/>
              <w:bottom w:val="nil"/>
              <w:right w:val="nil"/>
            </w:tcBorders>
            <w:shd w:val="clear" w:color="auto" w:fill="auto"/>
            <w:noWrap/>
            <w:vAlign w:val="center"/>
            <w:hideMark/>
          </w:tcPr>
          <w:p w14:paraId="3554DCF3" w14:textId="706E9B2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0.272</w:t>
            </w:r>
          </w:p>
        </w:tc>
        <w:tc>
          <w:tcPr>
            <w:tcW w:w="623" w:type="dxa"/>
            <w:tcBorders>
              <w:top w:val="nil"/>
              <w:left w:val="nil"/>
              <w:bottom w:val="nil"/>
              <w:right w:val="nil"/>
            </w:tcBorders>
            <w:shd w:val="clear" w:color="auto" w:fill="auto"/>
            <w:noWrap/>
            <w:vAlign w:val="center"/>
            <w:hideMark/>
          </w:tcPr>
          <w:p w14:paraId="13AD27F4" w14:textId="152FD2A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-2.314</w:t>
            </w:r>
          </w:p>
        </w:tc>
        <w:tc>
          <w:tcPr>
            <w:tcW w:w="690" w:type="dxa"/>
            <w:tcBorders>
              <w:top w:val="nil"/>
              <w:left w:val="nil"/>
              <w:bottom w:val="nil"/>
              <w:right w:val="nil"/>
            </w:tcBorders>
            <w:shd w:val="clear" w:color="auto" w:fill="auto"/>
            <w:noWrap/>
            <w:vAlign w:val="center"/>
            <w:hideMark/>
          </w:tcPr>
          <w:p w14:paraId="74E26EAA" w14:textId="30DDEE5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0.592</w:t>
            </w:r>
          </w:p>
        </w:tc>
        <w:tc>
          <w:tcPr>
            <w:tcW w:w="683" w:type="dxa"/>
            <w:tcBorders>
              <w:top w:val="nil"/>
              <w:left w:val="nil"/>
              <w:bottom w:val="nil"/>
              <w:right w:val="nil"/>
            </w:tcBorders>
            <w:shd w:val="clear" w:color="auto" w:fill="auto"/>
            <w:noWrap/>
            <w:vAlign w:val="center"/>
            <w:hideMark/>
          </w:tcPr>
          <w:p w14:paraId="2DBC6459" w14:textId="639C268D"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-5.449</w:t>
            </w:r>
          </w:p>
        </w:tc>
        <w:tc>
          <w:tcPr>
            <w:tcW w:w="777" w:type="dxa"/>
            <w:tcBorders>
              <w:top w:val="nil"/>
              <w:left w:val="single" w:sz="4" w:space="0" w:color="auto"/>
              <w:bottom w:val="nil"/>
              <w:right w:val="nil"/>
            </w:tcBorders>
            <w:shd w:val="clear" w:color="auto" w:fill="auto"/>
            <w:noWrap/>
            <w:vAlign w:val="center"/>
            <w:hideMark/>
          </w:tcPr>
          <w:p w14:paraId="2F627616" w14:textId="519920B4"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0.020</w:t>
            </w:r>
            <w:r w:rsidR="00A364F9" w:rsidRPr="00AB4D2E">
              <w:rPr>
                <w:rFonts w:cstheme="minorHAnsi"/>
                <w:color w:val="000000"/>
                <w:sz w:val="12"/>
                <w:szCs w:val="12"/>
              </w:rPr>
              <w:t>7</w:t>
            </w:r>
            <w:r w:rsidRPr="00AB4D2E">
              <w:rPr>
                <w:rFonts w:cstheme="minorHAnsi"/>
                <w:color w:val="000000"/>
                <w:sz w:val="12"/>
                <w:szCs w:val="12"/>
              </w:rPr>
              <w:t xml:space="preserve"> *</w:t>
            </w:r>
          </w:p>
        </w:tc>
        <w:tc>
          <w:tcPr>
            <w:tcW w:w="777" w:type="dxa"/>
            <w:tcBorders>
              <w:top w:val="nil"/>
              <w:left w:val="nil"/>
              <w:bottom w:val="nil"/>
              <w:right w:val="nil"/>
            </w:tcBorders>
            <w:shd w:val="clear" w:color="auto" w:fill="auto"/>
            <w:noWrap/>
            <w:vAlign w:val="center"/>
            <w:hideMark/>
          </w:tcPr>
          <w:p w14:paraId="6F58F5F8"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0.5536</w:t>
            </w:r>
          </w:p>
        </w:tc>
        <w:tc>
          <w:tcPr>
            <w:tcW w:w="778" w:type="dxa"/>
            <w:tcBorders>
              <w:top w:val="nil"/>
              <w:left w:val="nil"/>
              <w:bottom w:val="nil"/>
              <w:right w:val="single" w:sz="4" w:space="0" w:color="auto"/>
            </w:tcBorders>
            <w:shd w:val="clear" w:color="auto" w:fill="auto"/>
            <w:noWrap/>
            <w:vAlign w:val="center"/>
            <w:hideMark/>
          </w:tcPr>
          <w:p w14:paraId="42E10BFA"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52C50F3C" w14:textId="77777777" w:rsidTr="000F27C1">
        <w:trPr>
          <w:trHeight w:val="294"/>
        </w:trPr>
        <w:tc>
          <w:tcPr>
            <w:tcW w:w="988" w:type="dxa"/>
            <w:tcBorders>
              <w:top w:val="nil"/>
              <w:left w:val="nil"/>
              <w:bottom w:val="nil"/>
              <w:right w:val="nil"/>
            </w:tcBorders>
            <w:shd w:val="clear" w:color="auto" w:fill="auto"/>
            <w:noWrap/>
            <w:vAlign w:val="bottom"/>
            <w:hideMark/>
          </w:tcPr>
          <w:p w14:paraId="5054A11E"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DPCities</w:t>
            </w:r>
          </w:p>
        </w:tc>
        <w:tc>
          <w:tcPr>
            <w:tcW w:w="723" w:type="dxa"/>
            <w:tcBorders>
              <w:top w:val="nil"/>
              <w:left w:val="nil"/>
              <w:bottom w:val="nil"/>
              <w:right w:val="nil"/>
            </w:tcBorders>
            <w:shd w:val="clear" w:color="auto" w:fill="auto"/>
            <w:noWrap/>
            <w:vAlign w:val="center"/>
            <w:hideMark/>
          </w:tcPr>
          <w:p w14:paraId="59B5E938" w14:textId="36F391EF"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0.040</w:t>
            </w:r>
          </w:p>
        </w:tc>
        <w:tc>
          <w:tcPr>
            <w:tcW w:w="734" w:type="dxa"/>
            <w:tcBorders>
              <w:top w:val="nil"/>
              <w:left w:val="nil"/>
              <w:bottom w:val="nil"/>
              <w:right w:val="nil"/>
            </w:tcBorders>
            <w:shd w:val="clear" w:color="auto" w:fill="auto"/>
            <w:noWrap/>
            <w:vAlign w:val="center"/>
            <w:hideMark/>
          </w:tcPr>
          <w:p w14:paraId="32C0E3B5" w14:textId="5B3B3E4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w:t>
            </w:r>
            <w:r w:rsidR="00A364F9" w:rsidRPr="00AB4D2E">
              <w:rPr>
                <w:rFonts w:cstheme="minorHAnsi"/>
                <w:color w:val="000000"/>
                <w:sz w:val="12"/>
                <w:szCs w:val="12"/>
              </w:rPr>
              <w:t>1</w:t>
            </w:r>
          </w:p>
        </w:tc>
        <w:tc>
          <w:tcPr>
            <w:tcW w:w="648" w:type="dxa"/>
            <w:tcBorders>
              <w:top w:val="nil"/>
              <w:left w:val="nil"/>
              <w:bottom w:val="nil"/>
              <w:right w:val="nil"/>
            </w:tcBorders>
            <w:shd w:val="clear" w:color="auto" w:fill="auto"/>
            <w:noWrap/>
            <w:vAlign w:val="center"/>
            <w:hideMark/>
          </w:tcPr>
          <w:p w14:paraId="2CEC72D8" w14:textId="0C1D96D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-0.185</w:t>
            </w:r>
          </w:p>
        </w:tc>
        <w:tc>
          <w:tcPr>
            <w:tcW w:w="512" w:type="dxa"/>
            <w:tcBorders>
              <w:top w:val="nil"/>
              <w:left w:val="nil"/>
              <w:bottom w:val="nil"/>
              <w:right w:val="nil"/>
            </w:tcBorders>
            <w:shd w:val="clear" w:color="auto" w:fill="auto"/>
            <w:noWrap/>
            <w:vAlign w:val="center"/>
            <w:hideMark/>
          </w:tcPr>
          <w:p w14:paraId="05FE8504" w14:textId="2FA4BF3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0.016</w:t>
            </w:r>
          </w:p>
        </w:tc>
        <w:tc>
          <w:tcPr>
            <w:tcW w:w="690" w:type="dxa"/>
            <w:tcBorders>
              <w:top w:val="nil"/>
              <w:left w:val="nil"/>
              <w:bottom w:val="nil"/>
              <w:right w:val="nil"/>
            </w:tcBorders>
            <w:shd w:val="clear" w:color="auto" w:fill="auto"/>
            <w:noWrap/>
            <w:vAlign w:val="center"/>
            <w:hideMark/>
          </w:tcPr>
          <w:p w14:paraId="104194F1" w14:textId="672E341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w:t>
            </w:r>
            <w:r w:rsidR="00A364F9" w:rsidRPr="00AB4D2E">
              <w:rPr>
                <w:rFonts w:cstheme="minorHAnsi"/>
                <w:color w:val="000000"/>
                <w:sz w:val="12"/>
                <w:szCs w:val="12"/>
              </w:rPr>
              <w:t>6</w:t>
            </w:r>
          </w:p>
        </w:tc>
        <w:tc>
          <w:tcPr>
            <w:tcW w:w="556" w:type="dxa"/>
            <w:tcBorders>
              <w:top w:val="nil"/>
              <w:left w:val="nil"/>
              <w:bottom w:val="nil"/>
              <w:right w:val="nil"/>
            </w:tcBorders>
            <w:shd w:val="clear" w:color="auto" w:fill="auto"/>
            <w:noWrap/>
            <w:vAlign w:val="center"/>
            <w:hideMark/>
          </w:tcPr>
          <w:p w14:paraId="3EFB94A7" w14:textId="74345941"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0.03</w:t>
            </w:r>
            <w:r w:rsidR="00A364F9" w:rsidRPr="00AB4D2E">
              <w:rPr>
                <w:rFonts w:cstheme="minorHAnsi"/>
                <w:color w:val="000000"/>
                <w:sz w:val="12"/>
                <w:szCs w:val="12"/>
              </w:rPr>
              <w:t>5</w:t>
            </w:r>
          </w:p>
        </w:tc>
        <w:tc>
          <w:tcPr>
            <w:tcW w:w="623" w:type="dxa"/>
            <w:tcBorders>
              <w:top w:val="nil"/>
              <w:left w:val="nil"/>
              <w:bottom w:val="nil"/>
              <w:right w:val="nil"/>
            </w:tcBorders>
            <w:shd w:val="clear" w:color="auto" w:fill="auto"/>
            <w:noWrap/>
            <w:vAlign w:val="center"/>
            <w:hideMark/>
          </w:tcPr>
          <w:p w14:paraId="54829FDC" w14:textId="3D2024C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2.497</w:t>
            </w:r>
          </w:p>
        </w:tc>
        <w:tc>
          <w:tcPr>
            <w:tcW w:w="690" w:type="dxa"/>
            <w:tcBorders>
              <w:top w:val="nil"/>
              <w:left w:val="nil"/>
              <w:bottom w:val="nil"/>
              <w:right w:val="nil"/>
            </w:tcBorders>
            <w:shd w:val="clear" w:color="auto" w:fill="auto"/>
            <w:noWrap/>
            <w:vAlign w:val="center"/>
            <w:hideMark/>
          </w:tcPr>
          <w:p w14:paraId="323BA8EB" w14:textId="4D0DA49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-0.685</w:t>
            </w:r>
          </w:p>
        </w:tc>
        <w:tc>
          <w:tcPr>
            <w:tcW w:w="683" w:type="dxa"/>
            <w:tcBorders>
              <w:top w:val="nil"/>
              <w:left w:val="nil"/>
              <w:bottom w:val="nil"/>
              <w:right w:val="nil"/>
            </w:tcBorders>
            <w:shd w:val="clear" w:color="auto" w:fill="auto"/>
            <w:noWrap/>
            <w:vAlign w:val="center"/>
            <w:hideMark/>
          </w:tcPr>
          <w:p w14:paraId="35CC0BB9" w14:textId="208684AA"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-5.371</w:t>
            </w:r>
          </w:p>
        </w:tc>
        <w:tc>
          <w:tcPr>
            <w:tcW w:w="777" w:type="dxa"/>
            <w:tcBorders>
              <w:top w:val="nil"/>
              <w:left w:val="single" w:sz="4" w:space="0" w:color="auto"/>
              <w:bottom w:val="nil"/>
              <w:right w:val="nil"/>
            </w:tcBorders>
            <w:shd w:val="clear" w:color="auto" w:fill="auto"/>
            <w:noWrap/>
            <w:vAlign w:val="center"/>
            <w:hideMark/>
          </w:tcPr>
          <w:p w14:paraId="6FEA9591" w14:textId="5B226AD3"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0.0125 *</w:t>
            </w:r>
          </w:p>
        </w:tc>
        <w:tc>
          <w:tcPr>
            <w:tcW w:w="777" w:type="dxa"/>
            <w:tcBorders>
              <w:top w:val="nil"/>
              <w:left w:val="nil"/>
              <w:bottom w:val="nil"/>
              <w:right w:val="nil"/>
            </w:tcBorders>
            <w:shd w:val="clear" w:color="auto" w:fill="auto"/>
            <w:noWrap/>
            <w:vAlign w:val="center"/>
            <w:hideMark/>
          </w:tcPr>
          <w:p w14:paraId="1578C1F5"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0.4936</w:t>
            </w:r>
          </w:p>
        </w:tc>
        <w:tc>
          <w:tcPr>
            <w:tcW w:w="778" w:type="dxa"/>
            <w:tcBorders>
              <w:top w:val="nil"/>
              <w:left w:val="nil"/>
              <w:bottom w:val="nil"/>
              <w:right w:val="single" w:sz="4" w:space="0" w:color="auto"/>
            </w:tcBorders>
            <w:shd w:val="clear" w:color="auto" w:fill="auto"/>
            <w:noWrap/>
            <w:vAlign w:val="center"/>
            <w:hideMark/>
          </w:tcPr>
          <w:p w14:paraId="54B5853B"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178C6005" w14:textId="77777777" w:rsidTr="000F27C1">
        <w:trPr>
          <w:trHeight w:val="294"/>
        </w:trPr>
        <w:tc>
          <w:tcPr>
            <w:tcW w:w="988" w:type="dxa"/>
            <w:tcBorders>
              <w:top w:val="nil"/>
              <w:left w:val="nil"/>
              <w:bottom w:val="nil"/>
              <w:right w:val="nil"/>
            </w:tcBorders>
            <w:shd w:val="clear" w:color="auto" w:fill="auto"/>
            <w:noWrap/>
            <w:vAlign w:val="bottom"/>
            <w:hideMark/>
          </w:tcPr>
          <w:p w14:paraId="6CE652BA"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DSRoads</w:t>
            </w:r>
          </w:p>
        </w:tc>
        <w:tc>
          <w:tcPr>
            <w:tcW w:w="723" w:type="dxa"/>
            <w:tcBorders>
              <w:top w:val="nil"/>
              <w:left w:val="nil"/>
              <w:bottom w:val="nil"/>
              <w:right w:val="nil"/>
            </w:tcBorders>
            <w:shd w:val="clear" w:color="auto" w:fill="auto"/>
            <w:noWrap/>
            <w:vAlign w:val="center"/>
            <w:hideMark/>
          </w:tcPr>
          <w:p w14:paraId="5B0092EB" w14:textId="2F52906A"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w:t>
            </w:r>
            <w:r w:rsidR="00A364F9" w:rsidRPr="00AB4D2E">
              <w:rPr>
                <w:rFonts w:cstheme="minorHAnsi"/>
                <w:color w:val="000000"/>
                <w:sz w:val="12"/>
                <w:szCs w:val="12"/>
              </w:rPr>
              <w:t>5</w:t>
            </w:r>
          </w:p>
        </w:tc>
        <w:tc>
          <w:tcPr>
            <w:tcW w:w="734" w:type="dxa"/>
            <w:tcBorders>
              <w:top w:val="nil"/>
              <w:left w:val="nil"/>
              <w:bottom w:val="nil"/>
              <w:right w:val="nil"/>
            </w:tcBorders>
            <w:shd w:val="clear" w:color="auto" w:fill="auto"/>
            <w:noWrap/>
            <w:vAlign w:val="center"/>
            <w:hideMark/>
          </w:tcPr>
          <w:p w14:paraId="40112A32" w14:textId="1C5482E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-0.23</w:t>
            </w:r>
            <w:r w:rsidR="00A364F9" w:rsidRPr="00AB4D2E">
              <w:rPr>
                <w:rFonts w:cstheme="minorHAnsi"/>
                <w:color w:val="000000"/>
                <w:sz w:val="12"/>
                <w:szCs w:val="12"/>
              </w:rPr>
              <w:t>8</w:t>
            </w:r>
          </w:p>
        </w:tc>
        <w:tc>
          <w:tcPr>
            <w:tcW w:w="648" w:type="dxa"/>
            <w:tcBorders>
              <w:top w:val="nil"/>
              <w:left w:val="nil"/>
              <w:bottom w:val="nil"/>
              <w:right w:val="nil"/>
            </w:tcBorders>
            <w:shd w:val="clear" w:color="auto" w:fill="auto"/>
            <w:noWrap/>
            <w:vAlign w:val="center"/>
            <w:hideMark/>
          </w:tcPr>
          <w:p w14:paraId="6D8C9E6C" w14:textId="5CF05C9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0.25</w:t>
            </w:r>
            <w:r w:rsidR="00A364F9" w:rsidRPr="00AB4D2E">
              <w:rPr>
                <w:rFonts w:cstheme="minorHAnsi"/>
                <w:color w:val="000000"/>
                <w:sz w:val="12"/>
                <w:szCs w:val="12"/>
              </w:rPr>
              <w:t>8</w:t>
            </w:r>
          </w:p>
        </w:tc>
        <w:tc>
          <w:tcPr>
            <w:tcW w:w="512" w:type="dxa"/>
            <w:tcBorders>
              <w:top w:val="nil"/>
              <w:left w:val="nil"/>
              <w:bottom w:val="nil"/>
              <w:right w:val="nil"/>
            </w:tcBorders>
            <w:shd w:val="clear" w:color="auto" w:fill="auto"/>
            <w:noWrap/>
            <w:vAlign w:val="center"/>
            <w:hideMark/>
          </w:tcPr>
          <w:p w14:paraId="46A68268" w14:textId="671E8FFE"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4</w:t>
            </w:r>
          </w:p>
        </w:tc>
        <w:tc>
          <w:tcPr>
            <w:tcW w:w="690" w:type="dxa"/>
            <w:tcBorders>
              <w:top w:val="nil"/>
              <w:left w:val="nil"/>
              <w:bottom w:val="nil"/>
              <w:right w:val="nil"/>
            </w:tcBorders>
            <w:shd w:val="clear" w:color="auto" w:fill="auto"/>
            <w:noWrap/>
            <w:vAlign w:val="center"/>
            <w:hideMark/>
          </w:tcPr>
          <w:p w14:paraId="7CE59C48" w14:textId="6CB3E28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0.036</w:t>
            </w:r>
          </w:p>
        </w:tc>
        <w:tc>
          <w:tcPr>
            <w:tcW w:w="556" w:type="dxa"/>
            <w:tcBorders>
              <w:top w:val="nil"/>
              <w:left w:val="nil"/>
              <w:bottom w:val="nil"/>
              <w:right w:val="nil"/>
            </w:tcBorders>
            <w:shd w:val="clear" w:color="auto" w:fill="auto"/>
            <w:noWrap/>
            <w:vAlign w:val="center"/>
            <w:hideMark/>
          </w:tcPr>
          <w:p w14:paraId="0FA96175" w14:textId="1751031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0.051</w:t>
            </w:r>
          </w:p>
        </w:tc>
        <w:tc>
          <w:tcPr>
            <w:tcW w:w="623" w:type="dxa"/>
            <w:tcBorders>
              <w:top w:val="nil"/>
              <w:left w:val="nil"/>
              <w:bottom w:val="nil"/>
              <w:right w:val="nil"/>
            </w:tcBorders>
            <w:shd w:val="clear" w:color="auto" w:fill="auto"/>
            <w:noWrap/>
            <w:vAlign w:val="center"/>
            <w:hideMark/>
          </w:tcPr>
          <w:p w14:paraId="700C7D2C" w14:textId="576AF40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-3.714</w:t>
            </w:r>
          </w:p>
        </w:tc>
        <w:tc>
          <w:tcPr>
            <w:tcW w:w="690" w:type="dxa"/>
            <w:tcBorders>
              <w:top w:val="nil"/>
              <w:left w:val="nil"/>
              <w:bottom w:val="nil"/>
              <w:right w:val="nil"/>
            </w:tcBorders>
            <w:shd w:val="clear" w:color="auto" w:fill="auto"/>
            <w:noWrap/>
            <w:vAlign w:val="center"/>
            <w:hideMark/>
          </w:tcPr>
          <w:p w14:paraId="2A2AFF9D" w14:textId="1F705A6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-6.541</w:t>
            </w:r>
          </w:p>
        </w:tc>
        <w:tc>
          <w:tcPr>
            <w:tcW w:w="683" w:type="dxa"/>
            <w:tcBorders>
              <w:top w:val="nil"/>
              <w:left w:val="nil"/>
              <w:bottom w:val="nil"/>
              <w:right w:val="nil"/>
            </w:tcBorders>
            <w:shd w:val="clear" w:color="auto" w:fill="auto"/>
            <w:noWrap/>
            <w:vAlign w:val="center"/>
            <w:hideMark/>
          </w:tcPr>
          <w:p w14:paraId="4E9D02F9" w14:textId="37F72D0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5.016</w:t>
            </w:r>
          </w:p>
        </w:tc>
        <w:tc>
          <w:tcPr>
            <w:tcW w:w="777" w:type="dxa"/>
            <w:tcBorders>
              <w:top w:val="nil"/>
              <w:left w:val="single" w:sz="4" w:space="0" w:color="auto"/>
              <w:bottom w:val="nil"/>
              <w:right w:val="nil"/>
            </w:tcBorders>
            <w:shd w:val="clear" w:color="auto" w:fill="auto"/>
            <w:noWrap/>
            <w:vAlign w:val="center"/>
            <w:hideMark/>
          </w:tcPr>
          <w:p w14:paraId="7887FB98" w14:textId="221C116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0.0002 ***</w:t>
            </w:r>
          </w:p>
        </w:tc>
        <w:tc>
          <w:tcPr>
            <w:tcW w:w="777" w:type="dxa"/>
            <w:tcBorders>
              <w:top w:val="nil"/>
              <w:left w:val="nil"/>
              <w:bottom w:val="nil"/>
              <w:right w:val="nil"/>
            </w:tcBorders>
            <w:shd w:val="clear" w:color="auto" w:fill="auto"/>
            <w:noWrap/>
            <w:vAlign w:val="center"/>
            <w:hideMark/>
          </w:tcPr>
          <w:p w14:paraId="13CC0110"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 ***</w:t>
            </w:r>
          </w:p>
        </w:tc>
        <w:tc>
          <w:tcPr>
            <w:tcW w:w="778" w:type="dxa"/>
            <w:tcBorders>
              <w:top w:val="nil"/>
              <w:left w:val="nil"/>
              <w:bottom w:val="nil"/>
              <w:right w:val="single" w:sz="4" w:space="0" w:color="auto"/>
            </w:tcBorders>
            <w:shd w:val="clear" w:color="auto" w:fill="auto"/>
            <w:noWrap/>
            <w:vAlign w:val="center"/>
            <w:hideMark/>
          </w:tcPr>
          <w:p w14:paraId="14518C9F"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3F337E27" w14:textId="77777777" w:rsidTr="000F27C1">
        <w:trPr>
          <w:trHeight w:val="294"/>
        </w:trPr>
        <w:tc>
          <w:tcPr>
            <w:tcW w:w="988" w:type="dxa"/>
            <w:tcBorders>
              <w:top w:val="nil"/>
              <w:left w:val="nil"/>
              <w:bottom w:val="nil"/>
              <w:right w:val="nil"/>
            </w:tcBorders>
            <w:shd w:val="clear" w:color="auto" w:fill="auto"/>
            <w:noWrap/>
            <w:vAlign w:val="bottom"/>
            <w:hideMark/>
          </w:tcPr>
          <w:p w14:paraId="7F4C5264"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DACities</w:t>
            </w:r>
          </w:p>
        </w:tc>
        <w:tc>
          <w:tcPr>
            <w:tcW w:w="723" w:type="dxa"/>
            <w:tcBorders>
              <w:top w:val="nil"/>
              <w:left w:val="nil"/>
              <w:bottom w:val="nil"/>
              <w:right w:val="nil"/>
            </w:tcBorders>
            <w:shd w:val="clear" w:color="auto" w:fill="auto"/>
            <w:noWrap/>
            <w:vAlign w:val="center"/>
            <w:hideMark/>
          </w:tcPr>
          <w:p w14:paraId="2E01B779" w14:textId="4500DED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-0.17</w:t>
            </w:r>
            <w:r w:rsidR="00A364F9" w:rsidRPr="00AB4D2E">
              <w:rPr>
                <w:rFonts w:cstheme="minorHAnsi"/>
                <w:color w:val="000000"/>
                <w:sz w:val="12"/>
                <w:szCs w:val="12"/>
              </w:rPr>
              <w:t>7</w:t>
            </w:r>
          </w:p>
        </w:tc>
        <w:tc>
          <w:tcPr>
            <w:tcW w:w="734" w:type="dxa"/>
            <w:tcBorders>
              <w:top w:val="nil"/>
              <w:left w:val="nil"/>
              <w:bottom w:val="nil"/>
              <w:right w:val="nil"/>
            </w:tcBorders>
            <w:shd w:val="clear" w:color="auto" w:fill="auto"/>
            <w:noWrap/>
            <w:vAlign w:val="center"/>
            <w:hideMark/>
          </w:tcPr>
          <w:p w14:paraId="12E85B3A" w14:textId="29385A5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0.05</w:t>
            </w:r>
            <w:r w:rsidR="00A364F9" w:rsidRPr="00AB4D2E">
              <w:rPr>
                <w:rFonts w:cstheme="minorHAnsi"/>
                <w:color w:val="000000"/>
                <w:sz w:val="12"/>
                <w:szCs w:val="12"/>
              </w:rPr>
              <w:t>4</w:t>
            </w:r>
          </w:p>
        </w:tc>
        <w:tc>
          <w:tcPr>
            <w:tcW w:w="648" w:type="dxa"/>
            <w:tcBorders>
              <w:top w:val="nil"/>
              <w:left w:val="nil"/>
              <w:bottom w:val="nil"/>
              <w:right w:val="nil"/>
            </w:tcBorders>
            <w:shd w:val="clear" w:color="auto" w:fill="auto"/>
            <w:noWrap/>
            <w:vAlign w:val="center"/>
            <w:hideMark/>
          </w:tcPr>
          <w:p w14:paraId="7700715F" w14:textId="1480440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0.21</w:t>
            </w:r>
            <w:r w:rsidR="00A364F9" w:rsidRPr="00AB4D2E">
              <w:rPr>
                <w:rFonts w:cstheme="minorHAnsi"/>
                <w:color w:val="000000"/>
                <w:sz w:val="12"/>
                <w:szCs w:val="12"/>
              </w:rPr>
              <w:t>1</w:t>
            </w:r>
          </w:p>
        </w:tc>
        <w:tc>
          <w:tcPr>
            <w:tcW w:w="512" w:type="dxa"/>
            <w:tcBorders>
              <w:top w:val="nil"/>
              <w:left w:val="nil"/>
              <w:bottom w:val="nil"/>
              <w:right w:val="nil"/>
            </w:tcBorders>
            <w:shd w:val="clear" w:color="auto" w:fill="auto"/>
            <w:noWrap/>
            <w:vAlign w:val="center"/>
            <w:hideMark/>
          </w:tcPr>
          <w:p w14:paraId="670A3748" w14:textId="1079E7A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0.05</w:t>
            </w:r>
            <w:r w:rsidR="00A364F9" w:rsidRPr="00AB4D2E">
              <w:rPr>
                <w:rFonts w:cstheme="minorHAnsi"/>
                <w:color w:val="000000"/>
                <w:sz w:val="12"/>
                <w:szCs w:val="12"/>
              </w:rPr>
              <w:t>5</w:t>
            </w:r>
          </w:p>
        </w:tc>
        <w:tc>
          <w:tcPr>
            <w:tcW w:w="690" w:type="dxa"/>
            <w:tcBorders>
              <w:top w:val="nil"/>
              <w:left w:val="nil"/>
              <w:bottom w:val="nil"/>
              <w:right w:val="nil"/>
            </w:tcBorders>
            <w:shd w:val="clear" w:color="auto" w:fill="auto"/>
            <w:noWrap/>
            <w:vAlign w:val="center"/>
            <w:hideMark/>
          </w:tcPr>
          <w:p w14:paraId="0DF7A30B" w14:textId="64174B6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0.022</w:t>
            </w:r>
          </w:p>
        </w:tc>
        <w:tc>
          <w:tcPr>
            <w:tcW w:w="556" w:type="dxa"/>
            <w:tcBorders>
              <w:top w:val="nil"/>
              <w:left w:val="nil"/>
              <w:bottom w:val="nil"/>
              <w:right w:val="nil"/>
            </w:tcBorders>
            <w:shd w:val="clear" w:color="auto" w:fill="auto"/>
            <w:noWrap/>
            <w:vAlign w:val="center"/>
            <w:hideMark/>
          </w:tcPr>
          <w:p w14:paraId="7036A753" w14:textId="19F008D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0.044</w:t>
            </w:r>
          </w:p>
        </w:tc>
        <w:tc>
          <w:tcPr>
            <w:tcW w:w="623" w:type="dxa"/>
            <w:tcBorders>
              <w:top w:val="nil"/>
              <w:left w:val="nil"/>
              <w:bottom w:val="nil"/>
              <w:right w:val="nil"/>
            </w:tcBorders>
            <w:shd w:val="clear" w:color="auto" w:fill="auto"/>
            <w:noWrap/>
            <w:vAlign w:val="center"/>
            <w:hideMark/>
          </w:tcPr>
          <w:p w14:paraId="7BBDFC2E" w14:textId="4D8DE3DA"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-3.226</w:t>
            </w:r>
          </w:p>
        </w:tc>
        <w:tc>
          <w:tcPr>
            <w:tcW w:w="690" w:type="dxa"/>
            <w:tcBorders>
              <w:top w:val="nil"/>
              <w:left w:val="nil"/>
              <w:bottom w:val="nil"/>
              <w:right w:val="nil"/>
            </w:tcBorders>
            <w:shd w:val="clear" w:color="auto" w:fill="auto"/>
            <w:noWrap/>
            <w:vAlign w:val="center"/>
            <w:hideMark/>
          </w:tcPr>
          <w:p w14:paraId="4280799B" w14:textId="3447D1B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-2.444</w:t>
            </w:r>
          </w:p>
        </w:tc>
        <w:tc>
          <w:tcPr>
            <w:tcW w:w="683" w:type="dxa"/>
            <w:tcBorders>
              <w:top w:val="nil"/>
              <w:left w:val="nil"/>
              <w:bottom w:val="nil"/>
              <w:right w:val="nil"/>
            </w:tcBorders>
            <w:shd w:val="clear" w:color="auto" w:fill="auto"/>
            <w:noWrap/>
            <w:vAlign w:val="center"/>
            <w:hideMark/>
          </w:tcPr>
          <w:p w14:paraId="55C603C0" w14:textId="4FD84C6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4.778</w:t>
            </w:r>
          </w:p>
        </w:tc>
        <w:tc>
          <w:tcPr>
            <w:tcW w:w="777" w:type="dxa"/>
            <w:tcBorders>
              <w:top w:val="nil"/>
              <w:left w:val="single" w:sz="4" w:space="0" w:color="auto"/>
              <w:bottom w:val="nil"/>
              <w:right w:val="nil"/>
            </w:tcBorders>
            <w:shd w:val="clear" w:color="auto" w:fill="auto"/>
            <w:noWrap/>
            <w:vAlign w:val="center"/>
            <w:hideMark/>
          </w:tcPr>
          <w:p w14:paraId="288AD1CA" w14:textId="7240FB7A"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0.001</w:t>
            </w:r>
            <w:r w:rsidR="00090D93" w:rsidRPr="00AB4D2E">
              <w:rPr>
                <w:rFonts w:cstheme="minorHAnsi"/>
                <w:color w:val="000000"/>
                <w:sz w:val="12"/>
                <w:szCs w:val="12"/>
              </w:rPr>
              <w:t>3</w:t>
            </w:r>
            <w:r w:rsidRPr="00AB4D2E">
              <w:rPr>
                <w:rFonts w:cstheme="minorHAnsi"/>
                <w:color w:val="000000"/>
                <w:sz w:val="12"/>
                <w:szCs w:val="12"/>
              </w:rPr>
              <w:t xml:space="preserve"> ** </w:t>
            </w:r>
          </w:p>
        </w:tc>
        <w:tc>
          <w:tcPr>
            <w:tcW w:w="777" w:type="dxa"/>
            <w:tcBorders>
              <w:top w:val="nil"/>
              <w:left w:val="nil"/>
              <w:bottom w:val="nil"/>
              <w:right w:val="nil"/>
            </w:tcBorders>
            <w:shd w:val="clear" w:color="auto" w:fill="auto"/>
            <w:noWrap/>
            <w:vAlign w:val="center"/>
            <w:hideMark/>
          </w:tcPr>
          <w:p w14:paraId="709F0194"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0.0145 *</w:t>
            </w:r>
          </w:p>
        </w:tc>
        <w:tc>
          <w:tcPr>
            <w:tcW w:w="778" w:type="dxa"/>
            <w:tcBorders>
              <w:top w:val="nil"/>
              <w:left w:val="nil"/>
              <w:bottom w:val="nil"/>
              <w:right w:val="single" w:sz="4" w:space="0" w:color="auto"/>
            </w:tcBorders>
            <w:shd w:val="clear" w:color="auto" w:fill="auto"/>
            <w:noWrap/>
            <w:vAlign w:val="center"/>
            <w:hideMark/>
          </w:tcPr>
          <w:p w14:paraId="1F0C8ABF"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 ***</w:t>
            </w:r>
          </w:p>
        </w:tc>
      </w:tr>
      <w:tr w:rsidR="00F859C9" w:rsidRPr="00AB4D2E" w14:paraId="659F21F9" w14:textId="77777777" w:rsidTr="000F27C1">
        <w:trPr>
          <w:trHeight w:val="294"/>
        </w:trPr>
        <w:tc>
          <w:tcPr>
            <w:tcW w:w="988" w:type="dxa"/>
            <w:tcBorders>
              <w:top w:val="nil"/>
              <w:left w:val="nil"/>
              <w:bottom w:val="nil"/>
              <w:right w:val="nil"/>
            </w:tcBorders>
            <w:shd w:val="clear" w:color="auto" w:fill="auto"/>
            <w:noWrap/>
            <w:vAlign w:val="bottom"/>
            <w:hideMark/>
          </w:tcPr>
          <w:p w14:paraId="357B83EC"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DARoads</w:t>
            </w:r>
          </w:p>
        </w:tc>
        <w:tc>
          <w:tcPr>
            <w:tcW w:w="723" w:type="dxa"/>
            <w:tcBorders>
              <w:top w:val="nil"/>
              <w:left w:val="nil"/>
              <w:bottom w:val="nil"/>
              <w:right w:val="nil"/>
            </w:tcBorders>
            <w:shd w:val="clear" w:color="auto" w:fill="auto"/>
            <w:noWrap/>
            <w:vAlign w:val="center"/>
            <w:hideMark/>
          </w:tcPr>
          <w:p w14:paraId="5E80C1D6" w14:textId="4C6CC89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-0.2</w:t>
            </w:r>
            <w:r w:rsidR="00A364F9" w:rsidRPr="00AB4D2E">
              <w:rPr>
                <w:rFonts w:cstheme="minorHAnsi"/>
                <w:color w:val="000000"/>
                <w:sz w:val="12"/>
                <w:szCs w:val="12"/>
              </w:rPr>
              <w:t>20</w:t>
            </w:r>
          </w:p>
        </w:tc>
        <w:tc>
          <w:tcPr>
            <w:tcW w:w="734" w:type="dxa"/>
            <w:tcBorders>
              <w:top w:val="nil"/>
              <w:left w:val="nil"/>
              <w:bottom w:val="nil"/>
              <w:right w:val="nil"/>
            </w:tcBorders>
            <w:shd w:val="clear" w:color="auto" w:fill="auto"/>
            <w:noWrap/>
            <w:vAlign w:val="center"/>
            <w:hideMark/>
          </w:tcPr>
          <w:p w14:paraId="0C990510" w14:textId="119D853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-0.481</w:t>
            </w:r>
          </w:p>
        </w:tc>
        <w:tc>
          <w:tcPr>
            <w:tcW w:w="648" w:type="dxa"/>
            <w:tcBorders>
              <w:top w:val="nil"/>
              <w:left w:val="nil"/>
              <w:bottom w:val="nil"/>
              <w:right w:val="nil"/>
            </w:tcBorders>
            <w:shd w:val="clear" w:color="auto" w:fill="auto"/>
            <w:noWrap/>
            <w:vAlign w:val="center"/>
            <w:hideMark/>
          </w:tcPr>
          <w:p w14:paraId="6563F3E1" w14:textId="6D9F633F"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-1.26</w:t>
            </w:r>
            <w:r w:rsidR="00A364F9" w:rsidRPr="00AB4D2E">
              <w:rPr>
                <w:rFonts w:cstheme="minorHAnsi"/>
                <w:color w:val="000000"/>
                <w:sz w:val="12"/>
                <w:szCs w:val="12"/>
              </w:rPr>
              <w:t>3</w:t>
            </w:r>
          </w:p>
        </w:tc>
        <w:tc>
          <w:tcPr>
            <w:tcW w:w="512" w:type="dxa"/>
            <w:tcBorders>
              <w:top w:val="nil"/>
              <w:left w:val="nil"/>
              <w:bottom w:val="nil"/>
              <w:right w:val="nil"/>
            </w:tcBorders>
            <w:shd w:val="clear" w:color="auto" w:fill="auto"/>
            <w:noWrap/>
            <w:vAlign w:val="center"/>
            <w:hideMark/>
          </w:tcPr>
          <w:p w14:paraId="468FDA00" w14:textId="2FB7F95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0.038</w:t>
            </w:r>
          </w:p>
        </w:tc>
        <w:tc>
          <w:tcPr>
            <w:tcW w:w="690" w:type="dxa"/>
            <w:tcBorders>
              <w:top w:val="nil"/>
              <w:left w:val="nil"/>
              <w:bottom w:val="nil"/>
              <w:right w:val="nil"/>
            </w:tcBorders>
            <w:shd w:val="clear" w:color="auto" w:fill="auto"/>
            <w:noWrap/>
            <w:vAlign w:val="center"/>
            <w:hideMark/>
          </w:tcPr>
          <w:p w14:paraId="17AB14FC" w14:textId="0D0DC3A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0.09</w:t>
            </w:r>
            <w:r w:rsidR="00A364F9" w:rsidRPr="00AB4D2E">
              <w:rPr>
                <w:rFonts w:cstheme="minorHAnsi"/>
                <w:color w:val="000000"/>
                <w:sz w:val="12"/>
                <w:szCs w:val="12"/>
              </w:rPr>
              <w:t>7</w:t>
            </w:r>
          </w:p>
        </w:tc>
        <w:tc>
          <w:tcPr>
            <w:tcW w:w="556" w:type="dxa"/>
            <w:tcBorders>
              <w:top w:val="nil"/>
              <w:left w:val="nil"/>
              <w:bottom w:val="nil"/>
              <w:right w:val="nil"/>
            </w:tcBorders>
            <w:shd w:val="clear" w:color="auto" w:fill="auto"/>
            <w:noWrap/>
            <w:vAlign w:val="center"/>
            <w:hideMark/>
          </w:tcPr>
          <w:p w14:paraId="1950B901" w14:textId="3612670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0.37</w:t>
            </w:r>
            <w:r w:rsidR="00A364F9" w:rsidRPr="00AB4D2E">
              <w:rPr>
                <w:rFonts w:cstheme="minorHAnsi"/>
                <w:color w:val="000000"/>
                <w:sz w:val="12"/>
                <w:szCs w:val="12"/>
              </w:rPr>
              <w:t>6</w:t>
            </w:r>
          </w:p>
        </w:tc>
        <w:tc>
          <w:tcPr>
            <w:tcW w:w="623" w:type="dxa"/>
            <w:tcBorders>
              <w:top w:val="nil"/>
              <w:left w:val="nil"/>
              <w:bottom w:val="nil"/>
              <w:right w:val="nil"/>
            </w:tcBorders>
            <w:shd w:val="clear" w:color="auto" w:fill="auto"/>
            <w:noWrap/>
            <w:vAlign w:val="center"/>
            <w:hideMark/>
          </w:tcPr>
          <w:p w14:paraId="48D60A58" w14:textId="471A0DBD"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-5.760</w:t>
            </w:r>
          </w:p>
        </w:tc>
        <w:tc>
          <w:tcPr>
            <w:tcW w:w="690" w:type="dxa"/>
            <w:tcBorders>
              <w:top w:val="nil"/>
              <w:left w:val="nil"/>
              <w:bottom w:val="nil"/>
              <w:right w:val="nil"/>
            </w:tcBorders>
            <w:shd w:val="clear" w:color="auto" w:fill="auto"/>
            <w:noWrap/>
            <w:vAlign w:val="center"/>
            <w:hideMark/>
          </w:tcPr>
          <w:p w14:paraId="5657A789" w14:textId="4245463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-4.977</w:t>
            </w:r>
          </w:p>
        </w:tc>
        <w:tc>
          <w:tcPr>
            <w:tcW w:w="683" w:type="dxa"/>
            <w:tcBorders>
              <w:top w:val="nil"/>
              <w:left w:val="nil"/>
              <w:bottom w:val="nil"/>
              <w:right w:val="nil"/>
            </w:tcBorders>
            <w:shd w:val="clear" w:color="auto" w:fill="auto"/>
            <w:noWrap/>
            <w:vAlign w:val="center"/>
            <w:hideMark/>
          </w:tcPr>
          <w:p w14:paraId="7BC31D3D" w14:textId="3E294211"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-3.358</w:t>
            </w:r>
          </w:p>
        </w:tc>
        <w:tc>
          <w:tcPr>
            <w:tcW w:w="777" w:type="dxa"/>
            <w:tcBorders>
              <w:top w:val="nil"/>
              <w:left w:val="single" w:sz="4" w:space="0" w:color="auto"/>
              <w:bottom w:val="nil"/>
              <w:right w:val="nil"/>
            </w:tcBorders>
            <w:shd w:val="clear" w:color="auto" w:fill="auto"/>
            <w:noWrap/>
            <w:vAlign w:val="center"/>
            <w:hideMark/>
          </w:tcPr>
          <w:p w14:paraId="0745B1A3"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w:t>
            </w:r>
          </w:p>
        </w:tc>
        <w:tc>
          <w:tcPr>
            <w:tcW w:w="777" w:type="dxa"/>
            <w:tcBorders>
              <w:top w:val="nil"/>
              <w:left w:val="nil"/>
              <w:bottom w:val="nil"/>
              <w:right w:val="nil"/>
            </w:tcBorders>
            <w:shd w:val="clear" w:color="auto" w:fill="auto"/>
            <w:noWrap/>
            <w:vAlign w:val="center"/>
            <w:hideMark/>
          </w:tcPr>
          <w:p w14:paraId="17BC7317"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 ***</w:t>
            </w:r>
          </w:p>
        </w:tc>
        <w:tc>
          <w:tcPr>
            <w:tcW w:w="778" w:type="dxa"/>
            <w:tcBorders>
              <w:top w:val="nil"/>
              <w:left w:val="nil"/>
              <w:bottom w:val="nil"/>
              <w:right w:val="single" w:sz="4" w:space="0" w:color="auto"/>
            </w:tcBorders>
            <w:shd w:val="clear" w:color="auto" w:fill="auto"/>
            <w:noWrap/>
            <w:vAlign w:val="center"/>
            <w:hideMark/>
          </w:tcPr>
          <w:p w14:paraId="3397E7AA" w14:textId="762B9F7E"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w:t>
            </w:r>
            <w:r w:rsidR="004A51B8" w:rsidRPr="00AB4D2E">
              <w:rPr>
                <w:rFonts w:cstheme="minorHAnsi"/>
                <w:color w:val="000000"/>
                <w:sz w:val="12"/>
                <w:szCs w:val="12"/>
              </w:rPr>
              <w:t>8</w:t>
            </w:r>
            <w:r w:rsidRPr="00AB4D2E">
              <w:rPr>
                <w:rFonts w:cstheme="minorHAnsi"/>
                <w:color w:val="000000"/>
                <w:sz w:val="12"/>
                <w:szCs w:val="12"/>
              </w:rPr>
              <w:t xml:space="preserve"> ***</w:t>
            </w:r>
          </w:p>
        </w:tc>
      </w:tr>
      <w:tr w:rsidR="00F859C9" w:rsidRPr="00AB4D2E" w14:paraId="40AFE3DD" w14:textId="77777777" w:rsidTr="000F27C1">
        <w:trPr>
          <w:trHeight w:val="294"/>
        </w:trPr>
        <w:tc>
          <w:tcPr>
            <w:tcW w:w="988" w:type="dxa"/>
            <w:tcBorders>
              <w:top w:val="nil"/>
              <w:left w:val="nil"/>
              <w:bottom w:val="nil"/>
              <w:right w:val="nil"/>
            </w:tcBorders>
            <w:shd w:val="clear" w:color="auto" w:fill="auto"/>
            <w:noWrap/>
            <w:vAlign w:val="bottom"/>
            <w:hideMark/>
          </w:tcPr>
          <w:p w14:paraId="24E736A9"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DTRoads</w:t>
            </w:r>
          </w:p>
        </w:tc>
        <w:tc>
          <w:tcPr>
            <w:tcW w:w="723" w:type="dxa"/>
            <w:tcBorders>
              <w:top w:val="nil"/>
              <w:left w:val="nil"/>
              <w:bottom w:val="nil"/>
              <w:right w:val="nil"/>
            </w:tcBorders>
            <w:shd w:val="clear" w:color="auto" w:fill="auto"/>
            <w:noWrap/>
            <w:vAlign w:val="center"/>
            <w:hideMark/>
          </w:tcPr>
          <w:p w14:paraId="5528A5C5" w14:textId="2BB5AE5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0.02</w:t>
            </w:r>
            <w:r w:rsidR="00A364F9" w:rsidRPr="00AB4D2E">
              <w:rPr>
                <w:rFonts w:cstheme="minorHAnsi"/>
                <w:color w:val="000000"/>
                <w:sz w:val="12"/>
                <w:szCs w:val="12"/>
              </w:rPr>
              <w:t>9</w:t>
            </w:r>
          </w:p>
        </w:tc>
        <w:tc>
          <w:tcPr>
            <w:tcW w:w="734" w:type="dxa"/>
            <w:tcBorders>
              <w:top w:val="nil"/>
              <w:left w:val="nil"/>
              <w:bottom w:val="nil"/>
              <w:right w:val="nil"/>
            </w:tcBorders>
            <w:shd w:val="clear" w:color="auto" w:fill="auto"/>
            <w:noWrap/>
            <w:vAlign w:val="center"/>
            <w:hideMark/>
          </w:tcPr>
          <w:p w14:paraId="136C4F22" w14:textId="46B4654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-0.099</w:t>
            </w:r>
          </w:p>
        </w:tc>
        <w:tc>
          <w:tcPr>
            <w:tcW w:w="648" w:type="dxa"/>
            <w:tcBorders>
              <w:top w:val="nil"/>
              <w:left w:val="nil"/>
              <w:bottom w:val="nil"/>
              <w:right w:val="nil"/>
            </w:tcBorders>
            <w:shd w:val="clear" w:color="auto" w:fill="auto"/>
            <w:noWrap/>
            <w:vAlign w:val="center"/>
            <w:hideMark/>
          </w:tcPr>
          <w:p w14:paraId="3D2499A7" w14:textId="324AECC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-0.21</w:t>
            </w:r>
            <w:r w:rsidR="00A364F9" w:rsidRPr="00AB4D2E">
              <w:rPr>
                <w:rFonts w:cstheme="minorHAnsi"/>
                <w:color w:val="000000"/>
                <w:sz w:val="12"/>
                <w:szCs w:val="12"/>
              </w:rPr>
              <w:t>4</w:t>
            </w:r>
          </w:p>
        </w:tc>
        <w:tc>
          <w:tcPr>
            <w:tcW w:w="512" w:type="dxa"/>
            <w:tcBorders>
              <w:top w:val="nil"/>
              <w:left w:val="nil"/>
              <w:bottom w:val="nil"/>
              <w:right w:val="nil"/>
            </w:tcBorders>
            <w:shd w:val="clear" w:color="auto" w:fill="auto"/>
            <w:noWrap/>
            <w:vAlign w:val="center"/>
            <w:hideMark/>
          </w:tcPr>
          <w:p w14:paraId="40276E64" w14:textId="54C1FC61"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9</w:t>
            </w:r>
          </w:p>
        </w:tc>
        <w:tc>
          <w:tcPr>
            <w:tcW w:w="690" w:type="dxa"/>
            <w:tcBorders>
              <w:top w:val="nil"/>
              <w:left w:val="nil"/>
              <w:bottom w:val="nil"/>
              <w:right w:val="nil"/>
            </w:tcBorders>
            <w:shd w:val="clear" w:color="auto" w:fill="auto"/>
            <w:noWrap/>
            <w:vAlign w:val="center"/>
            <w:hideMark/>
          </w:tcPr>
          <w:p w14:paraId="43C2BA2F" w14:textId="36E0B08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0.017</w:t>
            </w:r>
          </w:p>
        </w:tc>
        <w:tc>
          <w:tcPr>
            <w:tcW w:w="556" w:type="dxa"/>
            <w:tcBorders>
              <w:top w:val="nil"/>
              <w:left w:val="nil"/>
              <w:bottom w:val="nil"/>
              <w:right w:val="nil"/>
            </w:tcBorders>
            <w:shd w:val="clear" w:color="auto" w:fill="auto"/>
            <w:noWrap/>
            <w:vAlign w:val="center"/>
            <w:hideMark/>
          </w:tcPr>
          <w:p w14:paraId="206D7E55" w14:textId="7B07D18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0.071</w:t>
            </w:r>
          </w:p>
        </w:tc>
        <w:tc>
          <w:tcPr>
            <w:tcW w:w="623" w:type="dxa"/>
            <w:tcBorders>
              <w:top w:val="nil"/>
              <w:left w:val="nil"/>
              <w:bottom w:val="nil"/>
              <w:right w:val="nil"/>
            </w:tcBorders>
            <w:shd w:val="clear" w:color="auto" w:fill="auto"/>
            <w:noWrap/>
            <w:vAlign w:val="center"/>
            <w:hideMark/>
          </w:tcPr>
          <w:p w14:paraId="239453E1" w14:textId="30D71A5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3.225</w:t>
            </w:r>
          </w:p>
        </w:tc>
        <w:tc>
          <w:tcPr>
            <w:tcW w:w="690" w:type="dxa"/>
            <w:tcBorders>
              <w:top w:val="nil"/>
              <w:left w:val="nil"/>
              <w:bottom w:val="nil"/>
              <w:right w:val="nil"/>
            </w:tcBorders>
            <w:shd w:val="clear" w:color="auto" w:fill="auto"/>
            <w:noWrap/>
            <w:vAlign w:val="center"/>
            <w:hideMark/>
          </w:tcPr>
          <w:p w14:paraId="0C629FC8" w14:textId="76A301DE"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-5.841</w:t>
            </w:r>
          </w:p>
        </w:tc>
        <w:tc>
          <w:tcPr>
            <w:tcW w:w="683" w:type="dxa"/>
            <w:tcBorders>
              <w:top w:val="nil"/>
              <w:left w:val="nil"/>
              <w:bottom w:val="nil"/>
              <w:right w:val="nil"/>
            </w:tcBorders>
            <w:shd w:val="clear" w:color="auto" w:fill="auto"/>
            <w:noWrap/>
            <w:vAlign w:val="center"/>
            <w:hideMark/>
          </w:tcPr>
          <w:p w14:paraId="3E98623F" w14:textId="4DD2D4B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-3.001</w:t>
            </w:r>
          </w:p>
        </w:tc>
        <w:tc>
          <w:tcPr>
            <w:tcW w:w="777" w:type="dxa"/>
            <w:tcBorders>
              <w:top w:val="nil"/>
              <w:left w:val="single" w:sz="4" w:space="0" w:color="auto"/>
              <w:bottom w:val="nil"/>
              <w:right w:val="nil"/>
            </w:tcBorders>
            <w:shd w:val="clear" w:color="auto" w:fill="auto"/>
            <w:noWrap/>
            <w:vAlign w:val="center"/>
            <w:hideMark/>
          </w:tcPr>
          <w:p w14:paraId="76FDD344" w14:textId="1C0A701A"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0.0012 **</w:t>
            </w:r>
          </w:p>
        </w:tc>
        <w:tc>
          <w:tcPr>
            <w:tcW w:w="777" w:type="dxa"/>
            <w:tcBorders>
              <w:top w:val="nil"/>
              <w:left w:val="nil"/>
              <w:bottom w:val="nil"/>
              <w:right w:val="nil"/>
            </w:tcBorders>
            <w:shd w:val="clear" w:color="auto" w:fill="auto"/>
            <w:noWrap/>
            <w:vAlign w:val="center"/>
            <w:hideMark/>
          </w:tcPr>
          <w:p w14:paraId="029EC361"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 ***</w:t>
            </w:r>
          </w:p>
        </w:tc>
        <w:tc>
          <w:tcPr>
            <w:tcW w:w="778" w:type="dxa"/>
            <w:tcBorders>
              <w:top w:val="nil"/>
              <w:left w:val="nil"/>
              <w:bottom w:val="nil"/>
              <w:right w:val="single" w:sz="4" w:space="0" w:color="auto"/>
            </w:tcBorders>
            <w:shd w:val="clear" w:color="auto" w:fill="auto"/>
            <w:noWrap/>
            <w:vAlign w:val="center"/>
            <w:hideMark/>
          </w:tcPr>
          <w:p w14:paraId="1FBA1477" w14:textId="44E21436"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0.002</w:t>
            </w:r>
            <w:r w:rsidR="004A51B8" w:rsidRPr="00AB4D2E">
              <w:rPr>
                <w:rFonts w:cstheme="minorHAnsi"/>
                <w:color w:val="000000"/>
                <w:sz w:val="12"/>
                <w:szCs w:val="12"/>
              </w:rPr>
              <w:t>7</w:t>
            </w:r>
            <w:r w:rsidRPr="00AB4D2E">
              <w:rPr>
                <w:rFonts w:cstheme="minorHAnsi"/>
                <w:color w:val="000000"/>
                <w:sz w:val="12"/>
                <w:szCs w:val="12"/>
              </w:rPr>
              <w:t xml:space="preserve"> ** </w:t>
            </w:r>
          </w:p>
        </w:tc>
      </w:tr>
      <w:tr w:rsidR="00F859C9" w:rsidRPr="00AB4D2E" w14:paraId="69C0B55E" w14:textId="77777777" w:rsidTr="000F27C1">
        <w:trPr>
          <w:trHeight w:val="294"/>
        </w:trPr>
        <w:tc>
          <w:tcPr>
            <w:tcW w:w="988" w:type="dxa"/>
            <w:tcBorders>
              <w:top w:val="nil"/>
              <w:left w:val="nil"/>
              <w:bottom w:val="nil"/>
              <w:right w:val="nil"/>
            </w:tcBorders>
            <w:shd w:val="clear" w:color="auto" w:fill="auto"/>
            <w:noWrap/>
            <w:vAlign w:val="bottom"/>
            <w:hideMark/>
          </w:tcPr>
          <w:p w14:paraId="36C55C78"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DRivers</w:t>
            </w:r>
          </w:p>
        </w:tc>
        <w:tc>
          <w:tcPr>
            <w:tcW w:w="723" w:type="dxa"/>
            <w:tcBorders>
              <w:top w:val="nil"/>
              <w:left w:val="nil"/>
              <w:bottom w:val="nil"/>
              <w:right w:val="nil"/>
            </w:tcBorders>
            <w:shd w:val="clear" w:color="auto" w:fill="auto"/>
            <w:noWrap/>
            <w:vAlign w:val="center"/>
            <w:hideMark/>
          </w:tcPr>
          <w:p w14:paraId="4C793080" w14:textId="73ECF79E"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-0.001</w:t>
            </w:r>
          </w:p>
        </w:tc>
        <w:tc>
          <w:tcPr>
            <w:tcW w:w="734" w:type="dxa"/>
            <w:tcBorders>
              <w:top w:val="nil"/>
              <w:left w:val="nil"/>
              <w:bottom w:val="nil"/>
              <w:right w:val="nil"/>
            </w:tcBorders>
            <w:shd w:val="clear" w:color="auto" w:fill="auto"/>
            <w:noWrap/>
            <w:vAlign w:val="center"/>
            <w:hideMark/>
          </w:tcPr>
          <w:p w14:paraId="60466E39" w14:textId="2F96C94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0.03</w:t>
            </w:r>
            <w:r w:rsidR="00A364F9" w:rsidRPr="00AB4D2E">
              <w:rPr>
                <w:rFonts w:cstheme="minorHAnsi"/>
                <w:color w:val="000000"/>
                <w:sz w:val="12"/>
                <w:szCs w:val="12"/>
              </w:rPr>
              <w:t>6</w:t>
            </w:r>
          </w:p>
        </w:tc>
        <w:tc>
          <w:tcPr>
            <w:tcW w:w="648" w:type="dxa"/>
            <w:tcBorders>
              <w:top w:val="nil"/>
              <w:left w:val="nil"/>
              <w:bottom w:val="nil"/>
              <w:right w:val="nil"/>
            </w:tcBorders>
            <w:shd w:val="clear" w:color="auto" w:fill="auto"/>
            <w:noWrap/>
            <w:vAlign w:val="center"/>
            <w:hideMark/>
          </w:tcPr>
          <w:p w14:paraId="08FF64BD" w14:textId="2D05B52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0.10</w:t>
            </w:r>
            <w:r w:rsidR="00A364F9" w:rsidRPr="00AB4D2E">
              <w:rPr>
                <w:rFonts w:cstheme="minorHAnsi"/>
                <w:color w:val="000000"/>
                <w:sz w:val="12"/>
                <w:szCs w:val="12"/>
              </w:rPr>
              <w:t>9</w:t>
            </w:r>
          </w:p>
        </w:tc>
        <w:tc>
          <w:tcPr>
            <w:tcW w:w="512" w:type="dxa"/>
            <w:tcBorders>
              <w:top w:val="nil"/>
              <w:left w:val="nil"/>
              <w:bottom w:val="nil"/>
              <w:right w:val="nil"/>
            </w:tcBorders>
            <w:shd w:val="clear" w:color="auto" w:fill="auto"/>
            <w:noWrap/>
            <w:vAlign w:val="center"/>
            <w:hideMark/>
          </w:tcPr>
          <w:p w14:paraId="48C86CF1" w14:textId="326516B1"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3</w:t>
            </w:r>
          </w:p>
        </w:tc>
        <w:tc>
          <w:tcPr>
            <w:tcW w:w="690" w:type="dxa"/>
            <w:tcBorders>
              <w:top w:val="nil"/>
              <w:left w:val="nil"/>
              <w:bottom w:val="nil"/>
              <w:right w:val="nil"/>
            </w:tcBorders>
            <w:shd w:val="clear" w:color="auto" w:fill="auto"/>
            <w:noWrap/>
            <w:vAlign w:val="center"/>
            <w:hideMark/>
          </w:tcPr>
          <w:p w14:paraId="4C0841ED" w14:textId="7DB57F4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0.006</w:t>
            </w:r>
          </w:p>
        </w:tc>
        <w:tc>
          <w:tcPr>
            <w:tcW w:w="556" w:type="dxa"/>
            <w:tcBorders>
              <w:top w:val="nil"/>
              <w:left w:val="nil"/>
              <w:bottom w:val="nil"/>
              <w:right w:val="nil"/>
            </w:tcBorders>
            <w:shd w:val="clear" w:color="auto" w:fill="auto"/>
            <w:noWrap/>
            <w:vAlign w:val="center"/>
            <w:hideMark/>
          </w:tcPr>
          <w:p w14:paraId="73D5FBE8" w14:textId="75FD512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0.040</w:t>
            </w:r>
          </w:p>
        </w:tc>
        <w:tc>
          <w:tcPr>
            <w:tcW w:w="623" w:type="dxa"/>
            <w:tcBorders>
              <w:top w:val="nil"/>
              <w:left w:val="nil"/>
              <w:bottom w:val="nil"/>
              <w:right w:val="nil"/>
            </w:tcBorders>
            <w:shd w:val="clear" w:color="auto" w:fill="auto"/>
            <w:noWrap/>
            <w:vAlign w:val="center"/>
            <w:hideMark/>
          </w:tcPr>
          <w:p w14:paraId="732DF92D" w14:textId="29D022E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-0.541</w:t>
            </w:r>
          </w:p>
        </w:tc>
        <w:tc>
          <w:tcPr>
            <w:tcW w:w="690" w:type="dxa"/>
            <w:tcBorders>
              <w:top w:val="nil"/>
              <w:left w:val="nil"/>
              <w:bottom w:val="nil"/>
              <w:right w:val="nil"/>
            </w:tcBorders>
            <w:shd w:val="clear" w:color="auto" w:fill="auto"/>
            <w:noWrap/>
            <w:vAlign w:val="center"/>
            <w:hideMark/>
          </w:tcPr>
          <w:p w14:paraId="45BD23F7" w14:textId="668B9EB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5.737</w:t>
            </w:r>
          </w:p>
        </w:tc>
        <w:tc>
          <w:tcPr>
            <w:tcW w:w="683" w:type="dxa"/>
            <w:tcBorders>
              <w:top w:val="nil"/>
              <w:left w:val="nil"/>
              <w:bottom w:val="nil"/>
              <w:right w:val="nil"/>
            </w:tcBorders>
            <w:shd w:val="clear" w:color="auto" w:fill="auto"/>
            <w:noWrap/>
            <w:vAlign w:val="center"/>
            <w:hideMark/>
          </w:tcPr>
          <w:p w14:paraId="041994E0" w14:textId="39A0185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2.695</w:t>
            </w:r>
          </w:p>
        </w:tc>
        <w:tc>
          <w:tcPr>
            <w:tcW w:w="777" w:type="dxa"/>
            <w:tcBorders>
              <w:top w:val="nil"/>
              <w:left w:val="single" w:sz="4" w:space="0" w:color="auto"/>
              <w:bottom w:val="nil"/>
              <w:right w:val="nil"/>
            </w:tcBorders>
            <w:shd w:val="clear" w:color="auto" w:fill="auto"/>
            <w:noWrap/>
            <w:vAlign w:val="center"/>
            <w:hideMark/>
          </w:tcPr>
          <w:p w14:paraId="6470F631"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0.5883</w:t>
            </w:r>
          </w:p>
        </w:tc>
        <w:tc>
          <w:tcPr>
            <w:tcW w:w="777" w:type="dxa"/>
            <w:tcBorders>
              <w:top w:val="nil"/>
              <w:left w:val="nil"/>
              <w:bottom w:val="nil"/>
              <w:right w:val="nil"/>
            </w:tcBorders>
            <w:shd w:val="clear" w:color="auto" w:fill="auto"/>
            <w:noWrap/>
            <w:vAlign w:val="center"/>
            <w:hideMark/>
          </w:tcPr>
          <w:p w14:paraId="5CA1A511"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 ***</w:t>
            </w:r>
          </w:p>
        </w:tc>
        <w:tc>
          <w:tcPr>
            <w:tcW w:w="778" w:type="dxa"/>
            <w:tcBorders>
              <w:top w:val="nil"/>
              <w:left w:val="nil"/>
              <w:bottom w:val="nil"/>
              <w:right w:val="single" w:sz="4" w:space="0" w:color="auto"/>
            </w:tcBorders>
            <w:shd w:val="clear" w:color="auto" w:fill="auto"/>
            <w:noWrap/>
            <w:vAlign w:val="center"/>
            <w:hideMark/>
          </w:tcPr>
          <w:p w14:paraId="40467343" w14:textId="22B2B1B4"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 xml:space="preserve">0.0070 ** </w:t>
            </w:r>
          </w:p>
        </w:tc>
      </w:tr>
      <w:tr w:rsidR="00F859C9" w:rsidRPr="00AB4D2E" w14:paraId="28CEA8B6" w14:textId="77777777" w:rsidTr="000F27C1">
        <w:trPr>
          <w:trHeight w:val="294"/>
        </w:trPr>
        <w:tc>
          <w:tcPr>
            <w:tcW w:w="988" w:type="dxa"/>
            <w:tcBorders>
              <w:top w:val="nil"/>
              <w:left w:val="nil"/>
              <w:bottom w:val="nil"/>
              <w:right w:val="nil"/>
            </w:tcBorders>
            <w:shd w:val="clear" w:color="auto" w:fill="auto"/>
            <w:noWrap/>
            <w:vAlign w:val="bottom"/>
            <w:hideMark/>
          </w:tcPr>
          <w:p w14:paraId="20FAC3CC"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DPRoads</w:t>
            </w:r>
          </w:p>
        </w:tc>
        <w:tc>
          <w:tcPr>
            <w:tcW w:w="723" w:type="dxa"/>
            <w:tcBorders>
              <w:top w:val="nil"/>
              <w:left w:val="nil"/>
              <w:bottom w:val="nil"/>
              <w:right w:val="nil"/>
            </w:tcBorders>
            <w:shd w:val="clear" w:color="auto" w:fill="auto"/>
            <w:noWrap/>
            <w:vAlign w:val="center"/>
            <w:hideMark/>
          </w:tcPr>
          <w:p w14:paraId="4F362B1F" w14:textId="19A4BA4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7</w:t>
            </w:r>
          </w:p>
        </w:tc>
        <w:tc>
          <w:tcPr>
            <w:tcW w:w="734" w:type="dxa"/>
            <w:tcBorders>
              <w:top w:val="nil"/>
              <w:left w:val="nil"/>
              <w:bottom w:val="nil"/>
              <w:right w:val="nil"/>
            </w:tcBorders>
            <w:shd w:val="clear" w:color="auto" w:fill="auto"/>
            <w:noWrap/>
            <w:vAlign w:val="center"/>
            <w:hideMark/>
          </w:tcPr>
          <w:p w14:paraId="6C211F13" w14:textId="3529B31F"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-0.011</w:t>
            </w:r>
          </w:p>
        </w:tc>
        <w:tc>
          <w:tcPr>
            <w:tcW w:w="648" w:type="dxa"/>
            <w:tcBorders>
              <w:top w:val="nil"/>
              <w:left w:val="nil"/>
              <w:bottom w:val="nil"/>
              <w:right w:val="nil"/>
            </w:tcBorders>
            <w:shd w:val="clear" w:color="auto" w:fill="auto"/>
            <w:noWrap/>
            <w:vAlign w:val="center"/>
            <w:hideMark/>
          </w:tcPr>
          <w:p w14:paraId="4DB1FB6F" w14:textId="21942D6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-0.122</w:t>
            </w:r>
          </w:p>
        </w:tc>
        <w:tc>
          <w:tcPr>
            <w:tcW w:w="512" w:type="dxa"/>
            <w:tcBorders>
              <w:top w:val="nil"/>
              <w:left w:val="nil"/>
              <w:bottom w:val="nil"/>
              <w:right w:val="nil"/>
            </w:tcBorders>
            <w:shd w:val="clear" w:color="auto" w:fill="auto"/>
            <w:noWrap/>
            <w:vAlign w:val="center"/>
            <w:hideMark/>
          </w:tcPr>
          <w:p w14:paraId="4007C1F1" w14:textId="6B2443C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0.004</w:t>
            </w:r>
          </w:p>
        </w:tc>
        <w:tc>
          <w:tcPr>
            <w:tcW w:w="690" w:type="dxa"/>
            <w:tcBorders>
              <w:top w:val="nil"/>
              <w:left w:val="nil"/>
              <w:bottom w:val="nil"/>
              <w:right w:val="nil"/>
            </w:tcBorders>
            <w:shd w:val="clear" w:color="auto" w:fill="auto"/>
            <w:noWrap/>
            <w:vAlign w:val="center"/>
            <w:hideMark/>
          </w:tcPr>
          <w:p w14:paraId="04A8149E" w14:textId="513F1FD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0.005</w:t>
            </w:r>
          </w:p>
        </w:tc>
        <w:tc>
          <w:tcPr>
            <w:tcW w:w="556" w:type="dxa"/>
            <w:tcBorders>
              <w:top w:val="nil"/>
              <w:left w:val="nil"/>
              <w:bottom w:val="nil"/>
              <w:right w:val="nil"/>
            </w:tcBorders>
            <w:shd w:val="clear" w:color="auto" w:fill="auto"/>
            <w:noWrap/>
            <w:vAlign w:val="center"/>
            <w:hideMark/>
          </w:tcPr>
          <w:p w14:paraId="3F2BB19D" w14:textId="121E1DD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0.050</w:t>
            </w:r>
          </w:p>
        </w:tc>
        <w:tc>
          <w:tcPr>
            <w:tcW w:w="623" w:type="dxa"/>
            <w:tcBorders>
              <w:top w:val="nil"/>
              <w:left w:val="nil"/>
              <w:bottom w:val="nil"/>
              <w:right w:val="nil"/>
            </w:tcBorders>
            <w:shd w:val="clear" w:color="auto" w:fill="auto"/>
            <w:noWrap/>
            <w:vAlign w:val="center"/>
            <w:hideMark/>
          </w:tcPr>
          <w:p w14:paraId="0A49A111" w14:textId="55D364D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-1.514</w:t>
            </w:r>
          </w:p>
        </w:tc>
        <w:tc>
          <w:tcPr>
            <w:tcW w:w="690" w:type="dxa"/>
            <w:tcBorders>
              <w:top w:val="nil"/>
              <w:left w:val="nil"/>
              <w:bottom w:val="nil"/>
              <w:right w:val="nil"/>
            </w:tcBorders>
            <w:shd w:val="clear" w:color="auto" w:fill="auto"/>
            <w:noWrap/>
            <w:vAlign w:val="center"/>
            <w:hideMark/>
          </w:tcPr>
          <w:p w14:paraId="45B4B229" w14:textId="15543F6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-2.177</w:t>
            </w:r>
          </w:p>
        </w:tc>
        <w:tc>
          <w:tcPr>
            <w:tcW w:w="683" w:type="dxa"/>
            <w:tcBorders>
              <w:top w:val="nil"/>
              <w:left w:val="nil"/>
              <w:bottom w:val="nil"/>
              <w:right w:val="nil"/>
            </w:tcBorders>
            <w:shd w:val="clear" w:color="auto" w:fill="auto"/>
            <w:noWrap/>
            <w:vAlign w:val="center"/>
            <w:hideMark/>
          </w:tcPr>
          <w:p w14:paraId="4023B672" w14:textId="3865EF7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2.442</w:t>
            </w:r>
          </w:p>
        </w:tc>
        <w:tc>
          <w:tcPr>
            <w:tcW w:w="777" w:type="dxa"/>
            <w:tcBorders>
              <w:top w:val="nil"/>
              <w:left w:val="single" w:sz="4" w:space="0" w:color="auto"/>
              <w:bottom w:val="nil"/>
              <w:right w:val="nil"/>
            </w:tcBorders>
            <w:shd w:val="clear" w:color="auto" w:fill="auto"/>
            <w:noWrap/>
            <w:vAlign w:val="center"/>
            <w:hideMark/>
          </w:tcPr>
          <w:p w14:paraId="351B0E4E"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0.1300</w:t>
            </w:r>
          </w:p>
        </w:tc>
        <w:tc>
          <w:tcPr>
            <w:tcW w:w="777" w:type="dxa"/>
            <w:tcBorders>
              <w:top w:val="nil"/>
              <w:left w:val="nil"/>
              <w:bottom w:val="nil"/>
              <w:right w:val="nil"/>
            </w:tcBorders>
            <w:shd w:val="clear" w:color="auto" w:fill="auto"/>
            <w:noWrap/>
            <w:vAlign w:val="center"/>
            <w:hideMark/>
          </w:tcPr>
          <w:p w14:paraId="6A008679"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 xml:space="preserve"> 0.0295 * </w:t>
            </w:r>
          </w:p>
        </w:tc>
        <w:tc>
          <w:tcPr>
            <w:tcW w:w="778" w:type="dxa"/>
            <w:tcBorders>
              <w:top w:val="nil"/>
              <w:left w:val="nil"/>
              <w:bottom w:val="nil"/>
              <w:right w:val="single" w:sz="4" w:space="0" w:color="auto"/>
            </w:tcBorders>
            <w:shd w:val="clear" w:color="auto" w:fill="auto"/>
            <w:noWrap/>
            <w:vAlign w:val="center"/>
            <w:hideMark/>
          </w:tcPr>
          <w:p w14:paraId="3133BC61" w14:textId="33423EE1"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0.014</w:t>
            </w:r>
            <w:r w:rsidR="00CF6999">
              <w:rPr>
                <w:rFonts w:cstheme="minorHAnsi"/>
                <w:color w:val="000000"/>
                <w:sz w:val="12"/>
                <w:szCs w:val="12"/>
              </w:rPr>
              <w:t>6</w:t>
            </w:r>
            <w:r w:rsidRPr="00AB4D2E">
              <w:rPr>
                <w:rFonts w:cstheme="minorHAnsi"/>
                <w:color w:val="000000"/>
                <w:sz w:val="12"/>
                <w:szCs w:val="12"/>
              </w:rPr>
              <w:t xml:space="preserve"> *</w:t>
            </w:r>
          </w:p>
        </w:tc>
      </w:tr>
      <w:tr w:rsidR="00F859C9" w:rsidRPr="00AB4D2E" w14:paraId="2C5C7949" w14:textId="77777777" w:rsidTr="000F27C1">
        <w:trPr>
          <w:trHeight w:val="294"/>
        </w:trPr>
        <w:tc>
          <w:tcPr>
            <w:tcW w:w="988" w:type="dxa"/>
            <w:tcBorders>
              <w:top w:val="nil"/>
              <w:left w:val="nil"/>
              <w:bottom w:val="nil"/>
              <w:right w:val="nil"/>
            </w:tcBorders>
            <w:shd w:val="clear" w:color="auto" w:fill="auto"/>
            <w:noWrap/>
            <w:vAlign w:val="bottom"/>
            <w:hideMark/>
          </w:tcPr>
          <w:p w14:paraId="1B2B0EEF"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Hillshade</w:t>
            </w:r>
          </w:p>
        </w:tc>
        <w:tc>
          <w:tcPr>
            <w:tcW w:w="723" w:type="dxa"/>
            <w:tcBorders>
              <w:top w:val="nil"/>
              <w:left w:val="nil"/>
              <w:bottom w:val="nil"/>
              <w:right w:val="nil"/>
            </w:tcBorders>
            <w:shd w:val="clear" w:color="auto" w:fill="auto"/>
            <w:noWrap/>
            <w:vAlign w:val="center"/>
            <w:hideMark/>
          </w:tcPr>
          <w:p w14:paraId="5DE89EDE" w14:textId="62B47DAD"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2</w:t>
            </w:r>
          </w:p>
        </w:tc>
        <w:tc>
          <w:tcPr>
            <w:tcW w:w="734" w:type="dxa"/>
            <w:tcBorders>
              <w:top w:val="nil"/>
              <w:left w:val="nil"/>
              <w:bottom w:val="nil"/>
              <w:right w:val="nil"/>
            </w:tcBorders>
            <w:shd w:val="clear" w:color="auto" w:fill="auto"/>
            <w:noWrap/>
            <w:vAlign w:val="center"/>
            <w:hideMark/>
          </w:tcPr>
          <w:p w14:paraId="4023A5C2" w14:textId="3C557301"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2</w:t>
            </w:r>
          </w:p>
        </w:tc>
        <w:tc>
          <w:tcPr>
            <w:tcW w:w="648" w:type="dxa"/>
            <w:tcBorders>
              <w:top w:val="nil"/>
              <w:left w:val="nil"/>
              <w:bottom w:val="nil"/>
              <w:right w:val="nil"/>
            </w:tcBorders>
            <w:shd w:val="clear" w:color="auto" w:fill="auto"/>
            <w:noWrap/>
            <w:vAlign w:val="center"/>
            <w:hideMark/>
          </w:tcPr>
          <w:p w14:paraId="329AC7AA" w14:textId="55D6F59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0.005</w:t>
            </w:r>
          </w:p>
        </w:tc>
        <w:tc>
          <w:tcPr>
            <w:tcW w:w="512" w:type="dxa"/>
            <w:tcBorders>
              <w:top w:val="nil"/>
              <w:left w:val="nil"/>
              <w:bottom w:val="nil"/>
              <w:right w:val="nil"/>
            </w:tcBorders>
            <w:shd w:val="clear" w:color="auto" w:fill="auto"/>
            <w:noWrap/>
            <w:vAlign w:val="center"/>
            <w:hideMark/>
          </w:tcPr>
          <w:p w14:paraId="76EA8378" w14:textId="69488A4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0.005</w:t>
            </w:r>
          </w:p>
        </w:tc>
        <w:tc>
          <w:tcPr>
            <w:tcW w:w="690" w:type="dxa"/>
            <w:tcBorders>
              <w:top w:val="nil"/>
              <w:left w:val="nil"/>
              <w:bottom w:val="nil"/>
              <w:right w:val="nil"/>
            </w:tcBorders>
            <w:shd w:val="clear" w:color="auto" w:fill="auto"/>
            <w:noWrap/>
            <w:vAlign w:val="center"/>
            <w:hideMark/>
          </w:tcPr>
          <w:p w14:paraId="1DC29412" w14:textId="5EF7532F"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0.005</w:t>
            </w:r>
          </w:p>
        </w:tc>
        <w:tc>
          <w:tcPr>
            <w:tcW w:w="556" w:type="dxa"/>
            <w:tcBorders>
              <w:top w:val="nil"/>
              <w:left w:val="nil"/>
              <w:bottom w:val="nil"/>
              <w:right w:val="nil"/>
            </w:tcBorders>
            <w:shd w:val="clear" w:color="auto" w:fill="auto"/>
            <w:noWrap/>
            <w:vAlign w:val="center"/>
            <w:hideMark/>
          </w:tcPr>
          <w:p w14:paraId="4CB74B95" w14:textId="286C1D5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0.002</w:t>
            </w:r>
          </w:p>
        </w:tc>
        <w:tc>
          <w:tcPr>
            <w:tcW w:w="623" w:type="dxa"/>
            <w:tcBorders>
              <w:top w:val="nil"/>
              <w:left w:val="nil"/>
              <w:bottom w:val="nil"/>
              <w:right w:val="nil"/>
            </w:tcBorders>
            <w:shd w:val="clear" w:color="auto" w:fill="auto"/>
            <w:noWrap/>
            <w:vAlign w:val="center"/>
            <w:hideMark/>
          </w:tcPr>
          <w:p w14:paraId="2EDB7330" w14:textId="5A3C494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-0.357</w:t>
            </w:r>
          </w:p>
        </w:tc>
        <w:tc>
          <w:tcPr>
            <w:tcW w:w="690" w:type="dxa"/>
            <w:tcBorders>
              <w:top w:val="nil"/>
              <w:left w:val="nil"/>
              <w:bottom w:val="nil"/>
              <w:right w:val="nil"/>
            </w:tcBorders>
            <w:shd w:val="clear" w:color="auto" w:fill="auto"/>
            <w:noWrap/>
            <w:vAlign w:val="center"/>
            <w:hideMark/>
          </w:tcPr>
          <w:p w14:paraId="33DECD08" w14:textId="00464FE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0.332</w:t>
            </w:r>
          </w:p>
        </w:tc>
        <w:tc>
          <w:tcPr>
            <w:tcW w:w="683" w:type="dxa"/>
            <w:tcBorders>
              <w:top w:val="nil"/>
              <w:left w:val="nil"/>
              <w:bottom w:val="nil"/>
              <w:right w:val="nil"/>
            </w:tcBorders>
            <w:shd w:val="clear" w:color="auto" w:fill="auto"/>
            <w:noWrap/>
            <w:vAlign w:val="center"/>
            <w:hideMark/>
          </w:tcPr>
          <w:p w14:paraId="056C8886" w14:textId="083D72B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2.304</w:t>
            </w:r>
          </w:p>
        </w:tc>
        <w:tc>
          <w:tcPr>
            <w:tcW w:w="777" w:type="dxa"/>
            <w:tcBorders>
              <w:top w:val="nil"/>
              <w:left w:val="single" w:sz="4" w:space="0" w:color="auto"/>
              <w:bottom w:val="nil"/>
              <w:right w:val="nil"/>
            </w:tcBorders>
            <w:shd w:val="clear" w:color="auto" w:fill="auto"/>
            <w:noWrap/>
            <w:vAlign w:val="center"/>
            <w:hideMark/>
          </w:tcPr>
          <w:p w14:paraId="2FBE1D46"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0.7212</w:t>
            </w:r>
          </w:p>
        </w:tc>
        <w:tc>
          <w:tcPr>
            <w:tcW w:w="777" w:type="dxa"/>
            <w:tcBorders>
              <w:top w:val="nil"/>
              <w:left w:val="nil"/>
              <w:bottom w:val="nil"/>
              <w:right w:val="nil"/>
            </w:tcBorders>
            <w:shd w:val="clear" w:color="auto" w:fill="auto"/>
            <w:noWrap/>
            <w:vAlign w:val="center"/>
            <w:hideMark/>
          </w:tcPr>
          <w:p w14:paraId="2B75E0CB"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0.7396</w:t>
            </w:r>
          </w:p>
        </w:tc>
        <w:tc>
          <w:tcPr>
            <w:tcW w:w="778" w:type="dxa"/>
            <w:tcBorders>
              <w:top w:val="nil"/>
              <w:left w:val="nil"/>
              <w:bottom w:val="nil"/>
              <w:right w:val="single" w:sz="4" w:space="0" w:color="auto"/>
            </w:tcBorders>
            <w:shd w:val="clear" w:color="auto" w:fill="auto"/>
            <w:noWrap/>
            <w:vAlign w:val="center"/>
            <w:hideMark/>
          </w:tcPr>
          <w:p w14:paraId="643DA7D5" w14:textId="4B6DF0AE"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 xml:space="preserve">0.0212 * </w:t>
            </w:r>
          </w:p>
        </w:tc>
      </w:tr>
      <w:tr w:rsidR="00F859C9" w:rsidRPr="00AB4D2E" w14:paraId="352321C4" w14:textId="77777777" w:rsidTr="000F27C1">
        <w:trPr>
          <w:trHeight w:val="294"/>
        </w:trPr>
        <w:tc>
          <w:tcPr>
            <w:tcW w:w="988" w:type="dxa"/>
            <w:tcBorders>
              <w:top w:val="nil"/>
              <w:left w:val="nil"/>
              <w:bottom w:val="nil"/>
              <w:right w:val="nil"/>
            </w:tcBorders>
            <w:shd w:val="clear" w:color="auto" w:fill="auto"/>
            <w:noWrap/>
            <w:vAlign w:val="bottom"/>
            <w:hideMark/>
          </w:tcPr>
          <w:p w14:paraId="72A5B65D"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Slope</w:t>
            </w:r>
          </w:p>
        </w:tc>
        <w:tc>
          <w:tcPr>
            <w:tcW w:w="723" w:type="dxa"/>
            <w:tcBorders>
              <w:top w:val="nil"/>
              <w:left w:val="nil"/>
              <w:bottom w:val="nil"/>
              <w:right w:val="nil"/>
            </w:tcBorders>
            <w:shd w:val="clear" w:color="auto" w:fill="auto"/>
            <w:noWrap/>
            <w:vAlign w:val="center"/>
            <w:hideMark/>
          </w:tcPr>
          <w:p w14:paraId="5A520D9D" w14:textId="0042663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w:t>
            </w:r>
            <w:r w:rsidR="00A364F9" w:rsidRPr="00AB4D2E">
              <w:rPr>
                <w:rFonts w:cstheme="minorHAnsi"/>
                <w:color w:val="000000"/>
                <w:sz w:val="12"/>
                <w:szCs w:val="12"/>
              </w:rPr>
              <w:t>80</w:t>
            </w:r>
          </w:p>
        </w:tc>
        <w:tc>
          <w:tcPr>
            <w:tcW w:w="734" w:type="dxa"/>
            <w:tcBorders>
              <w:top w:val="nil"/>
              <w:left w:val="nil"/>
              <w:bottom w:val="nil"/>
              <w:right w:val="nil"/>
            </w:tcBorders>
            <w:shd w:val="clear" w:color="auto" w:fill="auto"/>
            <w:noWrap/>
            <w:vAlign w:val="center"/>
            <w:hideMark/>
          </w:tcPr>
          <w:p w14:paraId="18E11562" w14:textId="535BF2B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-0.12</w:t>
            </w:r>
            <w:r w:rsidR="00A364F9" w:rsidRPr="00AB4D2E">
              <w:rPr>
                <w:rFonts w:cstheme="minorHAnsi"/>
                <w:color w:val="000000"/>
                <w:sz w:val="12"/>
                <w:szCs w:val="12"/>
              </w:rPr>
              <w:t>8</w:t>
            </w:r>
          </w:p>
        </w:tc>
        <w:tc>
          <w:tcPr>
            <w:tcW w:w="648" w:type="dxa"/>
            <w:tcBorders>
              <w:top w:val="nil"/>
              <w:left w:val="nil"/>
              <w:bottom w:val="nil"/>
              <w:right w:val="nil"/>
            </w:tcBorders>
            <w:shd w:val="clear" w:color="auto" w:fill="auto"/>
            <w:noWrap/>
            <w:vAlign w:val="center"/>
            <w:hideMark/>
          </w:tcPr>
          <w:p w14:paraId="0DFDFFCF" w14:textId="32988E3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0.007</w:t>
            </w:r>
          </w:p>
        </w:tc>
        <w:tc>
          <w:tcPr>
            <w:tcW w:w="512" w:type="dxa"/>
            <w:tcBorders>
              <w:top w:val="nil"/>
              <w:left w:val="nil"/>
              <w:bottom w:val="nil"/>
              <w:right w:val="nil"/>
            </w:tcBorders>
            <w:shd w:val="clear" w:color="auto" w:fill="auto"/>
            <w:noWrap/>
            <w:vAlign w:val="center"/>
            <w:hideMark/>
          </w:tcPr>
          <w:p w14:paraId="644B6C4F" w14:textId="1EED71C7"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0.026</w:t>
            </w:r>
          </w:p>
        </w:tc>
        <w:tc>
          <w:tcPr>
            <w:tcW w:w="690" w:type="dxa"/>
            <w:tcBorders>
              <w:top w:val="nil"/>
              <w:left w:val="nil"/>
              <w:bottom w:val="nil"/>
              <w:right w:val="nil"/>
            </w:tcBorders>
            <w:shd w:val="clear" w:color="auto" w:fill="auto"/>
            <w:noWrap/>
            <w:vAlign w:val="center"/>
            <w:hideMark/>
          </w:tcPr>
          <w:p w14:paraId="3C86F0CF" w14:textId="2913F64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0.028</w:t>
            </w:r>
          </w:p>
        </w:tc>
        <w:tc>
          <w:tcPr>
            <w:tcW w:w="556" w:type="dxa"/>
            <w:tcBorders>
              <w:top w:val="nil"/>
              <w:left w:val="nil"/>
              <w:bottom w:val="nil"/>
              <w:right w:val="nil"/>
            </w:tcBorders>
            <w:shd w:val="clear" w:color="auto" w:fill="auto"/>
            <w:noWrap/>
            <w:vAlign w:val="center"/>
            <w:hideMark/>
          </w:tcPr>
          <w:p w14:paraId="1FD1146F" w14:textId="297B732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7</w:t>
            </w:r>
          </w:p>
        </w:tc>
        <w:tc>
          <w:tcPr>
            <w:tcW w:w="623" w:type="dxa"/>
            <w:tcBorders>
              <w:top w:val="nil"/>
              <w:left w:val="nil"/>
              <w:bottom w:val="nil"/>
              <w:right w:val="nil"/>
            </w:tcBorders>
            <w:shd w:val="clear" w:color="auto" w:fill="auto"/>
            <w:noWrap/>
            <w:vAlign w:val="center"/>
            <w:hideMark/>
          </w:tcPr>
          <w:p w14:paraId="3309BAFF" w14:textId="5EDCDDF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-3.018</w:t>
            </w:r>
          </w:p>
        </w:tc>
        <w:tc>
          <w:tcPr>
            <w:tcW w:w="690" w:type="dxa"/>
            <w:tcBorders>
              <w:top w:val="nil"/>
              <w:left w:val="nil"/>
              <w:bottom w:val="nil"/>
              <w:right w:val="nil"/>
            </w:tcBorders>
            <w:shd w:val="clear" w:color="auto" w:fill="auto"/>
            <w:noWrap/>
            <w:vAlign w:val="center"/>
            <w:hideMark/>
          </w:tcPr>
          <w:p w14:paraId="175785DB" w14:textId="60CF002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-4.514</w:t>
            </w:r>
          </w:p>
        </w:tc>
        <w:tc>
          <w:tcPr>
            <w:tcW w:w="683" w:type="dxa"/>
            <w:tcBorders>
              <w:top w:val="nil"/>
              <w:left w:val="nil"/>
              <w:bottom w:val="nil"/>
              <w:right w:val="nil"/>
            </w:tcBorders>
            <w:shd w:val="clear" w:color="auto" w:fill="auto"/>
            <w:noWrap/>
            <w:vAlign w:val="center"/>
            <w:hideMark/>
          </w:tcPr>
          <w:p w14:paraId="13B6E566" w14:textId="5982C14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1.128</w:t>
            </w:r>
          </w:p>
        </w:tc>
        <w:tc>
          <w:tcPr>
            <w:tcW w:w="777" w:type="dxa"/>
            <w:tcBorders>
              <w:top w:val="nil"/>
              <w:left w:val="single" w:sz="4" w:space="0" w:color="auto"/>
              <w:bottom w:val="nil"/>
              <w:right w:val="nil"/>
            </w:tcBorders>
            <w:shd w:val="clear" w:color="auto" w:fill="auto"/>
            <w:noWrap/>
            <w:vAlign w:val="center"/>
            <w:hideMark/>
          </w:tcPr>
          <w:p w14:paraId="6A8B2E6D" w14:textId="39636509"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0.0025**</w:t>
            </w:r>
          </w:p>
        </w:tc>
        <w:tc>
          <w:tcPr>
            <w:tcW w:w="777" w:type="dxa"/>
            <w:tcBorders>
              <w:top w:val="nil"/>
              <w:left w:val="nil"/>
              <w:bottom w:val="nil"/>
              <w:right w:val="nil"/>
            </w:tcBorders>
            <w:shd w:val="clear" w:color="auto" w:fill="auto"/>
            <w:noWrap/>
            <w:vAlign w:val="center"/>
            <w:hideMark/>
          </w:tcPr>
          <w:p w14:paraId="78810A86" w14:textId="5E9CD501"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0.0000</w:t>
            </w:r>
            <w:r w:rsidR="00E4253D">
              <w:rPr>
                <w:rFonts w:cstheme="minorHAnsi"/>
                <w:color w:val="000000"/>
                <w:sz w:val="12"/>
                <w:szCs w:val="12"/>
              </w:rPr>
              <w:t xml:space="preserve"> </w:t>
            </w:r>
            <w:r w:rsidRPr="00AB4D2E">
              <w:rPr>
                <w:rFonts w:cstheme="minorHAnsi"/>
                <w:color w:val="000000"/>
                <w:sz w:val="12"/>
                <w:szCs w:val="12"/>
              </w:rPr>
              <w:t>***</w:t>
            </w:r>
          </w:p>
        </w:tc>
        <w:tc>
          <w:tcPr>
            <w:tcW w:w="778" w:type="dxa"/>
            <w:tcBorders>
              <w:top w:val="nil"/>
              <w:left w:val="nil"/>
              <w:bottom w:val="nil"/>
              <w:right w:val="single" w:sz="4" w:space="0" w:color="auto"/>
            </w:tcBorders>
            <w:shd w:val="clear" w:color="auto" w:fill="auto"/>
            <w:noWrap/>
            <w:vAlign w:val="center"/>
            <w:hideMark/>
          </w:tcPr>
          <w:p w14:paraId="097DAB59"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0.2593</w:t>
            </w:r>
          </w:p>
        </w:tc>
      </w:tr>
      <w:tr w:rsidR="00F859C9" w:rsidRPr="00AB4D2E" w14:paraId="3AC75654" w14:textId="77777777" w:rsidTr="000F27C1">
        <w:trPr>
          <w:trHeight w:val="294"/>
        </w:trPr>
        <w:tc>
          <w:tcPr>
            <w:tcW w:w="988" w:type="dxa"/>
            <w:tcBorders>
              <w:top w:val="nil"/>
              <w:left w:val="nil"/>
              <w:bottom w:val="nil"/>
              <w:right w:val="nil"/>
            </w:tcBorders>
            <w:shd w:val="clear" w:color="auto" w:fill="auto"/>
            <w:noWrap/>
            <w:vAlign w:val="bottom"/>
            <w:hideMark/>
          </w:tcPr>
          <w:p w14:paraId="1FD32B08"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DProtected</w:t>
            </w:r>
          </w:p>
        </w:tc>
        <w:tc>
          <w:tcPr>
            <w:tcW w:w="723" w:type="dxa"/>
            <w:tcBorders>
              <w:top w:val="nil"/>
              <w:left w:val="nil"/>
              <w:bottom w:val="nil"/>
              <w:right w:val="nil"/>
            </w:tcBorders>
            <w:shd w:val="clear" w:color="auto" w:fill="auto"/>
            <w:noWrap/>
            <w:vAlign w:val="center"/>
            <w:hideMark/>
          </w:tcPr>
          <w:p w14:paraId="032688AF" w14:textId="0E5887D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0.004</w:t>
            </w:r>
          </w:p>
        </w:tc>
        <w:tc>
          <w:tcPr>
            <w:tcW w:w="734" w:type="dxa"/>
            <w:tcBorders>
              <w:top w:val="nil"/>
              <w:left w:val="nil"/>
              <w:bottom w:val="nil"/>
              <w:right w:val="nil"/>
            </w:tcBorders>
            <w:shd w:val="clear" w:color="auto" w:fill="auto"/>
            <w:noWrap/>
            <w:vAlign w:val="center"/>
            <w:hideMark/>
          </w:tcPr>
          <w:p w14:paraId="78564C94" w14:textId="5B99012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0.05</w:t>
            </w:r>
            <w:r w:rsidR="00A364F9" w:rsidRPr="00AB4D2E">
              <w:rPr>
                <w:rFonts w:cstheme="minorHAnsi"/>
                <w:color w:val="000000"/>
                <w:sz w:val="12"/>
                <w:szCs w:val="12"/>
              </w:rPr>
              <w:t>8</w:t>
            </w:r>
          </w:p>
        </w:tc>
        <w:tc>
          <w:tcPr>
            <w:tcW w:w="648" w:type="dxa"/>
            <w:tcBorders>
              <w:top w:val="nil"/>
              <w:left w:val="nil"/>
              <w:bottom w:val="nil"/>
              <w:right w:val="nil"/>
            </w:tcBorders>
            <w:shd w:val="clear" w:color="auto" w:fill="auto"/>
            <w:noWrap/>
            <w:vAlign w:val="center"/>
            <w:hideMark/>
          </w:tcPr>
          <w:p w14:paraId="21C4D403" w14:textId="47745B1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0.03</w:t>
            </w:r>
            <w:r w:rsidR="00A364F9" w:rsidRPr="00AB4D2E">
              <w:rPr>
                <w:rFonts w:cstheme="minorHAnsi"/>
                <w:color w:val="000000"/>
                <w:sz w:val="12"/>
                <w:szCs w:val="12"/>
              </w:rPr>
              <w:t>9</w:t>
            </w:r>
          </w:p>
        </w:tc>
        <w:tc>
          <w:tcPr>
            <w:tcW w:w="512" w:type="dxa"/>
            <w:tcBorders>
              <w:top w:val="nil"/>
              <w:left w:val="nil"/>
              <w:bottom w:val="nil"/>
              <w:right w:val="nil"/>
            </w:tcBorders>
            <w:shd w:val="clear" w:color="auto" w:fill="auto"/>
            <w:noWrap/>
            <w:vAlign w:val="center"/>
            <w:hideMark/>
          </w:tcPr>
          <w:p w14:paraId="17064671" w14:textId="1632AAA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0.008</w:t>
            </w:r>
          </w:p>
        </w:tc>
        <w:tc>
          <w:tcPr>
            <w:tcW w:w="690" w:type="dxa"/>
            <w:tcBorders>
              <w:top w:val="nil"/>
              <w:left w:val="nil"/>
              <w:bottom w:val="nil"/>
              <w:right w:val="nil"/>
            </w:tcBorders>
            <w:shd w:val="clear" w:color="auto" w:fill="auto"/>
            <w:noWrap/>
            <w:vAlign w:val="center"/>
            <w:hideMark/>
          </w:tcPr>
          <w:p w14:paraId="66C91E3D" w14:textId="1AEF074A"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0.02</w:t>
            </w:r>
            <w:r w:rsidR="00A364F9" w:rsidRPr="00AB4D2E">
              <w:rPr>
                <w:rFonts w:cstheme="minorHAnsi"/>
                <w:color w:val="000000"/>
                <w:sz w:val="12"/>
                <w:szCs w:val="12"/>
              </w:rPr>
              <w:t>3</w:t>
            </w:r>
          </w:p>
        </w:tc>
        <w:tc>
          <w:tcPr>
            <w:tcW w:w="556" w:type="dxa"/>
            <w:tcBorders>
              <w:top w:val="nil"/>
              <w:left w:val="nil"/>
              <w:bottom w:val="nil"/>
              <w:right w:val="nil"/>
            </w:tcBorders>
            <w:shd w:val="clear" w:color="auto" w:fill="auto"/>
            <w:noWrap/>
            <w:vAlign w:val="center"/>
            <w:hideMark/>
          </w:tcPr>
          <w:p w14:paraId="4C99E50C" w14:textId="74FDD6C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0.04</w:t>
            </w:r>
            <w:r w:rsidR="00A364F9" w:rsidRPr="00AB4D2E">
              <w:rPr>
                <w:rFonts w:cstheme="minorHAnsi"/>
                <w:color w:val="000000"/>
                <w:sz w:val="12"/>
                <w:szCs w:val="12"/>
              </w:rPr>
              <w:t>6</w:t>
            </w:r>
          </w:p>
        </w:tc>
        <w:tc>
          <w:tcPr>
            <w:tcW w:w="623" w:type="dxa"/>
            <w:tcBorders>
              <w:top w:val="nil"/>
              <w:left w:val="nil"/>
              <w:bottom w:val="nil"/>
              <w:right w:val="nil"/>
            </w:tcBorders>
            <w:shd w:val="clear" w:color="auto" w:fill="auto"/>
            <w:noWrap/>
            <w:vAlign w:val="center"/>
            <w:hideMark/>
          </w:tcPr>
          <w:p w14:paraId="46F4E3DC" w14:textId="0B79E89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0.514</w:t>
            </w:r>
          </w:p>
        </w:tc>
        <w:tc>
          <w:tcPr>
            <w:tcW w:w="690" w:type="dxa"/>
            <w:tcBorders>
              <w:top w:val="nil"/>
              <w:left w:val="nil"/>
              <w:bottom w:val="nil"/>
              <w:right w:val="nil"/>
            </w:tcBorders>
            <w:shd w:val="clear" w:color="auto" w:fill="auto"/>
            <w:noWrap/>
            <w:vAlign w:val="center"/>
            <w:hideMark/>
          </w:tcPr>
          <w:p w14:paraId="3BD65B58" w14:textId="5D3F4F38"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1.933</w:t>
            </w:r>
          </w:p>
        </w:tc>
        <w:tc>
          <w:tcPr>
            <w:tcW w:w="683" w:type="dxa"/>
            <w:tcBorders>
              <w:top w:val="nil"/>
              <w:left w:val="nil"/>
              <w:bottom w:val="nil"/>
              <w:right w:val="nil"/>
            </w:tcBorders>
            <w:shd w:val="clear" w:color="auto" w:fill="auto"/>
            <w:noWrap/>
            <w:vAlign w:val="center"/>
            <w:hideMark/>
          </w:tcPr>
          <w:p w14:paraId="297B1271" w14:textId="0B9B226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-0.848</w:t>
            </w:r>
          </w:p>
        </w:tc>
        <w:tc>
          <w:tcPr>
            <w:tcW w:w="777" w:type="dxa"/>
            <w:tcBorders>
              <w:top w:val="nil"/>
              <w:left w:val="single" w:sz="4" w:space="0" w:color="auto"/>
              <w:bottom w:val="nil"/>
              <w:right w:val="nil"/>
            </w:tcBorders>
            <w:shd w:val="clear" w:color="auto" w:fill="auto"/>
            <w:noWrap/>
            <w:vAlign w:val="center"/>
            <w:hideMark/>
          </w:tcPr>
          <w:p w14:paraId="717F39DC"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0.6072</w:t>
            </w:r>
          </w:p>
        </w:tc>
        <w:tc>
          <w:tcPr>
            <w:tcW w:w="777" w:type="dxa"/>
            <w:tcBorders>
              <w:top w:val="nil"/>
              <w:left w:val="nil"/>
              <w:bottom w:val="nil"/>
              <w:right w:val="nil"/>
            </w:tcBorders>
            <w:shd w:val="clear" w:color="auto" w:fill="auto"/>
            <w:noWrap/>
            <w:vAlign w:val="center"/>
            <w:hideMark/>
          </w:tcPr>
          <w:p w14:paraId="38DBB1B2" w14:textId="6275CEC0"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0.0533</w:t>
            </w:r>
            <w:r w:rsidR="004A51B8" w:rsidRPr="00AB4D2E">
              <w:rPr>
                <w:rFonts w:cstheme="minorHAnsi"/>
                <w:color w:val="000000"/>
                <w:sz w:val="12"/>
                <w:szCs w:val="12"/>
              </w:rPr>
              <w:t>.</w:t>
            </w:r>
          </w:p>
        </w:tc>
        <w:tc>
          <w:tcPr>
            <w:tcW w:w="778" w:type="dxa"/>
            <w:tcBorders>
              <w:top w:val="nil"/>
              <w:left w:val="nil"/>
              <w:bottom w:val="nil"/>
              <w:right w:val="single" w:sz="4" w:space="0" w:color="auto"/>
            </w:tcBorders>
            <w:shd w:val="clear" w:color="auto" w:fill="auto"/>
            <w:noWrap/>
            <w:vAlign w:val="center"/>
            <w:hideMark/>
          </w:tcPr>
          <w:p w14:paraId="5F3CCE68"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0.3966</w:t>
            </w:r>
          </w:p>
        </w:tc>
      </w:tr>
      <w:tr w:rsidR="00F859C9" w:rsidRPr="00AB4D2E" w14:paraId="17FE3C97" w14:textId="77777777" w:rsidTr="000F27C1">
        <w:trPr>
          <w:trHeight w:val="294"/>
        </w:trPr>
        <w:tc>
          <w:tcPr>
            <w:tcW w:w="988" w:type="dxa"/>
            <w:tcBorders>
              <w:top w:val="nil"/>
              <w:left w:val="nil"/>
              <w:bottom w:val="nil"/>
              <w:right w:val="nil"/>
            </w:tcBorders>
            <w:shd w:val="clear" w:color="auto" w:fill="auto"/>
            <w:noWrap/>
            <w:vAlign w:val="bottom"/>
            <w:hideMark/>
          </w:tcPr>
          <w:p w14:paraId="0C47B999"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Elevation</w:t>
            </w:r>
          </w:p>
        </w:tc>
        <w:tc>
          <w:tcPr>
            <w:tcW w:w="723" w:type="dxa"/>
            <w:tcBorders>
              <w:top w:val="nil"/>
              <w:left w:val="nil"/>
              <w:bottom w:val="nil"/>
              <w:right w:val="nil"/>
            </w:tcBorders>
            <w:shd w:val="clear" w:color="auto" w:fill="auto"/>
            <w:noWrap/>
            <w:vAlign w:val="center"/>
            <w:hideMark/>
          </w:tcPr>
          <w:p w14:paraId="36A7D755" w14:textId="068C962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734" w:type="dxa"/>
            <w:tcBorders>
              <w:top w:val="nil"/>
              <w:left w:val="nil"/>
              <w:bottom w:val="nil"/>
              <w:right w:val="nil"/>
            </w:tcBorders>
            <w:shd w:val="clear" w:color="auto" w:fill="auto"/>
            <w:noWrap/>
            <w:vAlign w:val="center"/>
            <w:hideMark/>
          </w:tcPr>
          <w:p w14:paraId="5FFCACEC" w14:textId="0457F4C4"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648" w:type="dxa"/>
            <w:tcBorders>
              <w:top w:val="nil"/>
              <w:left w:val="nil"/>
              <w:bottom w:val="nil"/>
              <w:right w:val="nil"/>
            </w:tcBorders>
            <w:shd w:val="clear" w:color="auto" w:fill="auto"/>
            <w:noWrap/>
            <w:vAlign w:val="center"/>
            <w:hideMark/>
          </w:tcPr>
          <w:p w14:paraId="7B82B9CA" w14:textId="5A68ECF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512" w:type="dxa"/>
            <w:tcBorders>
              <w:top w:val="nil"/>
              <w:left w:val="nil"/>
              <w:bottom w:val="nil"/>
              <w:right w:val="nil"/>
            </w:tcBorders>
            <w:shd w:val="clear" w:color="auto" w:fill="auto"/>
            <w:noWrap/>
            <w:vAlign w:val="center"/>
            <w:hideMark/>
          </w:tcPr>
          <w:p w14:paraId="611E7557" w14:textId="184AF22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1</w:t>
            </w:r>
          </w:p>
        </w:tc>
        <w:tc>
          <w:tcPr>
            <w:tcW w:w="690" w:type="dxa"/>
            <w:tcBorders>
              <w:top w:val="nil"/>
              <w:left w:val="nil"/>
              <w:bottom w:val="nil"/>
              <w:right w:val="nil"/>
            </w:tcBorders>
            <w:shd w:val="clear" w:color="auto" w:fill="auto"/>
            <w:noWrap/>
            <w:vAlign w:val="center"/>
            <w:hideMark/>
          </w:tcPr>
          <w:p w14:paraId="6888674A" w14:textId="4C27AC9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2</w:t>
            </w:r>
          </w:p>
        </w:tc>
        <w:tc>
          <w:tcPr>
            <w:tcW w:w="556" w:type="dxa"/>
            <w:tcBorders>
              <w:top w:val="nil"/>
              <w:left w:val="nil"/>
              <w:bottom w:val="nil"/>
              <w:right w:val="nil"/>
            </w:tcBorders>
            <w:shd w:val="clear" w:color="auto" w:fill="auto"/>
            <w:noWrap/>
            <w:vAlign w:val="center"/>
            <w:hideMark/>
          </w:tcPr>
          <w:p w14:paraId="53EF762C" w14:textId="4925A73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0.000</w:t>
            </w:r>
          </w:p>
        </w:tc>
        <w:tc>
          <w:tcPr>
            <w:tcW w:w="623" w:type="dxa"/>
            <w:tcBorders>
              <w:top w:val="nil"/>
              <w:left w:val="nil"/>
              <w:bottom w:val="nil"/>
              <w:right w:val="nil"/>
            </w:tcBorders>
            <w:shd w:val="clear" w:color="auto" w:fill="auto"/>
            <w:noWrap/>
            <w:vAlign w:val="center"/>
            <w:hideMark/>
          </w:tcPr>
          <w:p w14:paraId="24954C3B" w14:textId="6D59074C"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-0.387</w:t>
            </w:r>
          </w:p>
        </w:tc>
        <w:tc>
          <w:tcPr>
            <w:tcW w:w="690" w:type="dxa"/>
            <w:tcBorders>
              <w:top w:val="nil"/>
              <w:left w:val="nil"/>
              <w:bottom w:val="nil"/>
              <w:right w:val="nil"/>
            </w:tcBorders>
            <w:shd w:val="clear" w:color="auto" w:fill="auto"/>
            <w:noWrap/>
            <w:vAlign w:val="center"/>
            <w:hideMark/>
          </w:tcPr>
          <w:p w14:paraId="0E9A2989" w14:textId="7800521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-0.147</w:t>
            </w:r>
          </w:p>
        </w:tc>
        <w:tc>
          <w:tcPr>
            <w:tcW w:w="683" w:type="dxa"/>
            <w:tcBorders>
              <w:top w:val="nil"/>
              <w:left w:val="nil"/>
              <w:bottom w:val="nil"/>
              <w:right w:val="nil"/>
            </w:tcBorders>
            <w:shd w:val="clear" w:color="auto" w:fill="auto"/>
            <w:noWrap/>
            <w:vAlign w:val="center"/>
            <w:hideMark/>
          </w:tcPr>
          <w:p w14:paraId="4B3825CA" w14:textId="6FC8F63B"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-0.210</w:t>
            </w:r>
          </w:p>
        </w:tc>
        <w:tc>
          <w:tcPr>
            <w:tcW w:w="777" w:type="dxa"/>
            <w:tcBorders>
              <w:top w:val="nil"/>
              <w:left w:val="single" w:sz="4" w:space="0" w:color="auto"/>
              <w:bottom w:val="nil"/>
              <w:right w:val="nil"/>
            </w:tcBorders>
            <w:shd w:val="clear" w:color="auto" w:fill="auto"/>
            <w:noWrap/>
            <w:vAlign w:val="center"/>
            <w:hideMark/>
          </w:tcPr>
          <w:p w14:paraId="440E98FD"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0.6985</w:t>
            </w:r>
          </w:p>
        </w:tc>
        <w:tc>
          <w:tcPr>
            <w:tcW w:w="777" w:type="dxa"/>
            <w:tcBorders>
              <w:top w:val="nil"/>
              <w:left w:val="nil"/>
              <w:bottom w:val="nil"/>
              <w:right w:val="nil"/>
            </w:tcBorders>
            <w:shd w:val="clear" w:color="auto" w:fill="auto"/>
            <w:noWrap/>
            <w:vAlign w:val="center"/>
            <w:hideMark/>
          </w:tcPr>
          <w:p w14:paraId="7F0FFD3F"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0.8831</w:t>
            </w:r>
          </w:p>
        </w:tc>
        <w:tc>
          <w:tcPr>
            <w:tcW w:w="778" w:type="dxa"/>
            <w:tcBorders>
              <w:top w:val="nil"/>
              <w:left w:val="nil"/>
              <w:bottom w:val="nil"/>
              <w:right w:val="single" w:sz="4" w:space="0" w:color="auto"/>
            </w:tcBorders>
            <w:shd w:val="clear" w:color="auto" w:fill="auto"/>
            <w:noWrap/>
            <w:vAlign w:val="center"/>
            <w:hideMark/>
          </w:tcPr>
          <w:p w14:paraId="237343D6"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0.8338</w:t>
            </w:r>
          </w:p>
        </w:tc>
      </w:tr>
      <w:tr w:rsidR="00F859C9" w:rsidRPr="00AB4D2E" w14:paraId="35E1188D" w14:textId="77777777" w:rsidTr="000F27C1">
        <w:trPr>
          <w:trHeight w:val="294"/>
        </w:trPr>
        <w:tc>
          <w:tcPr>
            <w:tcW w:w="988" w:type="dxa"/>
            <w:tcBorders>
              <w:top w:val="nil"/>
              <w:left w:val="nil"/>
              <w:bottom w:val="single" w:sz="4" w:space="0" w:color="auto"/>
              <w:right w:val="nil"/>
            </w:tcBorders>
            <w:shd w:val="clear" w:color="auto" w:fill="auto"/>
            <w:noWrap/>
            <w:vAlign w:val="bottom"/>
            <w:hideMark/>
          </w:tcPr>
          <w:p w14:paraId="0F672A26" w14:textId="77777777" w:rsidR="00B44118" w:rsidRPr="00AB4D2E" w:rsidRDefault="00B44118" w:rsidP="006F7C17">
            <w:pPr>
              <w:spacing w:line="240" w:lineRule="auto"/>
              <w:rPr>
                <w:rFonts w:cstheme="minorHAnsi"/>
                <w:color w:val="000000"/>
                <w:sz w:val="12"/>
                <w:szCs w:val="12"/>
              </w:rPr>
            </w:pPr>
            <w:r w:rsidRPr="00AB4D2E">
              <w:rPr>
                <w:rFonts w:cstheme="minorHAnsi"/>
                <w:color w:val="000000"/>
                <w:sz w:val="12"/>
                <w:szCs w:val="12"/>
              </w:rPr>
              <w:t>DLakes</w:t>
            </w:r>
          </w:p>
        </w:tc>
        <w:tc>
          <w:tcPr>
            <w:tcW w:w="723" w:type="dxa"/>
            <w:tcBorders>
              <w:top w:val="nil"/>
              <w:left w:val="nil"/>
              <w:bottom w:val="single" w:sz="4" w:space="0" w:color="auto"/>
              <w:right w:val="nil"/>
            </w:tcBorders>
            <w:shd w:val="clear" w:color="auto" w:fill="auto"/>
            <w:noWrap/>
            <w:vAlign w:val="center"/>
            <w:hideMark/>
          </w:tcPr>
          <w:p w14:paraId="03C8BD9D" w14:textId="225A8AD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8</w:t>
            </w:r>
          </w:p>
        </w:tc>
        <w:tc>
          <w:tcPr>
            <w:tcW w:w="734" w:type="dxa"/>
            <w:tcBorders>
              <w:top w:val="nil"/>
              <w:left w:val="nil"/>
              <w:bottom w:val="single" w:sz="4" w:space="0" w:color="auto"/>
              <w:right w:val="nil"/>
            </w:tcBorders>
            <w:shd w:val="clear" w:color="auto" w:fill="auto"/>
            <w:noWrap/>
            <w:vAlign w:val="center"/>
            <w:hideMark/>
          </w:tcPr>
          <w:p w14:paraId="471EE04A" w14:textId="3D55C79D"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0.002</w:t>
            </w:r>
          </w:p>
        </w:tc>
        <w:tc>
          <w:tcPr>
            <w:tcW w:w="648" w:type="dxa"/>
            <w:tcBorders>
              <w:top w:val="nil"/>
              <w:left w:val="nil"/>
              <w:bottom w:val="single" w:sz="4" w:space="0" w:color="auto"/>
              <w:right w:val="nil"/>
            </w:tcBorders>
            <w:shd w:val="clear" w:color="auto" w:fill="auto"/>
            <w:noWrap/>
            <w:vAlign w:val="center"/>
            <w:hideMark/>
          </w:tcPr>
          <w:p w14:paraId="068F4FD4" w14:textId="0656E22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0.006</w:t>
            </w:r>
          </w:p>
        </w:tc>
        <w:tc>
          <w:tcPr>
            <w:tcW w:w="512" w:type="dxa"/>
            <w:tcBorders>
              <w:top w:val="nil"/>
              <w:left w:val="nil"/>
              <w:bottom w:val="single" w:sz="4" w:space="0" w:color="auto"/>
              <w:right w:val="nil"/>
            </w:tcBorders>
            <w:shd w:val="clear" w:color="auto" w:fill="auto"/>
            <w:noWrap/>
            <w:vAlign w:val="center"/>
            <w:hideMark/>
          </w:tcPr>
          <w:p w14:paraId="42F61C6E" w14:textId="0937DEC2"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3</w:t>
            </w:r>
          </w:p>
        </w:tc>
        <w:tc>
          <w:tcPr>
            <w:tcW w:w="690" w:type="dxa"/>
            <w:tcBorders>
              <w:top w:val="nil"/>
              <w:left w:val="nil"/>
              <w:bottom w:val="single" w:sz="4" w:space="0" w:color="auto"/>
              <w:right w:val="nil"/>
            </w:tcBorders>
            <w:shd w:val="clear" w:color="auto" w:fill="auto"/>
            <w:noWrap/>
            <w:vAlign w:val="center"/>
            <w:hideMark/>
          </w:tcPr>
          <w:p w14:paraId="76AD8C70" w14:textId="7A0FC285"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0.00</w:t>
            </w:r>
            <w:r w:rsidR="00A364F9" w:rsidRPr="00AB4D2E">
              <w:rPr>
                <w:rFonts w:cstheme="minorHAnsi"/>
                <w:color w:val="000000"/>
                <w:sz w:val="12"/>
                <w:szCs w:val="12"/>
              </w:rPr>
              <w:t>4</w:t>
            </w:r>
          </w:p>
        </w:tc>
        <w:tc>
          <w:tcPr>
            <w:tcW w:w="556" w:type="dxa"/>
            <w:tcBorders>
              <w:top w:val="nil"/>
              <w:left w:val="nil"/>
              <w:bottom w:val="single" w:sz="4" w:space="0" w:color="auto"/>
              <w:right w:val="nil"/>
            </w:tcBorders>
            <w:shd w:val="clear" w:color="auto" w:fill="auto"/>
            <w:noWrap/>
            <w:vAlign w:val="center"/>
            <w:hideMark/>
          </w:tcPr>
          <w:p w14:paraId="7AF194C7" w14:textId="448C22C6"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0.048</w:t>
            </w:r>
          </w:p>
        </w:tc>
        <w:tc>
          <w:tcPr>
            <w:tcW w:w="623" w:type="dxa"/>
            <w:tcBorders>
              <w:top w:val="nil"/>
              <w:left w:val="nil"/>
              <w:bottom w:val="single" w:sz="4" w:space="0" w:color="auto"/>
              <w:right w:val="nil"/>
            </w:tcBorders>
            <w:shd w:val="clear" w:color="auto" w:fill="auto"/>
            <w:noWrap/>
            <w:vAlign w:val="center"/>
            <w:hideMark/>
          </w:tcPr>
          <w:p w14:paraId="20E58C4F" w14:textId="4F1ED833"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3.023</w:t>
            </w:r>
          </w:p>
        </w:tc>
        <w:tc>
          <w:tcPr>
            <w:tcW w:w="690" w:type="dxa"/>
            <w:tcBorders>
              <w:top w:val="nil"/>
              <w:left w:val="nil"/>
              <w:bottom w:val="single" w:sz="4" w:space="0" w:color="auto"/>
              <w:right w:val="nil"/>
            </w:tcBorders>
            <w:shd w:val="clear" w:color="auto" w:fill="auto"/>
            <w:noWrap/>
            <w:vAlign w:val="center"/>
            <w:hideMark/>
          </w:tcPr>
          <w:p w14:paraId="21446979" w14:textId="247357E9"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0.684</w:t>
            </w:r>
          </w:p>
        </w:tc>
        <w:tc>
          <w:tcPr>
            <w:tcW w:w="683" w:type="dxa"/>
            <w:tcBorders>
              <w:top w:val="nil"/>
              <w:left w:val="nil"/>
              <w:bottom w:val="single" w:sz="4" w:space="0" w:color="auto"/>
              <w:right w:val="nil"/>
            </w:tcBorders>
            <w:shd w:val="clear" w:color="auto" w:fill="auto"/>
            <w:noWrap/>
            <w:vAlign w:val="center"/>
            <w:hideMark/>
          </w:tcPr>
          <w:p w14:paraId="588F1854" w14:textId="5C101380" w:rsidR="00B44118" w:rsidRPr="00AB4D2E" w:rsidRDefault="00B44118" w:rsidP="00A1696E">
            <w:pPr>
              <w:spacing w:line="240" w:lineRule="auto"/>
              <w:jc w:val="center"/>
              <w:rPr>
                <w:rFonts w:cstheme="minorHAnsi"/>
                <w:color w:val="000000"/>
                <w:sz w:val="12"/>
                <w:szCs w:val="12"/>
              </w:rPr>
            </w:pPr>
            <w:r w:rsidRPr="00AB4D2E">
              <w:rPr>
                <w:rFonts w:cstheme="minorHAnsi"/>
                <w:color w:val="000000"/>
                <w:sz w:val="12"/>
                <w:szCs w:val="12"/>
              </w:rPr>
              <w:t>0.131</w:t>
            </w:r>
          </w:p>
        </w:tc>
        <w:tc>
          <w:tcPr>
            <w:tcW w:w="777" w:type="dxa"/>
            <w:tcBorders>
              <w:top w:val="nil"/>
              <w:left w:val="single" w:sz="4" w:space="0" w:color="auto"/>
              <w:bottom w:val="single" w:sz="4" w:space="0" w:color="auto"/>
              <w:right w:val="nil"/>
            </w:tcBorders>
            <w:shd w:val="clear" w:color="auto" w:fill="auto"/>
            <w:noWrap/>
            <w:vAlign w:val="center"/>
            <w:hideMark/>
          </w:tcPr>
          <w:p w14:paraId="04A53266" w14:textId="53619AA2"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 xml:space="preserve">0.0025 ** </w:t>
            </w:r>
          </w:p>
        </w:tc>
        <w:tc>
          <w:tcPr>
            <w:tcW w:w="777" w:type="dxa"/>
            <w:tcBorders>
              <w:top w:val="nil"/>
              <w:left w:val="nil"/>
              <w:bottom w:val="single" w:sz="4" w:space="0" w:color="auto"/>
              <w:right w:val="nil"/>
            </w:tcBorders>
            <w:shd w:val="clear" w:color="auto" w:fill="auto"/>
            <w:noWrap/>
            <w:vAlign w:val="center"/>
            <w:hideMark/>
          </w:tcPr>
          <w:p w14:paraId="508B2B66"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0.4937</w:t>
            </w:r>
          </w:p>
        </w:tc>
        <w:tc>
          <w:tcPr>
            <w:tcW w:w="778" w:type="dxa"/>
            <w:tcBorders>
              <w:top w:val="nil"/>
              <w:left w:val="nil"/>
              <w:bottom w:val="single" w:sz="4" w:space="0" w:color="auto"/>
              <w:right w:val="single" w:sz="4" w:space="0" w:color="auto"/>
            </w:tcBorders>
            <w:shd w:val="clear" w:color="auto" w:fill="auto"/>
            <w:noWrap/>
            <w:vAlign w:val="center"/>
            <w:hideMark/>
          </w:tcPr>
          <w:p w14:paraId="060CD8AD" w14:textId="77777777" w:rsidR="00B44118" w:rsidRPr="00AB4D2E" w:rsidRDefault="00B44118" w:rsidP="006F7C17">
            <w:pPr>
              <w:spacing w:line="240" w:lineRule="auto"/>
              <w:jc w:val="center"/>
              <w:rPr>
                <w:rFonts w:cstheme="minorHAnsi"/>
                <w:color w:val="000000"/>
                <w:sz w:val="12"/>
                <w:szCs w:val="12"/>
              </w:rPr>
            </w:pPr>
            <w:r w:rsidRPr="00AB4D2E">
              <w:rPr>
                <w:rFonts w:cstheme="minorHAnsi"/>
                <w:color w:val="000000"/>
                <w:sz w:val="12"/>
                <w:szCs w:val="12"/>
              </w:rPr>
              <w:t>0.8957</w:t>
            </w:r>
          </w:p>
        </w:tc>
      </w:tr>
    </w:tbl>
    <w:p w14:paraId="239C37B6" w14:textId="106A04B3" w:rsidR="00AF1D8B" w:rsidRPr="000F27C1" w:rsidRDefault="00B44118" w:rsidP="00505D6B">
      <w:pPr>
        <w:spacing w:line="240" w:lineRule="auto"/>
        <w:rPr>
          <w:sz w:val="12"/>
          <w:szCs w:val="12"/>
        </w:rPr>
      </w:pPr>
      <w:r>
        <w:rPr>
          <w:sz w:val="12"/>
          <w:szCs w:val="12"/>
        </w:rPr>
        <w:t xml:space="preserve"> </w:t>
      </w:r>
      <w:r w:rsidR="00AF1D8B">
        <w:rPr>
          <w:rFonts w:ascii="Times New Roman" w:eastAsia="Aptos" w:hAnsi="Times New Roman"/>
          <w:bCs/>
          <w:lang w:bidi="ar-SA"/>
          <w14:ligatures w14:val="standardContextual"/>
        </w:rPr>
        <w:t xml:space="preserve">Note: The </w:t>
      </w:r>
      <w:r w:rsidR="00AF1D8B" w:rsidRPr="00103457">
        <w:rPr>
          <w:rFonts w:ascii="Times New Roman" w:eastAsia="Aptos" w:hAnsi="Times New Roman"/>
          <w:bCs/>
          <w:lang w:bidi="ar-SA"/>
          <w14:ligatures w14:val="standardContextual"/>
        </w:rPr>
        <w:t>input variables consist of slope, hillshade, elevation, distance from tertiary roads (DTRoads), distance from secondary roads (DSRoads), distance from rivers (Drivers), distance from primary roads (DPRoads), distance from primary cities center (DPCities), distance from local roads (DLRoads). Distance from lakes (DLakes), development pressure (DevPressure), distance to all roads (DARoads), and distance from all cities center (DACities).</w:t>
      </w:r>
    </w:p>
    <w:p w14:paraId="62462AB6" w14:textId="77777777" w:rsidR="00B44118" w:rsidRPr="00EA64AA" w:rsidRDefault="00B44118" w:rsidP="00B44118">
      <w:pPr>
        <w:rPr>
          <w:sz w:val="20"/>
          <w:szCs w:val="20"/>
        </w:rPr>
      </w:pPr>
    </w:p>
    <w:p w14:paraId="0991E748" w14:textId="29ECCCD2" w:rsidR="004D5659" w:rsidRDefault="00190AC4" w:rsidP="00190AC4">
      <w:pPr>
        <w:spacing w:line="240" w:lineRule="auto"/>
        <w:ind w:firstLine="720"/>
        <w:jc w:val="both"/>
        <w:rPr>
          <w:rFonts w:ascii="Times New Roman" w:hAnsi="Times New Roman"/>
          <w:bCs/>
          <w:noProof/>
          <w:lang w:bidi="ar-SA"/>
        </w:rPr>
      </w:pPr>
      <w:r>
        <w:rPr>
          <w:rFonts w:ascii="Times New Roman" w:hAnsi="Times New Roman"/>
          <w:bCs/>
          <w:noProof/>
          <w:lang w:bidi="ar-SA"/>
        </w:rPr>
        <w:lastRenderedPageBreak/>
        <w:drawing>
          <wp:inline distT="0" distB="0" distL="0" distR="0" wp14:anchorId="7C7A6116" wp14:editId="7DEB9029">
            <wp:extent cx="2275728" cy="2265680"/>
            <wp:effectExtent l="0" t="0" r="0" b="1270"/>
            <wp:docPr id="1539243791" name="Picture 3" descr="A graph of a number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43791" name="Picture 3" descr="A graph of a number of cells&#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2369268" cy="2358807"/>
                    </a:xfrm>
                    <a:prstGeom prst="rect">
                      <a:avLst/>
                    </a:prstGeom>
                  </pic:spPr>
                </pic:pic>
              </a:graphicData>
            </a:graphic>
          </wp:inline>
        </w:drawing>
      </w:r>
      <w:r w:rsidR="00CE735E">
        <w:rPr>
          <w:rFonts w:ascii="Times New Roman" w:hAnsi="Times New Roman"/>
          <w:bCs/>
          <w:noProof/>
          <w:lang w:bidi="ar-SA"/>
        </w:rPr>
        <w:t xml:space="preserve">   </w:t>
      </w:r>
      <w:r w:rsidR="00770360">
        <w:rPr>
          <w:rFonts w:ascii="Times New Roman" w:hAnsi="Times New Roman"/>
          <w:bCs/>
          <w:noProof/>
          <w:lang w:bidi="ar-SA"/>
        </w:rPr>
        <w:t xml:space="preserve"> </w:t>
      </w:r>
      <w:r w:rsidR="003E2851">
        <w:rPr>
          <w:rFonts w:ascii="Times New Roman" w:hAnsi="Times New Roman"/>
          <w:bCs/>
          <w:noProof/>
          <w:lang w:bidi="ar-SA"/>
        </w:rPr>
        <w:t xml:space="preserve">  </w:t>
      </w:r>
      <w:r w:rsidR="00770360">
        <w:rPr>
          <w:rFonts w:ascii="Times New Roman" w:hAnsi="Times New Roman"/>
          <w:bCs/>
          <w:noProof/>
          <w:lang w:bidi="ar-SA"/>
        </w:rPr>
        <w:t xml:space="preserve"> </w:t>
      </w:r>
      <w:r w:rsidR="00A006ED">
        <w:rPr>
          <w:rFonts w:ascii="Times New Roman" w:hAnsi="Times New Roman"/>
          <w:bCs/>
          <w:noProof/>
          <w:lang w:bidi="ar-SA"/>
        </w:rPr>
        <w:t xml:space="preserve">  </w:t>
      </w:r>
      <w:r w:rsidR="00770360">
        <w:rPr>
          <w:rFonts w:ascii="Times New Roman" w:hAnsi="Times New Roman"/>
          <w:bCs/>
          <w:noProof/>
          <w:lang w:bidi="ar-SA"/>
        </w:rPr>
        <w:t xml:space="preserve">  </w:t>
      </w:r>
      <w:r w:rsidR="00770360">
        <w:rPr>
          <w:rFonts w:ascii="Times New Roman" w:hAnsi="Times New Roman"/>
          <w:bCs/>
          <w:noProof/>
          <w:lang w:bidi="ar-SA"/>
        </w:rPr>
        <w:drawing>
          <wp:inline distT="0" distB="0" distL="0" distR="0" wp14:anchorId="29A0DD4B" wp14:editId="39A929A0">
            <wp:extent cx="2275774" cy="2270760"/>
            <wp:effectExtent l="0" t="0" r="0" b="0"/>
            <wp:docPr id="1421150662" name="Picture 4" descr="A graph of a number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50662" name="Picture 4" descr="A graph of a number of cells&#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2371421" cy="2366196"/>
                    </a:xfrm>
                    <a:prstGeom prst="rect">
                      <a:avLst/>
                    </a:prstGeom>
                  </pic:spPr>
                </pic:pic>
              </a:graphicData>
            </a:graphic>
          </wp:inline>
        </w:drawing>
      </w:r>
    </w:p>
    <w:p w14:paraId="7BCD5256" w14:textId="77777777" w:rsidR="00A006ED" w:rsidRDefault="00A006ED" w:rsidP="00B44118">
      <w:pPr>
        <w:spacing w:line="240" w:lineRule="auto"/>
        <w:jc w:val="both"/>
        <w:rPr>
          <w:rFonts w:ascii="Times New Roman" w:hAnsi="Times New Roman"/>
          <w:bCs/>
        </w:rPr>
      </w:pPr>
    </w:p>
    <w:p w14:paraId="017D1C4E" w14:textId="26F8233A" w:rsidR="00454356" w:rsidRDefault="003251CA" w:rsidP="003251CA">
      <w:pPr>
        <w:spacing w:line="240" w:lineRule="auto"/>
        <w:ind w:firstLine="720"/>
        <w:rPr>
          <w:noProof/>
          <w:lang w:bidi="ar-SA"/>
        </w:rPr>
      </w:pPr>
      <w:r>
        <w:rPr>
          <w:rFonts w:ascii="Times New Roman" w:hAnsi="Times New Roman"/>
          <w:bCs/>
          <w:noProof/>
          <w:lang w:bidi="ar-SA"/>
        </w:rPr>
        <w:drawing>
          <wp:inline distT="0" distB="0" distL="0" distR="0" wp14:anchorId="186C2CC8" wp14:editId="08FEBDCA">
            <wp:extent cx="2300835" cy="2270760"/>
            <wp:effectExtent l="0" t="0" r="4445" b="0"/>
            <wp:docPr id="1891443712" name="Picture 2" descr="A graph of a number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43712" name="Picture 2" descr="A graph of a number of cells&#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394729" cy="2363427"/>
                    </a:xfrm>
                    <a:prstGeom prst="rect">
                      <a:avLst/>
                    </a:prstGeom>
                  </pic:spPr>
                </pic:pic>
              </a:graphicData>
            </a:graphic>
          </wp:inline>
        </w:drawing>
      </w:r>
      <w:r w:rsidR="00A006ED">
        <w:rPr>
          <w:noProof/>
          <w:lang w:bidi="ar-SA"/>
        </w:rPr>
        <w:t xml:space="preserve">            </w:t>
      </w:r>
      <w:r w:rsidR="00A006ED">
        <w:rPr>
          <w:noProof/>
          <w:lang w:bidi="ar-SA"/>
        </w:rPr>
        <w:drawing>
          <wp:inline distT="0" distB="0" distL="0" distR="0" wp14:anchorId="40913C83" wp14:editId="070F12DF">
            <wp:extent cx="2244178" cy="2209800"/>
            <wp:effectExtent l="0" t="0" r="3810" b="0"/>
            <wp:docPr id="117166266" name="Picture 5" descr="A graph of a number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6266" name="Picture 5" descr="A graph of a number of cells&#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370620" cy="2334305"/>
                    </a:xfrm>
                    <a:prstGeom prst="rect">
                      <a:avLst/>
                    </a:prstGeom>
                  </pic:spPr>
                </pic:pic>
              </a:graphicData>
            </a:graphic>
          </wp:inline>
        </w:drawing>
      </w:r>
    </w:p>
    <w:p w14:paraId="7BA73281" w14:textId="77777777" w:rsidR="00454356" w:rsidRDefault="00454356" w:rsidP="00A006ED">
      <w:pPr>
        <w:spacing w:line="240" w:lineRule="auto"/>
        <w:rPr>
          <w:noProof/>
          <w:lang w:bidi="ar-SA"/>
        </w:rPr>
      </w:pPr>
    </w:p>
    <w:p w14:paraId="01393691" w14:textId="24EE85C2" w:rsidR="00B44118" w:rsidRDefault="003251CA" w:rsidP="00A006ED">
      <w:pPr>
        <w:spacing w:line="240" w:lineRule="auto"/>
      </w:pPr>
      <w:r>
        <w:rPr>
          <w:noProof/>
          <w:lang w:bidi="ar-SA"/>
        </w:rPr>
        <w:tab/>
      </w:r>
      <w:r>
        <w:rPr>
          <w:noProof/>
          <w:lang w:bidi="ar-SA"/>
        </w:rPr>
        <w:drawing>
          <wp:inline distT="0" distB="0" distL="0" distR="0" wp14:anchorId="6D8E2569" wp14:editId="013E275B">
            <wp:extent cx="2275205" cy="2260204"/>
            <wp:effectExtent l="0" t="0" r="0" b="6985"/>
            <wp:docPr id="1871429653" name="Picture 6" descr="A graph of a number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29653" name="Picture 6" descr="A graph of a number of cells&#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2323397" cy="2308078"/>
                    </a:xfrm>
                    <a:prstGeom prst="rect">
                      <a:avLst/>
                    </a:prstGeom>
                  </pic:spPr>
                </pic:pic>
              </a:graphicData>
            </a:graphic>
          </wp:inline>
        </w:drawing>
      </w:r>
    </w:p>
    <w:p w14:paraId="5DE3F6ED" w14:textId="77777777" w:rsidR="00FE4EFA" w:rsidRDefault="00FE4EFA" w:rsidP="00B44118">
      <w:pPr>
        <w:spacing w:line="240" w:lineRule="auto"/>
        <w:jc w:val="both"/>
        <w:rPr>
          <w:rFonts w:ascii="Times New Roman" w:hAnsi="Times New Roman"/>
          <w:b/>
          <w:bCs/>
        </w:rPr>
      </w:pPr>
    </w:p>
    <w:p w14:paraId="5365FA34" w14:textId="400C5D5E" w:rsidR="00AA0B13" w:rsidRPr="00AA0B13" w:rsidRDefault="00FA1C69" w:rsidP="003251CA">
      <w:pPr>
        <w:spacing w:line="240" w:lineRule="auto"/>
        <w:jc w:val="both"/>
      </w:pPr>
      <w:r w:rsidRPr="006E12E4">
        <w:rPr>
          <w:rFonts w:ascii="Times New Roman" w:hAnsi="Times New Roman"/>
          <w:b/>
          <w:bCs/>
        </w:rPr>
        <w:t>Figure S4</w:t>
      </w:r>
      <w:r w:rsidR="00B44118" w:rsidRPr="00B6497C">
        <w:rPr>
          <w:rFonts w:ascii="Times New Roman" w:hAnsi="Times New Roman"/>
        </w:rPr>
        <w:t xml:space="preserve">: Relationship between developed cells and historical population trends and projections. The blue dots show the historical urban land demand, whereas the green dots show the future land demand into 2050. </w:t>
      </w:r>
      <w:r w:rsidR="00B44118">
        <w:rPr>
          <w:rFonts w:ascii="Times New Roman" w:hAnsi="Times New Roman"/>
        </w:rPr>
        <w:t xml:space="preserve">Each parameterization level is represented by code. </w:t>
      </w:r>
      <w:r w:rsidR="000F5CE0">
        <w:rPr>
          <w:rFonts w:ascii="Times New Roman" w:hAnsi="Times New Roman"/>
        </w:rPr>
        <w:t>Ghana has code 288, Togo has 243, Benin has 29, and Nigeria has</w:t>
      </w:r>
      <w:r w:rsidR="00B44118">
        <w:rPr>
          <w:rFonts w:ascii="Times New Roman" w:hAnsi="Times New Roman"/>
        </w:rPr>
        <w:t xml:space="preserve"> 566. The 566 on the left represents the Southern part of Nigeria, and the right represents the Northern part of Nigeria.</w:t>
      </w:r>
    </w:p>
    <w:sectPr w:rsidR="00AA0B13" w:rsidRPr="00AA0B13" w:rsidSect="006E179B">
      <w:footerReference w:type="default" r:id="rId4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052A9" w14:textId="77777777" w:rsidR="00F906D3" w:rsidRDefault="00F906D3" w:rsidP="008E1C26">
      <w:pPr>
        <w:spacing w:line="240" w:lineRule="auto"/>
      </w:pPr>
      <w:r>
        <w:separator/>
      </w:r>
    </w:p>
  </w:endnote>
  <w:endnote w:type="continuationSeparator" w:id="0">
    <w:p w14:paraId="0C961CC4" w14:textId="77777777" w:rsidR="00F906D3" w:rsidRDefault="00F906D3" w:rsidP="008E1C26">
      <w:pPr>
        <w:spacing w:line="240" w:lineRule="auto"/>
      </w:pPr>
      <w:r>
        <w:continuationSeparator/>
      </w:r>
    </w:p>
  </w:endnote>
  <w:endnote w:type="continuationNotice" w:id="1">
    <w:p w14:paraId="51782150" w14:textId="77777777" w:rsidR="00F906D3" w:rsidRDefault="00F906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72A73" w14:textId="40707691" w:rsidR="005A41EC" w:rsidRDefault="005A41EC" w:rsidP="008E1C26">
    <w:pPr>
      <w:pStyle w:val="Footer"/>
      <w:jc w:val="center"/>
    </w:pPr>
    <w:r>
      <w:fldChar w:fldCharType="begin"/>
    </w:r>
    <w:r>
      <w:instrText xml:space="preserve"> PAGE   \* MERGEFORMAT </w:instrText>
    </w:r>
    <w:r>
      <w:fldChar w:fldCharType="separate"/>
    </w:r>
    <w:r w:rsidR="009544AC">
      <w:rPr>
        <w:noProof/>
      </w:rPr>
      <w:t>xiv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16DEF" w14:textId="36E91C16" w:rsidR="005A41EC" w:rsidRDefault="005A41EC" w:rsidP="008E1C26">
    <w:pPr>
      <w:pStyle w:val="Footer"/>
      <w:jc w:val="center"/>
    </w:pPr>
    <w:r>
      <w:fldChar w:fldCharType="begin"/>
    </w:r>
    <w:r>
      <w:instrText xml:space="preserve"> PAGE   \* MERGEFORMAT </w:instrText>
    </w:r>
    <w:r>
      <w:fldChar w:fldCharType="separate"/>
    </w:r>
    <w:r w:rsidR="008314AE">
      <w:rPr>
        <w:noProof/>
      </w:rPr>
      <w:t>134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3F457" w14:textId="77777777" w:rsidR="00F906D3" w:rsidRDefault="00F906D3" w:rsidP="008E1C26">
      <w:pPr>
        <w:spacing w:line="240" w:lineRule="auto"/>
      </w:pPr>
      <w:r>
        <w:separator/>
      </w:r>
    </w:p>
  </w:footnote>
  <w:footnote w:type="continuationSeparator" w:id="0">
    <w:p w14:paraId="797C3288" w14:textId="77777777" w:rsidR="00F906D3" w:rsidRDefault="00F906D3" w:rsidP="008E1C26">
      <w:pPr>
        <w:spacing w:line="240" w:lineRule="auto"/>
      </w:pPr>
      <w:r>
        <w:continuationSeparator/>
      </w:r>
    </w:p>
  </w:footnote>
  <w:footnote w:type="continuationNotice" w:id="1">
    <w:p w14:paraId="482C7EA1" w14:textId="77777777" w:rsidR="00F906D3" w:rsidRDefault="00F906D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37E69"/>
    <w:multiLevelType w:val="hybridMultilevel"/>
    <w:tmpl w:val="320C3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C1EE8"/>
    <w:multiLevelType w:val="multilevel"/>
    <w:tmpl w:val="BFA6C53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B03E6F"/>
    <w:multiLevelType w:val="hybridMultilevel"/>
    <w:tmpl w:val="9A40F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856CE"/>
    <w:multiLevelType w:val="hybridMultilevel"/>
    <w:tmpl w:val="171C0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A61D63"/>
    <w:multiLevelType w:val="hybridMultilevel"/>
    <w:tmpl w:val="3676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71279"/>
    <w:multiLevelType w:val="multilevel"/>
    <w:tmpl w:val="BFA6C53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400E9"/>
    <w:multiLevelType w:val="multilevel"/>
    <w:tmpl w:val="BFA6C53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3412D0"/>
    <w:multiLevelType w:val="hybridMultilevel"/>
    <w:tmpl w:val="5928D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6627D"/>
    <w:multiLevelType w:val="multilevel"/>
    <w:tmpl w:val="BFA6C53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0B71BF"/>
    <w:multiLevelType w:val="hybridMultilevel"/>
    <w:tmpl w:val="F2D2F380"/>
    <w:lvl w:ilvl="0" w:tplc="FAAC308C">
      <w:start w:val="1"/>
      <w:numFmt w:val="decimal"/>
      <w:lvlText w:val="%1."/>
      <w:lvlJc w:val="left"/>
      <w:pPr>
        <w:ind w:left="1020" w:hanging="360"/>
      </w:pPr>
    </w:lvl>
    <w:lvl w:ilvl="1" w:tplc="F62C9AA0">
      <w:start w:val="1"/>
      <w:numFmt w:val="decimal"/>
      <w:lvlText w:val="%2."/>
      <w:lvlJc w:val="left"/>
      <w:pPr>
        <w:ind w:left="1020" w:hanging="360"/>
      </w:pPr>
    </w:lvl>
    <w:lvl w:ilvl="2" w:tplc="7DEC2868">
      <w:start w:val="1"/>
      <w:numFmt w:val="decimal"/>
      <w:lvlText w:val="%3."/>
      <w:lvlJc w:val="left"/>
      <w:pPr>
        <w:ind w:left="1020" w:hanging="360"/>
      </w:pPr>
    </w:lvl>
    <w:lvl w:ilvl="3" w:tplc="83E0C0D8">
      <w:start w:val="1"/>
      <w:numFmt w:val="decimal"/>
      <w:lvlText w:val="%4."/>
      <w:lvlJc w:val="left"/>
      <w:pPr>
        <w:ind w:left="1020" w:hanging="360"/>
      </w:pPr>
    </w:lvl>
    <w:lvl w:ilvl="4" w:tplc="BCF48FFC">
      <w:start w:val="1"/>
      <w:numFmt w:val="decimal"/>
      <w:lvlText w:val="%5."/>
      <w:lvlJc w:val="left"/>
      <w:pPr>
        <w:ind w:left="1020" w:hanging="360"/>
      </w:pPr>
    </w:lvl>
    <w:lvl w:ilvl="5" w:tplc="4E3A9276">
      <w:start w:val="1"/>
      <w:numFmt w:val="decimal"/>
      <w:lvlText w:val="%6."/>
      <w:lvlJc w:val="left"/>
      <w:pPr>
        <w:ind w:left="1020" w:hanging="360"/>
      </w:pPr>
    </w:lvl>
    <w:lvl w:ilvl="6" w:tplc="4FD62A3E">
      <w:start w:val="1"/>
      <w:numFmt w:val="decimal"/>
      <w:lvlText w:val="%7."/>
      <w:lvlJc w:val="left"/>
      <w:pPr>
        <w:ind w:left="1020" w:hanging="360"/>
      </w:pPr>
    </w:lvl>
    <w:lvl w:ilvl="7" w:tplc="0A04BFAA">
      <w:start w:val="1"/>
      <w:numFmt w:val="decimal"/>
      <w:lvlText w:val="%8."/>
      <w:lvlJc w:val="left"/>
      <w:pPr>
        <w:ind w:left="1020" w:hanging="360"/>
      </w:pPr>
    </w:lvl>
    <w:lvl w:ilvl="8" w:tplc="82E631C8">
      <w:start w:val="1"/>
      <w:numFmt w:val="decimal"/>
      <w:lvlText w:val="%9."/>
      <w:lvlJc w:val="left"/>
      <w:pPr>
        <w:ind w:left="1020" w:hanging="360"/>
      </w:pPr>
    </w:lvl>
  </w:abstractNum>
  <w:abstractNum w:abstractNumId="15" w15:restartNumberingAfterBreak="0">
    <w:nsid w:val="66307A5B"/>
    <w:multiLevelType w:val="multilevel"/>
    <w:tmpl w:val="6AF2666A"/>
    <w:lvl w:ilvl="0">
      <w:start w:val="4"/>
      <w:numFmt w:val="decimal"/>
      <w:lvlText w:val="%1.0"/>
      <w:lvlJc w:val="left"/>
      <w:pPr>
        <w:ind w:left="360" w:hanging="360"/>
      </w:pPr>
      <w:rPr>
        <w:rFonts w:hint="default"/>
        <w:color w:val="000000" w:themeColor="text1"/>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16" w15:restartNumberingAfterBreak="0">
    <w:nsid w:val="67446761"/>
    <w:multiLevelType w:val="hybridMultilevel"/>
    <w:tmpl w:val="1430D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9D471C"/>
    <w:multiLevelType w:val="multilevel"/>
    <w:tmpl w:val="BFA6C53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490F66"/>
    <w:multiLevelType w:val="multilevel"/>
    <w:tmpl w:val="7E6A23F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2F120E"/>
    <w:multiLevelType w:val="multilevel"/>
    <w:tmpl w:val="C93EF49C"/>
    <w:lvl w:ilvl="0">
      <w:start w:val="1"/>
      <w:numFmt w:val="decimal"/>
      <w:lvlText w:val="%1."/>
      <w:lvlJc w:val="left"/>
      <w:pPr>
        <w:ind w:left="360" w:hanging="360"/>
      </w:pPr>
      <w:rPr>
        <w:rFonts w:hint="default"/>
        <w:b/>
        <w:bCs/>
        <w:color w:val="auto"/>
      </w:rPr>
    </w:lvl>
    <w:lvl w:ilvl="1">
      <w:start w:val="1"/>
      <w:numFmt w:val="decimal"/>
      <w:pStyle w:val="Heading2"/>
      <w:lvlText w:val="%1.%2"/>
      <w:lvlJc w:val="left"/>
      <w:pPr>
        <w:ind w:left="792" w:hanging="432"/>
      </w:pPr>
      <w:rPr>
        <w:rFonts w:hint="default"/>
        <w:color w:val="auto"/>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84A7134"/>
    <w:multiLevelType w:val="multilevel"/>
    <w:tmpl w:val="FFFFFFFF"/>
    <w:lvl w:ilvl="0">
      <w:start w:val="5"/>
      <w:numFmt w:val="decimal"/>
      <w:lvlText w:val="%1.0"/>
      <w:lvlJc w:val="left"/>
      <w:pPr>
        <w:ind w:left="360" w:hanging="360"/>
      </w:pPr>
      <w:rPr>
        <w:rFonts w:hint="default"/>
        <w:color w:val="000000" w:themeColor="text1"/>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num w:numId="1" w16cid:durableId="16155939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8359044">
    <w:abstractNumId w:val="20"/>
  </w:num>
  <w:num w:numId="3" w16cid:durableId="47535521">
    <w:abstractNumId w:val="6"/>
  </w:num>
  <w:num w:numId="4" w16cid:durableId="2023975072">
    <w:abstractNumId w:val="3"/>
  </w:num>
  <w:num w:numId="5" w16cid:durableId="295373836">
    <w:abstractNumId w:val="7"/>
  </w:num>
  <w:num w:numId="6" w16cid:durableId="1802844708">
    <w:abstractNumId w:val="9"/>
  </w:num>
  <w:num w:numId="7" w16cid:durableId="353531268">
    <w:abstractNumId w:val="11"/>
  </w:num>
  <w:num w:numId="8" w16cid:durableId="1993677151">
    <w:abstractNumId w:val="18"/>
  </w:num>
  <w:num w:numId="9" w16cid:durableId="12875425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909523">
    <w:abstractNumId w:val="19"/>
  </w:num>
  <w:num w:numId="11" w16cid:durableId="1662201100">
    <w:abstractNumId w:val="12"/>
  </w:num>
  <w:num w:numId="12" w16cid:durableId="2110353183">
    <w:abstractNumId w:val="0"/>
  </w:num>
  <w:num w:numId="13" w16cid:durableId="937711717">
    <w:abstractNumId w:val="4"/>
  </w:num>
  <w:num w:numId="14" w16cid:durableId="981541112">
    <w:abstractNumId w:val="5"/>
  </w:num>
  <w:num w:numId="15" w16cid:durableId="2082871117">
    <w:abstractNumId w:val="16"/>
  </w:num>
  <w:num w:numId="16" w16cid:durableId="1919947549">
    <w:abstractNumId w:val="1"/>
  </w:num>
  <w:num w:numId="17" w16cid:durableId="1282296677">
    <w:abstractNumId w:val="21"/>
  </w:num>
  <w:num w:numId="18" w16cid:durableId="66727475">
    <w:abstractNumId w:val="10"/>
  </w:num>
  <w:num w:numId="19" w16cid:durableId="1977830637">
    <w:abstractNumId w:val="15"/>
  </w:num>
  <w:num w:numId="20" w16cid:durableId="873619173">
    <w:abstractNumId w:val="2"/>
  </w:num>
  <w:num w:numId="21" w16cid:durableId="43413324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2412321">
    <w:abstractNumId w:val="13"/>
  </w:num>
  <w:num w:numId="23" w16cid:durableId="1884518238">
    <w:abstractNumId w:val="17"/>
  </w:num>
  <w:num w:numId="24" w16cid:durableId="1017074551">
    <w:abstractNumId w:val="8"/>
  </w:num>
  <w:num w:numId="25" w16cid:durableId="865798633">
    <w:abstractNumId w:val="14"/>
  </w:num>
  <w:num w:numId="26" w16cid:durableId="17683832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A3MrU0Nzc3MrQ0NjRU0lEKTi0uzszPAykwNqoFAMiafdYtAAAA"/>
  </w:docVars>
  <w:rsids>
    <w:rsidRoot w:val="00E11D2F"/>
    <w:rsid w:val="00001908"/>
    <w:rsid w:val="00001B5B"/>
    <w:rsid w:val="00002B3E"/>
    <w:rsid w:val="00003D10"/>
    <w:rsid w:val="0000523E"/>
    <w:rsid w:val="00005F50"/>
    <w:rsid w:val="00005F55"/>
    <w:rsid w:val="00006294"/>
    <w:rsid w:val="000067CE"/>
    <w:rsid w:val="00007721"/>
    <w:rsid w:val="000103B4"/>
    <w:rsid w:val="00010512"/>
    <w:rsid w:val="00010ECF"/>
    <w:rsid w:val="00011F21"/>
    <w:rsid w:val="00013223"/>
    <w:rsid w:val="000132E3"/>
    <w:rsid w:val="00013AA8"/>
    <w:rsid w:val="00013C73"/>
    <w:rsid w:val="00013DC9"/>
    <w:rsid w:val="00014467"/>
    <w:rsid w:val="00015B5C"/>
    <w:rsid w:val="00016C71"/>
    <w:rsid w:val="00017A61"/>
    <w:rsid w:val="00020149"/>
    <w:rsid w:val="0002049F"/>
    <w:rsid w:val="00020F0E"/>
    <w:rsid w:val="0002183A"/>
    <w:rsid w:val="00021A5A"/>
    <w:rsid w:val="00022749"/>
    <w:rsid w:val="000231DB"/>
    <w:rsid w:val="00024617"/>
    <w:rsid w:val="000251CE"/>
    <w:rsid w:val="00025A12"/>
    <w:rsid w:val="0002610E"/>
    <w:rsid w:val="00026540"/>
    <w:rsid w:val="00026C45"/>
    <w:rsid w:val="00026F70"/>
    <w:rsid w:val="0002748C"/>
    <w:rsid w:val="000276DB"/>
    <w:rsid w:val="00030F4C"/>
    <w:rsid w:val="0003166F"/>
    <w:rsid w:val="00031B8A"/>
    <w:rsid w:val="00032E6B"/>
    <w:rsid w:val="00034564"/>
    <w:rsid w:val="00036200"/>
    <w:rsid w:val="000364A1"/>
    <w:rsid w:val="00036F92"/>
    <w:rsid w:val="00037311"/>
    <w:rsid w:val="00037EE7"/>
    <w:rsid w:val="00041009"/>
    <w:rsid w:val="0004180F"/>
    <w:rsid w:val="0004194E"/>
    <w:rsid w:val="00041A55"/>
    <w:rsid w:val="00041B04"/>
    <w:rsid w:val="00041F0F"/>
    <w:rsid w:val="00041F99"/>
    <w:rsid w:val="00042AB7"/>
    <w:rsid w:val="000442FE"/>
    <w:rsid w:val="00044558"/>
    <w:rsid w:val="00044923"/>
    <w:rsid w:val="00045BCE"/>
    <w:rsid w:val="000468E1"/>
    <w:rsid w:val="00046CA2"/>
    <w:rsid w:val="00051582"/>
    <w:rsid w:val="000528C9"/>
    <w:rsid w:val="00052AA3"/>
    <w:rsid w:val="0005304C"/>
    <w:rsid w:val="000531F6"/>
    <w:rsid w:val="00053709"/>
    <w:rsid w:val="0005374D"/>
    <w:rsid w:val="00053AA2"/>
    <w:rsid w:val="00053AA3"/>
    <w:rsid w:val="00053EDA"/>
    <w:rsid w:val="00054126"/>
    <w:rsid w:val="0005426A"/>
    <w:rsid w:val="00054A97"/>
    <w:rsid w:val="00054E5A"/>
    <w:rsid w:val="00054FB1"/>
    <w:rsid w:val="0005518B"/>
    <w:rsid w:val="00055461"/>
    <w:rsid w:val="0005562D"/>
    <w:rsid w:val="000571FD"/>
    <w:rsid w:val="000579BE"/>
    <w:rsid w:val="000609DA"/>
    <w:rsid w:val="0006101A"/>
    <w:rsid w:val="00061A1C"/>
    <w:rsid w:val="000620E7"/>
    <w:rsid w:val="0006282A"/>
    <w:rsid w:val="00062AE8"/>
    <w:rsid w:val="00063B2E"/>
    <w:rsid w:val="00063F67"/>
    <w:rsid w:val="0006468B"/>
    <w:rsid w:val="00064767"/>
    <w:rsid w:val="000647ED"/>
    <w:rsid w:val="00065023"/>
    <w:rsid w:val="00065DD3"/>
    <w:rsid w:val="000666D7"/>
    <w:rsid w:val="00066D00"/>
    <w:rsid w:val="00066D76"/>
    <w:rsid w:val="00067BA8"/>
    <w:rsid w:val="00071483"/>
    <w:rsid w:val="00072025"/>
    <w:rsid w:val="000725C1"/>
    <w:rsid w:val="000728AA"/>
    <w:rsid w:val="00073078"/>
    <w:rsid w:val="00073080"/>
    <w:rsid w:val="0007341C"/>
    <w:rsid w:val="00073BB9"/>
    <w:rsid w:val="00073C1B"/>
    <w:rsid w:val="00073F64"/>
    <w:rsid w:val="00073FB4"/>
    <w:rsid w:val="000742BB"/>
    <w:rsid w:val="00074B58"/>
    <w:rsid w:val="0007661E"/>
    <w:rsid w:val="00076B36"/>
    <w:rsid w:val="00077A99"/>
    <w:rsid w:val="00077F0A"/>
    <w:rsid w:val="000803F4"/>
    <w:rsid w:val="00080BF9"/>
    <w:rsid w:val="000812F1"/>
    <w:rsid w:val="0008176F"/>
    <w:rsid w:val="000822AF"/>
    <w:rsid w:val="00083466"/>
    <w:rsid w:val="0008354E"/>
    <w:rsid w:val="000837E5"/>
    <w:rsid w:val="000842BA"/>
    <w:rsid w:val="00086E0C"/>
    <w:rsid w:val="00087F49"/>
    <w:rsid w:val="00090D93"/>
    <w:rsid w:val="0009151F"/>
    <w:rsid w:val="000916E1"/>
    <w:rsid w:val="00091CD5"/>
    <w:rsid w:val="000938F4"/>
    <w:rsid w:val="00093AD1"/>
    <w:rsid w:val="0009441B"/>
    <w:rsid w:val="00094DB3"/>
    <w:rsid w:val="000951F5"/>
    <w:rsid w:val="000A124A"/>
    <w:rsid w:val="000A2C9D"/>
    <w:rsid w:val="000A3E0F"/>
    <w:rsid w:val="000A4C6F"/>
    <w:rsid w:val="000A4D48"/>
    <w:rsid w:val="000A5A00"/>
    <w:rsid w:val="000A74A8"/>
    <w:rsid w:val="000A7C25"/>
    <w:rsid w:val="000B0AC6"/>
    <w:rsid w:val="000B0C1E"/>
    <w:rsid w:val="000B133C"/>
    <w:rsid w:val="000B185D"/>
    <w:rsid w:val="000B1CB8"/>
    <w:rsid w:val="000B1E62"/>
    <w:rsid w:val="000B1F83"/>
    <w:rsid w:val="000B20C9"/>
    <w:rsid w:val="000B22F3"/>
    <w:rsid w:val="000B25A9"/>
    <w:rsid w:val="000B358E"/>
    <w:rsid w:val="000B40DA"/>
    <w:rsid w:val="000B440B"/>
    <w:rsid w:val="000B44CF"/>
    <w:rsid w:val="000B4DD4"/>
    <w:rsid w:val="000B5987"/>
    <w:rsid w:val="000B65E8"/>
    <w:rsid w:val="000B6C24"/>
    <w:rsid w:val="000B7034"/>
    <w:rsid w:val="000C0146"/>
    <w:rsid w:val="000C1142"/>
    <w:rsid w:val="000C12E2"/>
    <w:rsid w:val="000C18E6"/>
    <w:rsid w:val="000C1E04"/>
    <w:rsid w:val="000C24B8"/>
    <w:rsid w:val="000C28BE"/>
    <w:rsid w:val="000C4A25"/>
    <w:rsid w:val="000C562E"/>
    <w:rsid w:val="000C5E52"/>
    <w:rsid w:val="000C6E78"/>
    <w:rsid w:val="000C7CF2"/>
    <w:rsid w:val="000D01BA"/>
    <w:rsid w:val="000D0863"/>
    <w:rsid w:val="000D0B9D"/>
    <w:rsid w:val="000D13C2"/>
    <w:rsid w:val="000D1421"/>
    <w:rsid w:val="000D1D4C"/>
    <w:rsid w:val="000D1E60"/>
    <w:rsid w:val="000D27AA"/>
    <w:rsid w:val="000D2EB8"/>
    <w:rsid w:val="000D310E"/>
    <w:rsid w:val="000D34FF"/>
    <w:rsid w:val="000D36F0"/>
    <w:rsid w:val="000D4109"/>
    <w:rsid w:val="000D42ED"/>
    <w:rsid w:val="000D4D09"/>
    <w:rsid w:val="000D5967"/>
    <w:rsid w:val="000D708D"/>
    <w:rsid w:val="000D7142"/>
    <w:rsid w:val="000D76B4"/>
    <w:rsid w:val="000E01A5"/>
    <w:rsid w:val="000E037C"/>
    <w:rsid w:val="000E184F"/>
    <w:rsid w:val="000E2E15"/>
    <w:rsid w:val="000E32B3"/>
    <w:rsid w:val="000E3363"/>
    <w:rsid w:val="000E40C9"/>
    <w:rsid w:val="000E55EB"/>
    <w:rsid w:val="000E5EE0"/>
    <w:rsid w:val="000E741D"/>
    <w:rsid w:val="000E77A1"/>
    <w:rsid w:val="000E7D43"/>
    <w:rsid w:val="000F1528"/>
    <w:rsid w:val="000F27C1"/>
    <w:rsid w:val="000F2C76"/>
    <w:rsid w:val="000F4EE0"/>
    <w:rsid w:val="000F4F9B"/>
    <w:rsid w:val="000F502A"/>
    <w:rsid w:val="000F56FF"/>
    <w:rsid w:val="000F5CE0"/>
    <w:rsid w:val="000F7C1F"/>
    <w:rsid w:val="001001B7"/>
    <w:rsid w:val="00100EC2"/>
    <w:rsid w:val="0010117A"/>
    <w:rsid w:val="00103457"/>
    <w:rsid w:val="00103F68"/>
    <w:rsid w:val="0010552E"/>
    <w:rsid w:val="00105696"/>
    <w:rsid w:val="00105BBB"/>
    <w:rsid w:val="00106368"/>
    <w:rsid w:val="0010780D"/>
    <w:rsid w:val="00107AFE"/>
    <w:rsid w:val="00111915"/>
    <w:rsid w:val="00111C5B"/>
    <w:rsid w:val="00111D45"/>
    <w:rsid w:val="001124E4"/>
    <w:rsid w:val="00112A2A"/>
    <w:rsid w:val="00112D59"/>
    <w:rsid w:val="0011375F"/>
    <w:rsid w:val="0011382F"/>
    <w:rsid w:val="00113A21"/>
    <w:rsid w:val="00114232"/>
    <w:rsid w:val="001145AB"/>
    <w:rsid w:val="001159D9"/>
    <w:rsid w:val="00116383"/>
    <w:rsid w:val="00116434"/>
    <w:rsid w:val="00116A18"/>
    <w:rsid w:val="001174CC"/>
    <w:rsid w:val="00117919"/>
    <w:rsid w:val="00117F0E"/>
    <w:rsid w:val="00120C70"/>
    <w:rsid w:val="00120EDA"/>
    <w:rsid w:val="0012183F"/>
    <w:rsid w:val="001231B0"/>
    <w:rsid w:val="00123A21"/>
    <w:rsid w:val="00123D86"/>
    <w:rsid w:val="0012422B"/>
    <w:rsid w:val="001245AE"/>
    <w:rsid w:val="00124E44"/>
    <w:rsid w:val="00125793"/>
    <w:rsid w:val="001266DC"/>
    <w:rsid w:val="00127195"/>
    <w:rsid w:val="0012789E"/>
    <w:rsid w:val="00127F2C"/>
    <w:rsid w:val="00132F91"/>
    <w:rsid w:val="0013479C"/>
    <w:rsid w:val="0013489D"/>
    <w:rsid w:val="00134F19"/>
    <w:rsid w:val="00135722"/>
    <w:rsid w:val="00136126"/>
    <w:rsid w:val="001376D1"/>
    <w:rsid w:val="001377D1"/>
    <w:rsid w:val="001378E9"/>
    <w:rsid w:val="00140B7A"/>
    <w:rsid w:val="00141867"/>
    <w:rsid w:val="00142652"/>
    <w:rsid w:val="001433C9"/>
    <w:rsid w:val="00143614"/>
    <w:rsid w:val="00146044"/>
    <w:rsid w:val="00146045"/>
    <w:rsid w:val="001504BE"/>
    <w:rsid w:val="00150BE6"/>
    <w:rsid w:val="0015130C"/>
    <w:rsid w:val="0015153B"/>
    <w:rsid w:val="00151C15"/>
    <w:rsid w:val="00152C2A"/>
    <w:rsid w:val="00153A11"/>
    <w:rsid w:val="00153C85"/>
    <w:rsid w:val="001543BA"/>
    <w:rsid w:val="00154E47"/>
    <w:rsid w:val="00155E2A"/>
    <w:rsid w:val="001570CE"/>
    <w:rsid w:val="0015799F"/>
    <w:rsid w:val="001601C7"/>
    <w:rsid w:val="00160D4F"/>
    <w:rsid w:val="00162C56"/>
    <w:rsid w:val="00164227"/>
    <w:rsid w:val="00164A08"/>
    <w:rsid w:val="001654FC"/>
    <w:rsid w:val="001667B9"/>
    <w:rsid w:val="00167BA1"/>
    <w:rsid w:val="001706E1"/>
    <w:rsid w:val="00170ADA"/>
    <w:rsid w:val="00170CE9"/>
    <w:rsid w:val="00170DFC"/>
    <w:rsid w:val="00171938"/>
    <w:rsid w:val="00172240"/>
    <w:rsid w:val="001725D7"/>
    <w:rsid w:val="0017278C"/>
    <w:rsid w:val="001731A6"/>
    <w:rsid w:val="001733EA"/>
    <w:rsid w:val="00173556"/>
    <w:rsid w:val="00173E31"/>
    <w:rsid w:val="0017459C"/>
    <w:rsid w:val="001759B2"/>
    <w:rsid w:val="00175DF8"/>
    <w:rsid w:val="0017686A"/>
    <w:rsid w:val="001768A5"/>
    <w:rsid w:val="00177810"/>
    <w:rsid w:val="00180393"/>
    <w:rsid w:val="00180674"/>
    <w:rsid w:val="001809C7"/>
    <w:rsid w:val="00180D63"/>
    <w:rsid w:val="00182176"/>
    <w:rsid w:val="001828C8"/>
    <w:rsid w:val="001835A3"/>
    <w:rsid w:val="001845C8"/>
    <w:rsid w:val="001851A3"/>
    <w:rsid w:val="001859FA"/>
    <w:rsid w:val="00187691"/>
    <w:rsid w:val="00187E64"/>
    <w:rsid w:val="00190175"/>
    <w:rsid w:val="00190AC4"/>
    <w:rsid w:val="00190D65"/>
    <w:rsid w:val="001924EB"/>
    <w:rsid w:val="00192BB6"/>
    <w:rsid w:val="00192C11"/>
    <w:rsid w:val="00192E73"/>
    <w:rsid w:val="001932B7"/>
    <w:rsid w:val="00193A63"/>
    <w:rsid w:val="00193DBE"/>
    <w:rsid w:val="0019440A"/>
    <w:rsid w:val="00196ED1"/>
    <w:rsid w:val="0019713E"/>
    <w:rsid w:val="001A0705"/>
    <w:rsid w:val="001A176B"/>
    <w:rsid w:val="001A2E57"/>
    <w:rsid w:val="001A3083"/>
    <w:rsid w:val="001A3489"/>
    <w:rsid w:val="001A3C09"/>
    <w:rsid w:val="001A3CF6"/>
    <w:rsid w:val="001A3DDE"/>
    <w:rsid w:val="001A3F27"/>
    <w:rsid w:val="001A45EF"/>
    <w:rsid w:val="001A4855"/>
    <w:rsid w:val="001A49FF"/>
    <w:rsid w:val="001A4A4E"/>
    <w:rsid w:val="001A56F4"/>
    <w:rsid w:val="001A65EF"/>
    <w:rsid w:val="001A7613"/>
    <w:rsid w:val="001A763C"/>
    <w:rsid w:val="001A7F4C"/>
    <w:rsid w:val="001B04EB"/>
    <w:rsid w:val="001B12EF"/>
    <w:rsid w:val="001B1B62"/>
    <w:rsid w:val="001B1FE8"/>
    <w:rsid w:val="001B2B7B"/>
    <w:rsid w:val="001B3ED2"/>
    <w:rsid w:val="001B4141"/>
    <w:rsid w:val="001B521A"/>
    <w:rsid w:val="001B52A8"/>
    <w:rsid w:val="001B66EC"/>
    <w:rsid w:val="001B6768"/>
    <w:rsid w:val="001B6DB4"/>
    <w:rsid w:val="001B7613"/>
    <w:rsid w:val="001B7FB9"/>
    <w:rsid w:val="001C10A0"/>
    <w:rsid w:val="001C1155"/>
    <w:rsid w:val="001C16AF"/>
    <w:rsid w:val="001C39E2"/>
    <w:rsid w:val="001C3B63"/>
    <w:rsid w:val="001C5354"/>
    <w:rsid w:val="001C5997"/>
    <w:rsid w:val="001C5C8B"/>
    <w:rsid w:val="001C6296"/>
    <w:rsid w:val="001C6327"/>
    <w:rsid w:val="001C6537"/>
    <w:rsid w:val="001D0511"/>
    <w:rsid w:val="001D0904"/>
    <w:rsid w:val="001D37FB"/>
    <w:rsid w:val="001D4435"/>
    <w:rsid w:val="001D4D8C"/>
    <w:rsid w:val="001D65F2"/>
    <w:rsid w:val="001D6BE4"/>
    <w:rsid w:val="001D7C54"/>
    <w:rsid w:val="001D7CCF"/>
    <w:rsid w:val="001D7F6F"/>
    <w:rsid w:val="001E13CA"/>
    <w:rsid w:val="001E16CA"/>
    <w:rsid w:val="001E1ABA"/>
    <w:rsid w:val="001E2B66"/>
    <w:rsid w:val="001E3BCB"/>
    <w:rsid w:val="001E4025"/>
    <w:rsid w:val="001E4091"/>
    <w:rsid w:val="001E4190"/>
    <w:rsid w:val="001E46EE"/>
    <w:rsid w:val="001E5068"/>
    <w:rsid w:val="001E6C5E"/>
    <w:rsid w:val="001E710F"/>
    <w:rsid w:val="001E7939"/>
    <w:rsid w:val="001F0177"/>
    <w:rsid w:val="001F0A93"/>
    <w:rsid w:val="001F2569"/>
    <w:rsid w:val="001F2ED1"/>
    <w:rsid w:val="001F3099"/>
    <w:rsid w:val="001F4388"/>
    <w:rsid w:val="001F4645"/>
    <w:rsid w:val="001F4E48"/>
    <w:rsid w:val="001F512D"/>
    <w:rsid w:val="001F53CA"/>
    <w:rsid w:val="001F540B"/>
    <w:rsid w:val="001F5C0E"/>
    <w:rsid w:val="001F621A"/>
    <w:rsid w:val="001F6EF8"/>
    <w:rsid w:val="001F78D3"/>
    <w:rsid w:val="001F7F4B"/>
    <w:rsid w:val="00200054"/>
    <w:rsid w:val="0020033A"/>
    <w:rsid w:val="00200883"/>
    <w:rsid w:val="00200D7A"/>
    <w:rsid w:val="002020CD"/>
    <w:rsid w:val="00203830"/>
    <w:rsid w:val="00203B5C"/>
    <w:rsid w:val="002042D9"/>
    <w:rsid w:val="00206497"/>
    <w:rsid w:val="00206A86"/>
    <w:rsid w:val="00206B20"/>
    <w:rsid w:val="002073DB"/>
    <w:rsid w:val="00210A96"/>
    <w:rsid w:val="00211021"/>
    <w:rsid w:val="00211D3B"/>
    <w:rsid w:val="002121C0"/>
    <w:rsid w:val="00212CB6"/>
    <w:rsid w:val="00213236"/>
    <w:rsid w:val="002134D6"/>
    <w:rsid w:val="00213F48"/>
    <w:rsid w:val="00214162"/>
    <w:rsid w:val="002147D8"/>
    <w:rsid w:val="00215BFD"/>
    <w:rsid w:val="00215E6A"/>
    <w:rsid w:val="00217082"/>
    <w:rsid w:val="002172CC"/>
    <w:rsid w:val="002173E0"/>
    <w:rsid w:val="00217A26"/>
    <w:rsid w:val="00217DE7"/>
    <w:rsid w:val="00221213"/>
    <w:rsid w:val="00221469"/>
    <w:rsid w:val="002240C9"/>
    <w:rsid w:val="00224E08"/>
    <w:rsid w:val="002251CE"/>
    <w:rsid w:val="00225429"/>
    <w:rsid w:val="002255FF"/>
    <w:rsid w:val="00227893"/>
    <w:rsid w:val="002301DF"/>
    <w:rsid w:val="0023091E"/>
    <w:rsid w:val="00231CBC"/>
    <w:rsid w:val="002331EE"/>
    <w:rsid w:val="00233487"/>
    <w:rsid w:val="00233667"/>
    <w:rsid w:val="00233D1E"/>
    <w:rsid w:val="00234216"/>
    <w:rsid w:val="00234E80"/>
    <w:rsid w:val="00235183"/>
    <w:rsid w:val="00235B90"/>
    <w:rsid w:val="00236C9A"/>
    <w:rsid w:val="00236DFF"/>
    <w:rsid w:val="00236E01"/>
    <w:rsid w:val="00237100"/>
    <w:rsid w:val="00237A8C"/>
    <w:rsid w:val="00240056"/>
    <w:rsid w:val="0024109A"/>
    <w:rsid w:val="0024151F"/>
    <w:rsid w:val="00243002"/>
    <w:rsid w:val="00244464"/>
    <w:rsid w:val="00244C26"/>
    <w:rsid w:val="00244F30"/>
    <w:rsid w:val="0024502C"/>
    <w:rsid w:val="00245187"/>
    <w:rsid w:val="00245813"/>
    <w:rsid w:val="00246F97"/>
    <w:rsid w:val="00247802"/>
    <w:rsid w:val="002500A2"/>
    <w:rsid w:val="00250F38"/>
    <w:rsid w:val="0025144F"/>
    <w:rsid w:val="00252456"/>
    <w:rsid w:val="002538A2"/>
    <w:rsid w:val="00255155"/>
    <w:rsid w:val="0025538F"/>
    <w:rsid w:val="00255D42"/>
    <w:rsid w:val="00256E0E"/>
    <w:rsid w:val="00256F99"/>
    <w:rsid w:val="00257382"/>
    <w:rsid w:val="0025754A"/>
    <w:rsid w:val="0026025C"/>
    <w:rsid w:val="00260F9A"/>
    <w:rsid w:val="00261563"/>
    <w:rsid w:val="002638B0"/>
    <w:rsid w:val="00264649"/>
    <w:rsid w:val="002647E9"/>
    <w:rsid w:val="00264906"/>
    <w:rsid w:val="00264BCD"/>
    <w:rsid w:val="0026533C"/>
    <w:rsid w:val="002655E4"/>
    <w:rsid w:val="002656C6"/>
    <w:rsid w:val="00265878"/>
    <w:rsid w:val="00266052"/>
    <w:rsid w:val="002667C9"/>
    <w:rsid w:val="00267926"/>
    <w:rsid w:val="00271ED6"/>
    <w:rsid w:val="00271F14"/>
    <w:rsid w:val="002724A9"/>
    <w:rsid w:val="00272C6E"/>
    <w:rsid w:val="00272E88"/>
    <w:rsid w:val="00272F8E"/>
    <w:rsid w:val="00274773"/>
    <w:rsid w:val="00274E2C"/>
    <w:rsid w:val="00277135"/>
    <w:rsid w:val="0027754A"/>
    <w:rsid w:val="00277F12"/>
    <w:rsid w:val="00280A79"/>
    <w:rsid w:val="002819C3"/>
    <w:rsid w:val="00281BC2"/>
    <w:rsid w:val="00281F33"/>
    <w:rsid w:val="0028256B"/>
    <w:rsid w:val="002827A9"/>
    <w:rsid w:val="00283202"/>
    <w:rsid w:val="002832BD"/>
    <w:rsid w:val="00284407"/>
    <w:rsid w:val="00284ABC"/>
    <w:rsid w:val="002867B5"/>
    <w:rsid w:val="0028685D"/>
    <w:rsid w:val="00286C20"/>
    <w:rsid w:val="00286D1B"/>
    <w:rsid w:val="00287A68"/>
    <w:rsid w:val="002902E2"/>
    <w:rsid w:val="00290A28"/>
    <w:rsid w:val="0029129A"/>
    <w:rsid w:val="00291E0E"/>
    <w:rsid w:val="0029267B"/>
    <w:rsid w:val="002926FF"/>
    <w:rsid w:val="00292B8A"/>
    <w:rsid w:val="002934F6"/>
    <w:rsid w:val="00293701"/>
    <w:rsid w:val="0029374D"/>
    <w:rsid w:val="002940AD"/>
    <w:rsid w:val="00295099"/>
    <w:rsid w:val="00295D19"/>
    <w:rsid w:val="002971A4"/>
    <w:rsid w:val="00297BDE"/>
    <w:rsid w:val="002A0FFA"/>
    <w:rsid w:val="002A17DF"/>
    <w:rsid w:val="002A1F5E"/>
    <w:rsid w:val="002A1FB6"/>
    <w:rsid w:val="002A35E2"/>
    <w:rsid w:val="002A54D1"/>
    <w:rsid w:val="002A556E"/>
    <w:rsid w:val="002A5F21"/>
    <w:rsid w:val="002A650C"/>
    <w:rsid w:val="002A72B3"/>
    <w:rsid w:val="002B0468"/>
    <w:rsid w:val="002B10BC"/>
    <w:rsid w:val="002B23DE"/>
    <w:rsid w:val="002B249C"/>
    <w:rsid w:val="002B2AE3"/>
    <w:rsid w:val="002B2DB2"/>
    <w:rsid w:val="002B2F79"/>
    <w:rsid w:val="002B338D"/>
    <w:rsid w:val="002B38BC"/>
    <w:rsid w:val="002B4B4B"/>
    <w:rsid w:val="002B54BE"/>
    <w:rsid w:val="002B5524"/>
    <w:rsid w:val="002B56A5"/>
    <w:rsid w:val="002B72AB"/>
    <w:rsid w:val="002B7FC7"/>
    <w:rsid w:val="002C0600"/>
    <w:rsid w:val="002C0F7C"/>
    <w:rsid w:val="002C2516"/>
    <w:rsid w:val="002C2C27"/>
    <w:rsid w:val="002C313E"/>
    <w:rsid w:val="002C35F2"/>
    <w:rsid w:val="002C3697"/>
    <w:rsid w:val="002C3C14"/>
    <w:rsid w:val="002C5D93"/>
    <w:rsid w:val="002C60C3"/>
    <w:rsid w:val="002C6CD6"/>
    <w:rsid w:val="002C7954"/>
    <w:rsid w:val="002C7E93"/>
    <w:rsid w:val="002D0054"/>
    <w:rsid w:val="002D06A4"/>
    <w:rsid w:val="002D13B1"/>
    <w:rsid w:val="002D157D"/>
    <w:rsid w:val="002D1D28"/>
    <w:rsid w:val="002D1F4D"/>
    <w:rsid w:val="002D3002"/>
    <w:rsid w:val="002D4FFE"/>
    <w:rsid w:val="002D51EE"/>
    <w:rsid w:val="002D65AB"/>
    <w:rsid w:val="002D6E20"/>
    <w:rsid w:val="002D7388"/>
    <w:rsid w:val="002D7DD9"/>
    <w:rsid w:val="002E00B1"/>
    <w:rsid w:val="002E022F"/>
    <w:rsid w:val="002E0C48"/>
    <w:rsid w:val="002E0C83"/>
    <w:rsid w:val="002E0EC2"/>
    <w:rsid w:val="002E11B4"/>
    <w:rsid w:val="002E157F"/>
    <w:rsid w:val="002E1A02"/>
    <w:rsid w:val="002E1F18"/>
    <w:rsid w:val="002E2372"/>
    <w:rsid w:val="002E263A"/>
    <w:rsid w:val="002E290C"/>
    <w:rsid w:val="002E2A71"/>
    <w:rsid w:val="002E3E8D"/>
    <w:rsid w:val="002E3EF0"/>
    <w:rsid w:val="002E3FDC"/>
    <w:rsid w:val="002E41F4"/>
    <w:rsid w:val="002E4DCE"/>
    <w:rsid w:val="002E6577"/>
    <w:rsid w:val="002E6CDC"/>
    <w:rsid w:val="002E76DC"/>
    <w:rsid w:val="002F021C"/>
    <w:rsid w:val="002F032F"/>
    <w:rsid w:val="002F097E"/>
    <w:rsid w:val="002F0DA8"/>
    <w:rsid w:val="002F14D2"/>
    <w:rsid w:val="002F1512"/>
    <w:rsid w:val="002F1A49"/>
    <w:rsid w:val="002F2445"/>
    <w:rsid w:val="002F29C5"/>
    <w:rsid w:val="002F3530"/>
    <w:rsid w:val="002F4630"/>
    <w:rsid w:val="002F4CAC"/>
    <w:rsid w:val="002F6063"/>
    <w:rsid w:val="002F6D45"/>
    <w:rsid w:val="002F7CBB"/>
    <w:rsid w:val="003005B5"/>
    <w:rsid w:val="00300FF0"/>
    <w:rsid w:val="00301A24"/>
    <w:rsid w:val="00301BF5"/>
    <w:rsid w:val="003024B3"/>
    <w:rsid w:val="00303BC3"/>
    <w:rsid w:val="00304345"/>
    <w:rsid w:val="003044FE"/>
    <w:rsid w:val="0030472D"/>
    <w:rsid w:val="00304828"/>
    <w:rsid w:val="00304FD6"/>
    <w:rsid w:val="00305286"/>
    <w:rsid w:val="00305836"/>
    <w:rsid w:val="0030622E"/>
    <w:rsid w:val="0030767B"/>
    <w:rsid w:val="00307BF3"/>
    <w:rsid w:val="003100C7"/>
    <w:rsid w:val="003105E3"/>
    <w:rsid w:val="00310789"/>
    <w:rsid w:val="00310B6D"/>
    <w:rsid w:val="00310E42"/>
    <w:rsid w:val="00311A3B"/>
    <w:rsid w:val="0031467D"/>
    <w:rsid w:val="00314979"/>
    <w:rsid w:val="00314E1F"/>
    <w:rsid w:val="00314F18"/>
    <w:rsid w:val="00314F3F"/>
    <w:rsid w:val="003153DC"/>
    <w:rsid w:val="003153EC"/>
    <w:rsid w:val="003160EE"/>
    <w:rsid w:val="00316297"/>
    <w:rsid w:val="00316704"/>
    <w:rsid w:val="00316B73"/>
    <w:rsid w:val="00317274"/>
    <w:rsid w:val="003218D0"/>
    <w:rsid w:val="00322347"/>
    <w:rsid w:val="003224B3"/>
    <w:rsid w:val="00322F1D"/>
    <w:rsid w:val="00322FD5"/>
    <w:rsid w:val="0032373A"/>
    <w:rsid w:val="003240AA"/>
    <w:rsid w:val="0032474E"/>
    <w:rsid w:val="0032502E"/>
    <w:rsid w:val="003251CA"/>
    <w:rsid w:val="00326604"/>
    <w:rsid w:val="00326DD2"/>
    <w:rsid w:val="003278D7"/>
    <w:rsid w:val="00327D0C"/>
    <w:rsid w:val="00330191"/>
    <w:rsid w:val="00330B2C"/>
    <w:rsid w:val="00332490"/>
    <w:rsid w:val="00332A8A"/>
    <w:rsid w:val="003332C1"/>
    <w:rsid w:val="003340B2"/>
    <w:rsid w:val="003349ED"/>
    <w:rsid w:val="00335572"/>
    <w:rsid w:val="00336257"/>
    <w:rsid w:val="00336583"/>
    <w:rsid w:val="00337474"/>
    <w:rsid w:val="00340249"/>
    <w:rsid w:val="00340C3F"/>
    <w:rsid w:val="00340E10"/>
    <w:rsid w:val="00341196"/>
    <w:rsid w:val="003413BA"/>
    <w:rsid w:val="00341A59"/>
    <w:rsid w:val="00342783"/>
    <w:rsid w:val="003434CB"/>
    <w:rsid w:val="003434EB"/>
    <w:rsid w:val="00343673"/>
    <w:rsid w:val="00343707"/>
    <w:rsid w:val="003444F7"/>
    <w:rsid w:val="003448C8"/>
    <w:rsid w:val="00344E1F"/>
    <w:rsid w:val="003450B1"/>
    <w:rsid w:val="0034538C"/>
    <w:rsid w:val="00345798"/>
    <w:rsid w:val="00345832"/>
    <w:rsid w:val="00347ECF"/>
    <w:rsid w:val="00347FDC"/>
    <w:rsid w:val="00351A52"/>
    <w:rsid w:val="00352196"/>
    <w:rsid w:val="0035382E"/>
    <w:rsid w:val="00353B75"/>
    <w:rsid w:val="00353D36"/>
    <w:rsid w:val="003549C3"/>
    <w:rsid w:val="00355C06"/>
    <w:rsid w:val="00355E6E"/>
    <w:rsid w:val="00356F97"/>
    <w:rsid w:val="0036026B"/>
    <w:rsid w:val="0036172D"/>
    <w:rsid w:val="003617F4"/>
    <w:rsid w:val="00361B3B"/>
    <w:rsid w:val="003626E0"/>
    <w:rsid w:val="00362E18"/>
    <w:rsid w:val="003635D6"/>
    <w:rsid w:val="003637E9"/>
    <w:rsid w:val="00364859"/>
    <w:rsid w:val="00364B88"/>
    <w:rsid w:val="00364EB8"/>
    <w:rsid w:val="00365058"/>
    <w:rsid w:val="003650D4"/>
    <w:rsid w:val="0036511E"/>
    <w:rsid w:val="0036594E"/>
    <w:rsid w:val="003659C9"/>
    <w:rsid w:val="00365CFF"/>
    <w:rsid w:val="00367F23"/>
    <w:rsid w:val="00370015"/>
    <w:rsid w:val="003700F0"/>
    <w:rsid w:val="00371207"/>
    <w:rsid w:val="00372D7A"/>
    <w:rsid w:val="0037349F"/>
    <w:rsid w:val="00373B88"/>
    <w:rsid w:val="00374DC1"/>
    <w:rsid w:val="00375E82"/>
    <w:rsid w:val="00375F83"/>
    <w:rsid w:val="00375FA7"/>
    <w:rsid w:val="0037676D"/>
    <w:rsid w:val="00376AB8"/>
    <w:rsid w:val="0038064A"/>
    <w:rsid w:val="00380FC4"/>
    <w:rsid w:val="003810AD"/>
    <w:rsid w:val="00381518"/>
    <w:rsid w:val="003829CC"/>
    <w:rsid w:val="003842C4"/>
    <w:rsid w:val="0038446A"/>
    <w:rsid w:val="00384C0D"/>
    <w:rsid w:val="00385BB6"/>
    <w:rsid w:val="00385E9D"/>
    <w:rsid w:val="00386236"/>
    <w:rsid w:val="00386E26"/>
    <w:rsid w:val="00387310"/>
    <w:rsid w:val="00391CBA"/>
    <w:rsid w:val="00393159"/>
    <w:rsid w:val="003941CB"/>
    <w:rsid w:val="00394BBC"/>
    <w:rsid w:val="00394F43"/>
    <w:rsid w:val="00394FC5"/>
    <w:rsid w:val="003956E5"/>
    <w:rsid w:val="003958E0"/>
    <w:rsid w:val="00396207"/>
    <w:rsid w:val="00396BFA"/>
    <w:rsid w:val="00397A7D"/>
    <w:rsid w:val="00397F3A"/>
    <w:rsid w:val="003A060D"/>
    <w:rsid w:val="003A0698"/>
    <w:rsid w:val="003A160A"/>
    <w:rsid w:val="003A1951"/>
    <w:rsid w:val="003A1F68"/>
    <w:rsid w:val="003A251D"/>
    <w:rsid w:val="003A3065"/>
    <w:rsid w:val="003A3991"/>
    <w:rsid w:val="003A40CA"/>
    <w:rsid w:val="003A5019"/>
    <w:rsid w:val="003A5C4C"/>
    <w:rsid w:val="003A5E05"/>
    <w:rsid w:val="003A74BB"/>
    <w:rsid w:val="003A7BF2"/>
    <w:rsid w:val="003B0262"/>
    <w:rsid w:val="003B0481"/>
    <w:rsid w:val="003B09E2"/>
    <w:rsid w:val="003B0A2F"/>
    <w:rsid w:val="003B0EB6"/>
    <w:rsid w:val="003B3AFD"/>
    <w:rsid w:val="003B3EC8"/>
    <w:rsid w:val="003B4F09"/>
    <w:rsid w:val="003B5B72"/>
    <w:rsid w:val="003B5DF3"/>
    <w:rsid w:val="003B73A8"/>
    <w:rsid w:val="003C01E8"/>
    <w:rsid w:val="003C223D"/>
    <w:rsid w:val="003C344C"/>
    <w:rsid w:val="003C4810"/>
    <w:rsid w:val="003C5C5C"/>
    <w:rsid w:val="003C6796"/>
    <w:rsid w:val="003C6AA0"/>
    <w:rsid w:val="003C7656"/>
    <w:rsid w:val="003C7697"/>
    <w:rsid w:val="003C781F"/>
    <w:rsid w:val="003D0679"/>
    <w:rsid w:val="003D134A"/>
    <w:rsid w:val="003D3408"/>
    <w:rsid w:val="003D34F2"/>
    <w:rsid w:val="003D4AFD"/>
    <w:rsid w:val="003D4D54"/>
    <w:rsid w:val="003D5733"/>
    <w:rsid w:val="003D7EDE"/>
    <w:rsid w:val="003E083F"/>
    <w:rsid w:val="003E088E"/>
    <w:rsid w:val="003E093F"/>
    <w:rsid w:val="003E09FF"/>
    <w:rsid w:val="003E0C06"/>
    <w:rsid w:val="003E10FE"/>
    <w:rsid w:val="003E1230"/>
    <w:rsid w:val="003E174D"/>
    <w:rsid w:val="003E1B10"/>
    <w:rsid w:val="003E22B5"/>
    <w:rsid w:val="003E23BC"/>
    <w:rsid w:val="003E282F"/>
    <w:rsid w:val="003E2851"/>
    <w:rsid w:val="003E3D12"/>
    <w:rsid w:val="003E54D0"/>
    <w:rsid w:val="003E5607"/>
    <w:rsid w:val="003E5C55"/>
    <w:rsid w:val="003E5EDB"/>
    <w:rsid w:val="003E693A"/>
    <w:rsid w:val="003E79A8"/>
    <w:rsid w:val="003E7C60"/>
    <w:rsid w:val="003F0298"/>
    <w:rsid w:val="003F0AE2"/>
    <w:rsid w:val="003F0BA5"/>
    <w:rsid w:val="003F21A2"/>
    <w:rsid w:val="003F2F31"/>
    <w:rsid w:val="003F30D2"/>
    <w:rsid w:val="003F31D6"/>
    <w:rsid w:val="003F3312"/>
    <w:rsid w:val="003F3428"/>
    <w:rsid w:val="003F3919"/>
    <w:rsid w:val="003F43E0"/>
    <w:rsid w:val="003F4EBA"/>
    <w:rsid w:val="003F6095"/>
    <w:rsid w:val="003F6E3F"/>
    <w:rsid w:val="003F703F"/>
    <w:rsid w:val="003F7913"/>
    <w:rsid w:val="003F7C1C"/>
    <w:rsid w:val="004006C7"/>
    <w:rsid w:val="004016E0"/>
    <w:rsid w:val="00401A2B"/>
    <w:rsid w:val="00401CFA"/>
    <w:rsid w:val="00402F81"/>
    <w:rsid w:val="0040360A"/>
    <w:rsid w:val="00404150"/>
    <w:rsid w:val="00404272"/>
    <w:rsid w:val="00404E45"/>
    <w:rsid w:val="00407186"/>
    <w:rsid w:val="0040758F"/>
    <w:rsid w:val="00410A0C"/>
    <w:rsid w:val="00410E85"/>
    <w:rsid w:val="00410FBA"/>
    <w:rsid w:val="00411165"/>
    <w:rsid w:val="00411923"/>
    <w:rsid w:val="004126FA"/>
    <w:rsid w:val="00412A27"/>
    <w:rsid w:val="00414BD2"/>
    <w:rsid w:val="00414E2A"/>
    <w:rsid w:val="004150F9"/>
    <w:rsid w:val="00415173"/>
    <w:rsid w:val="0041548B"/>
    <w:rsid w:val="0041573F"/>
    <w:rsid w:val="004166DD"/>
    <w:rsid w:val="00416BE2"/>
    <w:rsid w:val="00416F97"/>
    <w:rsid w:val="00417888"/>
    <w:rsid w:val="004216E9"/>
    <w:rsid w:val="00421AD5"/>
    <w:rsid w:val="00422C3D"/>
    <w:rsid w:val="004232B0"/>
    <w:rsid w:val="00423727"/>
    <w:rsid w:val="00424D76"/>
    <w:rsid w:val="00426563"/>
    <w:rsid w:val="004273BE"/>
    <w:rsid w:val="00427609"/>
    <w:rsid w:val="00427B30"/>
    <w:rsid w:val="00430A85"/>
    <w:rsid w:val="00430FA6"/>
    <w:rsid w:val="0043306A"/>
    <w:rsid w:val="0043455F"/>
    <w:rsid w:val="004345FB"/>
    <w:rsid w:val="004352EA"/>
    <w:rsid w:val="0043541D"/>
    <w:rsid w:val="00436392"/>
    <w:rsid w:val="00440290"/>
    <w:rsid w:val="00440FA2"/>
    <w:rsid w:val="00441814"/>
    <w:rsid w:val="0044198C"/>
    <w:rsid w:val="00441E55"/>
    <w:rsid w:val="004431F8"/>
    <w:rsid w:val="00443678"/>
    <w:rsid w:val="00446A9C"/>
    <w:rsid w:val="00450D2A"/>
    <w:rsid w:val="00450DA7"/>
    <w:rsid w:val="004511E6"/>
    <w:rsid w:val="004517A1"/>
    <w:rsid w:val="0045190B"/>
    <w:rsid w:val="00451FC1"/>
    <w:rsid w:val="0045207E"/>
    <w:rsid w:val="00452E82"/>
    <w:rsid w:val="00453E71"/>
    <w:rsid w:val="00454312"/>
    <w:rsid w:val="00454356"/>
    <w:rsid w:val="004548E1"/>
    <w:rsid w:val="00454BC7"/>
    <w:rsid w:val="00454CAB"/>
    <w:rsid w:val="004550B6"/>
    <w:rsid w:val="00455FDF"/>
    <w:rsid w:val="004565E4"/>
    <w:rsid w:val="0045797D"/>
    <w:rsid w:val="0046082D"/>
    <w:rsid w:val="00461AA9"/>
    <w:rsid w:val="004655BE"/>
    <w:rsid w:val="004659A2"/>
    <w:rsid w:val="00466964"/>
    <w:rsid w:val="004669DD"/>
    <w:rsid w:val="00467937"/>
    <w:rsid w:val="004719B5"/>
    <w:rsid w:val="00472B7F"/>
    <w:rsid w:val="004730DB"/>
    <w:rsid w:val="00473786"/>
    <w:rsid w:val="00474547"/>
    <w:rsid w:val="004748E8"/>
    <w:rsid w:val="00474DB7"/>
    <w:rsid w:val="00475A7D"/>
    <w:rsid w:val="004761E6"/>
    <w:rsid w:val="00477832"/>
    <w:rsid w:val="004805F5"/>
    <w:rsid w:val="004822FA"/>
    <w:rsid w:val="004828CE"/>
    <w:rsid w:val="00484E7D"/>
    <w:rsid w:val="00485258"/>
    <w:rsid w:val="00485283"/>
    <w:rsid w:val="00486A54"/>
    <w:rsid w:val="00486D87"/>
    <w:rsid w:val="004877E2"/>
    <w:rsid w:val="00487D46"/>
    <w:rsid w:val="00490A36"/>
    <w:rsid w:val="00490E66"/>
    <w:rsid w:val="00490F39"/>
    <w:rsid w:val="00491453"/>
    <w:rsid w:val="004915CC"/>
    <w:rsid w:val="004918FE"/>
    <w:rsid w:val="004919F1"/>
    <w:rsid w:val="00491CDA"/>
    <w:rsid w:val="00492244"/>
    <w:rsid w:val="00492CDB"/>
    <w:rsid w:val="00493BE9"/>
    <w:rsid w:val="00495893"/>
    <w:rsid w:val="00495A8E"/>
    <w:rsid w:val="00496680"/>
    <w:rsid w:val="00496A69"/>
    <w:rsid w:val="004976EC"/>
    <w:rsid w:val="004978B0"/>
    <w:rsid w:val="00497AD6"/>
    <w:rsid w:val="004A0325"/>
    <w:rsid w:val="004A1969"/>
    <w:rsid w:val="004A2CFC"/>
    <w:rsid w:val="004A3E75"/>
    <w:rsid w:val="004A414B"/>
    <w:rsid w:val="004A4BD5"/>
    <w:rsid w:val="004A51B8"/>
    <w:rsid w:val="004A52B4"/>
    <w:rsid w:val="004A7222"/>
    <w:rsid w:val="004A7E8C"/>
    <w:rsid w:val="004B265C"/>
    <w:rsid w:val="004B2C0C"/>
    <w:rsid w:val="004B2DE2"/>
    <w:rsid w:val="004B2E2E"/>
    <w:rsid w:val="004B33B4"/>
    <w:rsid w:val="004B5AFB"/>
    <w:rsid w:val="004B7454"/>
    <w:rsid w:val="004C0E4A"/>
    <w:rsid w:val="004C176F"/>
    <w:rsid w:val="004C28E4"/>
    <w:rsid w:val="004C43E3"/>
    <w:rsid w:val="004C5E8C"/>
    <w:rsid w:val="004C7B45"/>
    <w:rsid w:val="004C7E27"/>
    <w:rsid w:val="004D0548"/>
    <w:rsid w:val="004D0BA5"/>
    <w:rsid w:val="004D14C6"/>
    <w:rsid w:val="004D2BD5"/>
    <w:rsid w:val="004D51DE"/>
    <w:rsid w:val="004D55C1"/>
    <w:rsid w:val="004D5659"/>
    <w:rsid w:val="004D604E"/>
    <w:rsid w:val="004D6152"/>
    <w:rsid w:val="004D6984"/>
    <w:rsid w:val="004D78F5"/>
    <w:rsid w:val="004E05BF"/>
    <w:rsid w:val="004E1F4C"/>
    <w:rsid w:val="004E29B8"/>
    <w:rsid w:val="004E2B4B"/>
    <w:rsid w:val="004E3C70"/>
    <w:rsid w:val="004E41F4"/>
    <w:rsid w:val="004E463D"/>
    <w:rsid w:val="004E56E7"/>
    <w:rsid w:val="004E5959"/>
    <w:rsid w:val="004E644E"/>
    <w:rsid w:val="004E6B26"/>
    <w:rsid w:val="004F23F4"/>
    <w:rsid w:val="004F2DB8"/>
    <w:rsid w:val="004F30F3"/>
    <w:rsid w:val="004F315E"/>
    <w:rsid w:val="004F3724"/>
    <w:rsid w:val="004F4731"/>
    <w:rsid w:val="004F50BE"/>
    <w:rsid w:val="004F6AC9"/>
    <w:rsid w:val="004F7497"/>
    <w:rsid w:val="004F781E"/>
    <w:rsid w:val="00500AAA"/>
    <w:rsid w:val="00501717"/>
    <w:rsid w:val="00501B93"/>
    <w:rsid w:val="005024E1"/>
    <w:rsid w:val="00503864"/>
    <w:rsid w:val="0050437A"/>
    <w:rsid w:val="00505879"/>
    <w:rsid w:val="005059D2"/>
    <w:rsid w:val="00505D6B"/>
    <w:rsid w:val="005061DC"/>
    <w:rsid w:val="005063CC"/>
    <w:rsid w:val="00506606"/>
    <w:rsid w:val="005067C3"/>
    <w:rsid w:val="00506A92"/>
    <w:rsid w:val="0051040F"/>
    <w:rsid w:val="0051112A"/>
    <w:rsid w:val="005115D1"/>
    <w:rsid w:val="0051229E"/>
    <w:rsid w:val="00513F3D"/>
    <w:rsid w:val="00514B72"/>
    <w:rsid w:val="005157B1"/>
    <w:rsid w:val="005161FB"/>
    <w:rsid w:val="005167CF"/>
    <w:rsid w:val="005171E0"/>
    <w:rsid w:val="005177FE"/>
    <w:rsid w:val="00517B7E"/>
    <w:rsid w:val="0052059B"/>
    <w:rsid w:val="00520F61"/>
    <w:rsid w:val="00521DC3"/>
    <w:rsid w:val="005221C2"/>
    <w:rsid w:val="005223C3"/>
    <w:rsid w:val="00523B1F"/>
    <w:rsid w:val="0052406D"/>
    <w:rsid w:val="00524F6B"/>
    <w:rsid w:val="005265CB"/>
    <w:rsid w:val="00526685"/>
    <w:rsid w:val="00530144"/>
    <w:rsid w:val="00530278"/>
    <w:rsid w:val="0053028C"/>
    <w:rsid w:val="00530424"/>
    <w:rsid w:val="0053102C"/>
    <w:rsid w:val="00531B27"/>
    <w:rsid w:val="005322C7"/>
    <w:rsid w:val="005323CD"/>
    <w:rsid w:val="005323D2"/>
    <w:rsid w:val="0053285E"/>
    <w:rsid w:val="00532CB5"/>
    <w:rsid w:val="00533187"/>
    <w:rsid w:val="00534A73"/>
    <w:rsid w:val="005354E8"/>
    <w:rsid w:val="00535833"/>
    <w:rsid w:val="00537B97"/>
    <w:rsid w:val="005405E1"/>
    <w:rsid w:val="00541A57"/>
    <w:rsid w:val="00541C95"/>
    <w:rsid w:val="00541CD1"/>
    <w:rsid w:val="00541DAD"/>
    <w:rsid w:val="0054293B"/>
    <w:rsid w:val="00542DF5"/>
    <w:rsid w:val="00543981"/>
    <w:rsid w:val="005442DA"/>
    <w:rsid w:val="00545BAC"/>
    <w:rsid w:val="00546376"/>
    <w:rsid w:val="0055051C"/>
    <w:rsid w:val="005506F2"/>
    <w:rsid w:val="005509F8"/>
    <w:rsid w:val="00550A6D"/>
    <w:rsid w:val="00550B6E"/>
    <w:rsid w:val="00550CEA"/>
    <w:rsid w:val="0055129B"/>
    <w:rsid w:val="0055160D"/>
    <w:rsid w:val="00551D1B"/>
    <w:rsid w:val="005527B1"/>
    <w:rsid w:val="0055283A"/>
    <w:rsid w:val="00552BFB"/>
    <w:rsid w:val="00553970"/>
    <w:rsid w:val="00553FA9"/>
    <w:rsid w:val="005545E3"/>
    <w:rsid w:val="0055551F"/>
    <w:rsid w:val="00555D39"/>
    <w:rsid w:val="005564E4"/>
    <w:rsid w:val="00560438"/>
    <w:rsid w:val="00560464"/>
    <w:rsid w:val="00562A82"/>
    <w:rsid w:val="00562AE7"/>
    <w:rsid w:val="005641D6"/>
    <w:rsid w:val="00564BF3"/>
    <w:rsid w:val="005673A8"/>
    <w:rsid w:val="00567945"/>
    <w:rsid w:val="00567ADE"/>
    <w:rsid w:val="00570232"/>
    <w:rsid w:val="00570499"/>
    <w:rsid w:val="00571947"/>
    <w:rsid w:val="00571B7B"/>
    <w:rsid w:val="00571C17"/>
    <w:rsid w:val="00572801"/>
    <w:rsid w:val="005732E0"/>
    <w:rsid w:val="005739A7"/>
    <w:rsid w:val="00573DEF"/>
    <w:rsid w:val="00575280"/>
    <w:rsid w:val="00575593"/>
    <w:rsid w:val="0057602A"/>
    <w:rsid w:val="00576199"/>
    <w:rsid w:val="00576B9B"/>
    <w:rsid w:val="00576C0E"/>
    <w:rsid w:val="00576C33"/>
    <w:rsid w:val="00576C4A"/>
    <w:rsid w:val="005773FB"/>
    <w:rsid w:val="005775F3"/>
    <w:rsid w:val="0057775C"/>
    <w:rsid w:val="0057797C"/>
    <w:rsid w:val="00577B38"/>
    <w:rsid w:val="00577CE5"/>
    <w:rsid w:val="00580FC2"/>
    <w:rsid w:val="0058100B"/>
    <w:rsid w:val="00581C5F"/>
    <w:rsid w:val="0058233E"/>
    <w:rsid w:val="00582752"/>
    <w:rsid w:val="00582EBC"/>
    <w:rsid w:val="00583078"/>
    <w:rsid w:val="0058352A"/>
    <w:rsid w:val="00583824"/>
    <w:rsid w:val="00583C7E"/>
    <w:rsid w:val="00584080"/>
    <w:rsid w:val="0058418D"/>
    <w:rsid w:val="005855BE"/>
    <w:rsid w:val="00585786"/>
    <w:rsid w:val="00585CCE"/>
    <w:rsid w:val="00586C7C"/>
    <w:rsid w:val="00586D69"/>
    <w:rsid w:val="00590F94"/>
    <w:rsid w:val="00591018"/>
    <w:rsid w:val="00591EC4"/>
    <w:rsid w:val="0059308E"/>
    <w:rsid w:val="005936E0"/>
    <w:rsid w:val="00593B71"/>
    <w:rsid w:val="005940A0"/>
    <w:rsid w:val="005942C5"/>
    <w:rsid w:val="005943C5"/>
    <w:rsid w:val="00595166"/>
    <w:rsid w:val="00596BFF"/>
    <w:rsid w:val="0059732C"/>
    <w:rsid w:val="00597AEF"/>
    <w:rsid w:val="005A0DDA"/>
    <w:rsid w:val="005A1E7A"/>
    <w:rsid w:val="005A2836"/>
    <w:rsid w:val="005A2857"/>
    <w:rsid w:val="005A2909"/>
    <w:rsid w:val="005A2B32"/>
    <w:rsid w:val="005A2B79"/>
    <w:rsid w:val="005A41EC"/>
    <w:rsid w:val="005A49BB"/>
    <w:rsid w:val="005A57F0"/>
    <w:rsid w:val="005A5D19"/>
    <w:rsid w:val="005A649E"/>
    <w:rsid w:val="005A6671"/>
    <w:rsid w:val="005A708B"/>
    <w:rsid w:val="005A75E4"/>
    <w:rsid w:val="005A7637"/>
    <w:rsid w:val="005A77BD"/>
    <w:rsid w:val="005A7D74"/>
    <w:rsid w:val="005A7E4F"/>
    <w:rsid w:val="005B02B2"/>
    <w:rsid w:val="005B0705"/>
    <w:rsid w:val="005B0A5A"/>
    <w:rsid w:val="005B13BC"/>
    <w:rsid w:val="005B16E2"/>
    <w:rsid w:val="005B6466"/>
    <w:rsid w:val="005B7200"/>
    <w:rsid w:val="005B75C6"/>
    <w:rsid w:val="005B7A75"/>
    <w:rsid w:val="005C01D5"/>
    <w:rsid w:val="005C0EA0"/>
    <w:rsid w:val="005C1027"/>
    <w:rsid w:val="005C12B4"/>
    <w:rsid w:val="005C17B2"/>
    <w:rsid w:val="005C27FB"/>
    <w:rsid w:val="005C2ED0"/>
    <w:rsid w:val="005C67D8"/>
    <w:rsid w:val="005C6F62"/>
    <w:rsid w:val="005C7065"/>
    <w:rsid w:val="005C7745"/>
    <w:rsid w:val="005C7A02"/>
    <w:rsid w:val="005D030C"/>
    <w:rsid w:val="005D0A24"/>
    <w:rsid w:val="005D1657"/>
    <w:rsid w:val="005D179C"/>
    <w:rsid w:val="005D1A38"/>
    <w:rsid w:val="005D1F5C"/>
    <w:rsid w:val="005D378D"/>
    <w:rsid w:val="005D3C14"/>
    <w:rsid w:val="005D42BA"/>
    <w:rsid w:val="005D5FF1"/>
    <w:rsid w:val="005D7492"/>
    <w:rsid w:val="005D7839"/>
    <w:rsid w:val="005E1FE1"/>
    <w:rsid w:val="005E26A4"/>
    <w:rsid w:val="005E28A8"/>
    <w:rsid w:val="005E2A27"/>
    <w:rsid w:val="005E33ED"/>
    <w:rsid w:val="005E36F2"/>
    <w:rsid w:val="005E436E"/>
    <w:rsid w:val="005E4724"/>
    <w:rsid w:val="005E4C28"/>
    <w:rsid w:val="005E4CC2"/>
    <w:rsid w:val="005E5013"/>
    <w:rsid w:val="005E5F4D"/>
    <w:rsid w:val="005E5F85"/>
    <w:rsid w:val="005E64CF"/>
    <w:rsid w:val="005E682D"/>
    <w:rsid w:val="005E723A"/>
    <w:rsid w:val="005F137D"/>
    <w:rsid w:val="005F1B12"/>
    <w:rsid w:val="005F1DF1"/>
    <w:rsid w:val="005F2870"/>
    <w:rsid w:val="005F35E1"/>
    <w:rsid w:val="005F38B0"/>
    <w:rsid w:val="005F4691"/>
    <w:rsid w:val="005F5E89"/>
    <w:rsid w:val="005F66B6"/>
    <w:rsid w:val="005F711E"/>
    <w:rsid w:val="005F77D2"/>
    <w:rsid w:val="006010A2"/>
    <w:rsid w:val="006011AB"/>
    <w:rsid w:val="0060264E"/>
    <w:rsid w:val="00602E44"/>
    <w:rsid w:val="0060497C"/>
    <w:rsid w:val="00606106"/>
    <w:rsid w:val="0060610B"/>
    <w:rsid w:val="00606AE9"/>
    <w:rsid w:val="00607037"/>
    <w:rsid w:val="00607CD6"/>
    <w:rsid w:val="0061081C"/>
    <w:rsid w:val="006110EA"/>
    <w:rsid w:val="0061117F"/>
    <w:rsid w:val="006116C2"/>
    <w:rsid w:val="00611EFA"/>
    <w:rsid w:val="006153B5"/>
    <w:rsid w:val="00615B72"/>
    <w:rsid w:val="0061624D"/>
    <w:rsid w:val="006163D0"/>
    <w:rsid w:val="006164D0"/>
    <w:rsid w:val="00616B54"/>
    <w:rsid w:val="006173BE"/>
    <w:rsid w:val="00617F2B"/>
    <w:rsid w:val="00620DA0"/>
    <w:rsid w:val="00620DE1"/>
    <w:rsid w:val="00621410"/>
    <w:rsid w:val="00621B7B"/>
    <w:rsid w:val="00621F42"/>
    <w:rsid w:val="00621F4E"/>
    <w:rsid w:val="00622203"/>
    <w:rsid w:val="006230BD"/>
    <w:rsid w:val="0062312B"/>
    <w:rsid w:val="00623BEF"/>
    <w:rsid w:val="006249E4"/>
    <w:rsid w:val="00625370"/>
    <w:rsid w:val="006265C4"/>
    <w:rsid w:val="006266FC"/>
    <w:rsid w:val="00626715"/>
    <w:rsid w:val="00626A87"/>
    <w:rsid w:val="006273C0"/>
    <w:rsid w:val="006275AD"/>
    <w:rsid w:val="006303D4"/>
    <w:rsid w:val="00631809"/>
    <w:rsid w:val="006326A3"/>
    <w:rsid w:val="0063334D"/>
    <w:rsid w:val="00633C74"/>
    <w:rsid w:val="00633D08"/>
    <w:rsid w:val="00635103"/>
    <w:rsid w:val="00635CCA"/>
    <w:rsid w:val="00635CF9"/>
    <w:rsid w:val="00636150"/>
    <w:rsid w:val="00636295"/>
    <w:rsid w:val="006368AF"/>
    <w:rsid w:val="00636D6A"/>
    <w:rsid w:val="00637018"/>
    <w:rsid w:val="006370AE"/>
    <w:rsid w:val="006377AC"/>
    <w:rsid w:val="0064166A"/>
    <w:rsid w:val="006424D5"/>
    <w:rsid w:val="006437C8"/>
    <w:rsid w:val="00643E6F"/>
    <w:rsid w:val="0064402C"/>
    <w:rsid w:val="00644073"/>
    <w:rsid w:val="00644607"/>
    <w:rsid w:val="006448DF"/>
    <w:rsid w:val="0064496A"/>
    <w:rsid w:val="00645A8F"/>
    <w:rsid w:val="00646133"/>
    <w:rsid w:val="006462BC"/>
    <w:rsid w:val="00646314"/>
    <w:rsid w:val="00646E99"/>
    <w:rsid w:val="006470A1"/>
    <w:rsid w:val="00647814"/>
    <w:rsid w:val="00647D7F"/>
    <w:rsid w:val="006501EF"/>
    <w:rsid w:val="00651094"/>
    <w:rsid w:val="00652418"/>
    <w:rsid w:val="00652545"/>
    <w:rsid w:val="00653C73"/>
    <w:rsid w:val="006541DB"/>
    <w:rsid w:val="00654C05"/>
    <w:rsid w:val="00655798"/>
    <w:rsid w:val="00655E7F"/>
    <w:rsid w:val="006571AB"/>
    <w:rsid w:val="00657B2E"/>
    <w:rsid w:val="00661A6D"/>
    <w:rsid w:val="00661BCC"/>
    <w:rsid w:val="00661C13"/>
    <w:rsid w:val="006625ED"/>
    <w:rsid w:val="00662DB0"/>
    <w:rsid w:val="00663603"/>
    <w:rsid w:val="00663FA5"/>
    <w:rsid w:val="006643ED"/>
    <w:rsid w:val="00664513"/>
    <w:rsid w:val="00664EC6"/>
    <w:rsid w:val="006671E2"/>
    <w:rsid w:val="006675F6"/>
    <w:rsid w:val="00670E56"/>
    <w:rsid w:val="0067131A"/>
    <w:rsid w:val="006718E7"/>
    <w:rsid w:val="006719BD"/>
    <w:rsid w:val="00672270"/>
    <w:rsid w:val="00672908"/>
    <w:rsid w:val="00672B8A"/>
    <w:rsid w:val="00674EBA"/>
    <w:rsid w:val="006750EF"/>
    <w:rsid w:val="00675418"/>
    <w:rsid w:val="00675952"/>
    <w:rsid w:val="00675EF5"/>
    <w:rsid w:val="00676993"/>
    <w:rsid w:val="00676A59"/>
    <w:rsid w:val="00676E3D"/>
    <w:rsid w:val="006772D4"/>
    <w:rsid w:val="00680BD2"/>
    <w:rsid w:val="0068130A"/>
    <w:rsid w:val="0068192F"/>
    <w:rsid w:val="00682782"/>
    <w:rsid w:val="00682A3D"/>
    <w:rsid w:val="00682C24"/>
    <w:rsid w:val="00682E45"/>
    <w:rsid w:val="0068360B"/>
    <w:rsid w:val="00683EF5"/>
    <w:rsid w:val="006843B9"/>
    <w:rsid w:val="006859E0"/>
    <w:rsid w:val="00685B14"/>
    <w:rsid w:val="00686433"/>
    <w:rsid w:val="00686602"/>
    <w:rsid w:val="00687127"/>
    <w:rsid w:val="0068713E"/>
    <w:rsid w:val="00690239"/>
    <w:rsid w:val="006903AF"/>
    <w:rsid w:val="006914B6"/>
    <w:rsid w:val="0069519A"/>
    <w:rsid w:val="0069549B"/>
    <w:rsid w:val="00696112"/>
    <w:rsid w:val="006976B9"/>
    <w:rsid w:val="00697763"/>
    <w:rsid w:val="00697835"/>
    <w:rsid w:val="006A15F0"/>
    <w:rsid w:val="006A2C6D"/>
    <w:rsid w:val="006A3835"/>
    <w:rsid w:val="006A4854"/>
    <w:rsid w:val="006A4C49"/>
    <w:rsid w:val="006A5420"/>
    <w:rsid w:val="006A6340"/>
    <w:rsid w:val="006A659B"/>
    <w:rsid w:val="006A6D0E"/>
    <w:rsid w:val="006B1465"/>
    <w:rsid w:val="006B1D41"/>
    <w:rsid w:val="006B2D75"/>
    <w:rsid w:val="006B3C9B"/>
    <w:rsid w:val="006B4721"/>
    <w:rsid w:val="006B6927"/>
    <w:rsid w:val="006B7054"/>
    <w:rsid w:val="006B7969"/>
    <w:rsid w:val="006C0679"/>
    <w:rsid w:val="006C0ABF"/>
    <w:rsid w:val="006C0C37"/>
    <w:rsid w:val="006C3D3F"/>
    <w:rsid w:val="006C4409"/>
    <w:rsid w:val="006C481A"/>
    <w:rsid w:val="006C5133"/>
    <w:rsid w:val="006C5206"/>
    <w:rsid w:val="006C5245"/>
    <w:rsid w:val="006C60B6"/>
    <w:rsid w:val="006C7AEC"/>
    <w:rsid w:val="006D0CF2"/>
    <w:rsid w:val="006D0FF5"/>
    <w:rsid w:val="006D1509"/>
    <w:rsid w:val="006D15E6"/>
    <w:rsid w:val="006D1A66"/>
    <w:rsid w:val="006D1B98"/>
    <w:rsid w:val="006D21C5"/>
    <w:rsid w:val="006D2558"/>
    <w:rsid w:val="006D2D04"/>
    <w:rsid w:val="006D2DAC"/>
    <w:rsid w:val="006D386B"/>
    <w:rsid w:val="006D3FBE"/>
    <w:rsid w:val="006D425D"/>
    <w:rsid w:val="006D5B73"/>
    <w:rsid w:val="006D757B"/>
    <w:rsid w:val="006D7DDB"/>
    <w:rsid w:val="006E02D9"/>
    <w:rsid w:val="006E0B40"/>
    <w:rsid w:val="006E0B89"/>
    <w:rsid w:val="006E10F7"/>
    <w:rsid w:val="006E12E4"/>
    <w:rsid w:val="006E179B"/>
    <w:rsid w:val="006E3ADD"/>
    <w:rsid w:val="006E4DAF"/>
    <w:rsid w:val="006E5236"/>
    <w:rsid w:val="006E5C23"/>
    <w:rsid w:val="006E5F24"/>
    <w:rsid w:val="006E635A"/>
    <w:rsid w:val="006E6C8A"/>
    <w:rsid w:val="006E6D33"/>
    <w:rsid w:val="006E712F"/>
    <w:rsid w:val="006E7675"/>
    <w:rsid w:val="006E77F7"/>
    <w:rsid w:val="006E7891"/>
    <w:rsid w:val="006E78B9"/>
    <w:rsid w:val="006E7C23"/>
    <w:rsid w:val="006F009D"/>
    <w:rsid w:val="006F06B3"/>
    <w:rsid w:val="006F10CE"/>
    <w:rsid w:val="006F1378"/>
    <w:rsid w:val="006F1F6F"/>
    <w:rsid w:val="006F32A2"/>
    <w:rsid w:val="006F401C"/>
    <w:rsid w:val="006F4280"/>
    <w:rsid w:val="006F46FD"/>
    <w:rsid w:val="006F53AA"/>
    <w:rsid w:val="006F56BE"/>
    <w:rsid w:val="006F63FF"/>
    <w:rsid w:val="006F687A"/>
    <w:rsid w:val="006F7C17"/>
    <w:rsid w:val="006F7EA5"/>
    <w:rsid w:val="0070017B"/>
    <w:rsid w:val="0070125F"/>
    <w:rsid w:val="007012D9"/>
    <w:rsid w:val="0070228D"/>
    <w:rsid w:val="007025E1"/>
    <w:rsid w:val="00703AEB"/>
    <w:rsid w:val="0070400F"/>
    <w:rsid w:val="00705086"/>
    <w:rsid w:val="00705960"/>
    <w:rsid w:val="00705FCE"/>
    <w:rsid w:val="00707213"/>
    <w:rsid w:val="0071039D"/>
    <w:rsid w:val="00711220"/>
    <w:rsid w:val="007121FD"/>
    <w:rsid w:val="007125D3"/>
    <w:rsid w:val="00715DE7"/>
    <w:rsid w:val="00716C8A"/>
    <w:rsid w:val="0071783A"/>
    <w:rsid w:val="00717A37"/>
    <w:rsid w:val="00717BFC"/>
    <w:rsid w:val="00720E92"/>
    <w:rsid w:val="00721921"/>
    <w:rsid w:val="007240B6"/>
    <w:rsid w:val="007246EF"/>
    <w:rsid w:val="007247B0"/>
    <w:rsid w:val="00724F01"/>
    <w:rsid w:val="007252D2"/>
    <w:rsid w:val="00725A66"/>
    <w:rsid w:val="00726673"/>
    <w:rsid w:val="00726B63"/>
    <w:rsid w:val="00726EB7"/>
    <w:rsid w:val="00730060"/>
    <w:rsid w:val="00730A55"/>
    <w:rsid w:val="00730C26"/>
    <w:rsid w:val="00730F0A"/>
    <w:rsid w:val="007317C2"/>
    <w:rsid w:val="00731D16"/>
    <w:rsid w:val="0073344B"/>
    <w:rsid w:val="007344E3"/>
    <w:rsid w:val="007353FC"/>
    <w:rsid w:val="00737867"/>
    <w:rsid w:val="00737B3C"/>
    <w:rsid w:val="007402DC"/>
    <w:rsid w:val="00740A51"/>
    <w:rsid w:val="00740D49"/>
    <w:rsid w:val="007422F3"/>
    <w:rsid w:val="0074249D"/>
    <w:rsid w:val="007437A5"/>
    <w:rsid w:val="00745C34"/>
    <w:rsid w:val="0074626F"/>
    <w:rsid w:val="007469CE"/>
    <w:rsid w:val="00746E16"/>
    <w:rsid w:val="00746E58"/>
    <w:rsid w:val="0074788E"/>
    <w:rsid w:val="00747AFB"/>
    <w:rsid w:val="007503CF"/>
    <w:rsid w:val="00750F98"/>
    <w:rsid w:val="00752572"/>
    <w:rsid w:val="00753439"/>
    <w:rsid w:val="007542D7"/>
    <w:rsid w:val="00754328"/>
    <w:rsid w:val="0075434B"/>
    <w:rsid w:val="00755754"/>
    <w:rsid w:val="007559B1"/>
    <w:rsid w:val="00755AF6"/>
    <w:rsid w:val="00760465"/>
    <w:rsid w:val="007613FC"/>
    <w:rsid w:val="00761FDB"/>
    <w:rsid w:val="007625FC"/>
    <w:rsid w:val="007630B8"/>
    <w:rsid w:val="00763A39"/>
    <w:rsid w:val="00763C2C"/>
    <w:rsid w:val="00764156"/>
    <w:rsid w:val="007642FA"/>
    <w:rsid w:val="007657B5"/>
    <w:rsid w:val="00765EAB"/>
    <w:rsid w:val="007674FA"/>
    <w:rsid w:val="007702FC"/>
    <w:rsid w:val="00770318"/>
    <w:rsid w:val="00770360"/>
    <w:rsid w:val="00772C03"/>
    <w:rsid w:val="007731B4"/>
    <w:rsid w:val="007739FB"/>
    <w:rsid w:val="007755E4"/>
    <w:rsid w:val="00775701"/>
    <w:rsid w:val="00775AE4"/>
    <w:rsid w:val="00776231"/>
    <w:rsid w:val="00776564"/>
    <w:rsid w:val="007765B2"/>
    <w:rsid w:val="0077708B"/>
    <w:rsid w:val="00777548"/>
    <w:rsid w:val="00777ED5"/>
    <w:rsid w:val="00777F4C"/>
    <w:rsid w:val="00781EA1"/>
    <w:rsid w:val="00783B57"/>
    <w:rsid w:val="00784171"/>
    <w:rsid w:val="00785BEE"/>
    <w:rsid w:val="007864D2"/>
    <w:rsid w:val="0078679A"/>
    <w:rsid w:val="00786996"/>
    <w:rsid w:val="00786E98"/>
    <w:rsid w:val="0079169B"/>
    <w:rsid w:val="00791B17"/>
    <w:rsid w:val="00791D02"/>
    <w:rsid w:val="007921FA"/>
    <w:rsid w:val="0079293A"/>
    <w:rsid w:val="00792B61"/>
    <w:rsid w:val="0079351D"/>
    <w:rsid w:val="0079373A"/>
    <w:rsid w:val="00793CAB"/>
    <w:rsid w:val="00793DE5"/>
    <w:rsid w:val="00793EBA"/>
    <w:rsid w:val="00795C7F"/>
    <w:rsid w:val="0079672E"/>
    <w:rsid w:val="00796F17"/>
    <w:rsid w:val="00797C21"/>
    <w:rsid w:val="007A1283"/>
    <w:rsid w:val="007A1F5D"/>
    <w:rsid w:val="007A21F2"/>
    <w:rsid w:val="007A288E"/>
    <w:rsid w:val="007A34B1"/>
    <w:rsid w:val="007A3E34"/>
    <w:rsid w:val="007A419B"/>
    <w:rsid w:val="007A5C20"/>
    <w:rsid w:val="007A6AEE"/>
    <w:rsid w:val="007A6B69"/>
    <w:rsid w:val="007A6C6F"/>
    <w:rsid w:val="007A6EB8"/>
    <w:rsid w:val="007B0E9E"/>
    <w:rsid w:val="007B1420"/>
    <w:rsid w:val="007B1479"/>
    <w:rsid w:val="007B33E8"/>
    <w:rsid w:val="007B3435"/>
    <w:rsid w:val="007B38C4"/>
    <w:rsid w:val="007B48D5"/>
    <w:rsid w:val="007B55AC"/>
    <w:rsid w:val="007B5FD8"/>
    <w:rsid w:val="007B635E"/>
    <w:rsid w:val="007B6A3F"/>
    <w:rsid w:val="007C03C5"/>
    <w:rsid w:val="007C0563"/>
    <w:rsid w:val="007C0DED"/>
    <w:rsid w:val="007C3265"/>
    <w:rsid w:val="007C4067"/>
    <w:rsid w:val="007C496F"/>
    <w:rsid w:val="007C6591"/>
    <w:rsid w:val="007C7100"/>
    <w:rsid w:val="007D0ABB"/>
    <w:rsid w:val="007D148C"/>
    <w:rsid w:val="007D2790"/>
    <w:rsid w:val="007D338F"/>
    <w:rsid w:val="007D3F7B"/>
    <w:rsid w:val="007D4B32"/>
    <w:rsid w:val="007D5053"/>
    <w:rsid w:val="007D5077"/>
    <w:rsid w:val="007D6345"/>
    <w:rsid w:val="007D6351"/>
    <w:rsid w:val="007D712A"/>
    <w:rsid w:val="007D7640"/>
    <w:rsid w:val="007E19D6"/>
    <w:rsid w:val="007E21D0"/>
    <w:rsid w:val="007E2D75"/>
    <w:rsid w:val="007E2D97"/>
    <w:rsid w:val="007E335F"/>
    <w:rsid w:val="007E3BA0"/>
    <w:rsid w:val="007E4D8C"/>
    <w:rsid w:val="007E4E3D"/>
    <w:rsid w:val="007E533E"/>
    <w:rsid w:val="007E6AA1"/>
    <w:rsid w:val="007E7368"/>
    <w:rsid w:val="007E79A2"/>
    <w:rsid w:val="007E7E70"/>
    <w:rsid w:val="007F0061"/>
    <w:rsid w:val="007F1290"/>
    <w:rsid w:val="007F1E65"/>
    <w:rsid w:val="007F1F3A"/>
    <w:rsid w:val="007F231C"/>
    <w:rsid w:val="007F2594"/>
    <w:rsid w:val="007F2625"/>
    <w:rsid w:val="007F2648"/>
    <w:rsid w:val="007F316B"/>
    <w:rsid w:val="007F324B"/>
    <w:rsid w:val="007F42E1"/>
    <w:rsid w:val="007F51B5"/>
    <w:rsid w:val="007F5EC0"/>
    <w:rsid w:val="007F5F25"/>
    <w:rsid w:val="007F6234"/>
    <w:rsid w:val="007F629E"/>
    <w:rsid w:val="007F63B2"/>
    <w:rsid w:val="007F66D9"/>
    <w:rsid w:val="007F77D8"/>
    <w:rsid w:val="0080065A"/>
    <w:rsid w:val="00800FD8"/>
    <w:rsid w:val="00802400"/>
    <w:rsid w:val="00803E45"/>
    <w:rsid w:val="00805A37"/>
    <w:rsid w:val="00806BDB"/>
    <w:rsid w:val="00810181"/>
    <w:rsid w:val="00810FA5"/>
    <w:rsid w:val="008125F5"/>
    <w:rsid w:val="008129AC"/>
    <w:rsid w:val="0081380C"/>
    <w:rsid w:val="0081411B"/>
    <w:rsid w:val="0081447B"/>
    <w:rsid w:val="008148DB"/>
    <w:rsid w:val="00814936"/>
    <w:rsid w:val="008149C4"/>
    <w:rsid w:val="00814B49"/>
    <w:rsid w:val="00816559"/>
    <w:rsid w:val="00816BD4"/>
    <w:rsid w:val="008200EF"/>
    <w:rsid w:val="00820524"/>
    <w:rsid w:val="008207CA"/>
    <w:rsid w:val="008209B7"/>
    <w:rsid w:val="00821482"/>
    <w:rsid w:val="00822244"/>
    <w:rsid w:val="00822412"/>
    <w:rsid w:val="008227B2"/>
    <w:rsid w:val="00822E59"/>
    <w:rsid w:val="00822FA5"/>
    <w:rsid w:val="00823C82"/>
    <w:rsid w:val="00823EED"/>
    <w:rsid w:val="0082464C"/>
    <w:rsid w:val="00824AF8"/>
    <w:rsid w:val="008253D8"/>
    <w:rsid w:val="00825BBB"/>
    <w:rsid w:val="0082601C"/>
    <w:rsid w:val="0082611F"/>
    <w:rsid w:val="008264BE"/>
    <w:rsid w:val="0082659B"/>
    <w:rsid w:val="008269CF"/>
    <w:rsid w:val="00827145"/>
    <w:rsid w:val="008272DD"/>
    <w:rsid w:val="00830756"/>
    <w:rsid w:val="0083120A"/>
    <w:rsid w:val="008314AE"/>
    <w:rsid w:val="008319C9"/>
    <w:rsid w:val="0083203F"/>
    <w:rsid w:val="0083246E"/>
    <w:rsid w:val="008324BF"/>
    <w:rsid w:val="008334A6"/>
    <w:rsid w:val="0083357C"/>
    <w:rsid w:val="00834050"/>
    <w:rsid w:val="008347D1"/>
    <w:rsid w:val="00834A03"/>
    <w:rsid w:val="00834B99"/>
    <w:rsid w:val="00836072"/>
    <w:rsid w:val="0083626D"/>
    <w:rsid w:val="008362A4"/>
    <w:rsid w:val="0083666D"/>
    <w:rsid w:val="00841129"/>
    <w:rsid w:val="00841209"/>
    <w:rsid w:val="00841ED5"/>
    <w:rsid w:val="00842182"/>
    <w:rsid w:val="00842AEC"/>
    <w:rsid w:val="00842DE4"/>
    <w:rsid w:val="00843CDB"/>
    <w:rsid w:val="00844CD1"/>
    <w:rsid w:val="0084532A"/>
    <w:rsid w:val="008506D7"/>
    <w:rsid w:val="00850C7D"/>
    <w:rsid w:val="008516F0"/>
    <w:rsid w:val="00851AD4"/>
    <w:rsid w:val="00851BF6"/>
    <w:rsid w:val="00851FD6"/>
    <w:rsid w:val="008529F1"/>
    <w:rsid w:val="008537F6"/>
    <w:rsid w:val="00854ADE"/>
    <w:rsid w:val="008555B2"/>
    <w:rsid w:val="00855E9B"/>
    <w:rsid w:val="00856503"/>
    <w:rsid w:val="0085766B"/>
    <w:rsid w:val="008578F7"/>
    <w:rsid w:val="00861617"/>
    <w:rsid w:val="0086289A"/>
    <w:rsid w:val="00862AA6"/>
    <w:rsid w:val="00862AFC"/>
    <w:rsid w:val="00864ACE"/>
    <w:rsid w:val="00865327"/>
    <w:rsid w:val="00865503"/>
    <w:rsid w:val="00865818"/>
    <w:rsid w:val="00865848"/>
    <w:rsid w:val="0086609D"/>
    <w:rsid w:val="0086610E"/>
    <w:rsid w:val="00866D1F"/>
    <w:rsid w:val="008676A7"/>
    <w:rsid w:val="008700EF"/>
    <w:rsid w:val="0087025A"/>
    <w:rsid w:val="008711DF"/>
    <w:rsid w:val="00871216"/>
    <w:rsid w:val="0087611E"/>
    <w:rsid w:val="00876953"/>
    <w:rsid w:val="0088043A"/>
    <w:rsid w:val="00881051"/>
    <w:rsid w:val="00881120"/>
    <w:rsid w:val="00881C8C"/>
    <w:rsid w:val="00884A40"/>
    <w:rsid w:val="008860E4"/>
    <w:rsid w:val="008874BB"/>
    <w:rsid w:val="00887699"/>
    <w:rsid w:val="00890751"/>
    <w:rsid w:val="00890C68"/>
    <w:rsid w:val="008915BD"/>
    <w:rsid w:val="00891D0E"/>
    <w:rsid w:val="0089206D"/>
    <w:rsid w:val="00892275"/>
    <w:rsid w:val="00892566"/>
    <w:rsid w:val="00892DF3"/>
    <w:rsid w:val="0089465A"/>
    <w:rsid w:val="00894B23"/>
    <w:rsid w:val="00896750"/>
    <w:rsid w:val="008A05AD"/>
    <w:rsid w:val="008A1198"/>
    <w:rsid w:val="008A16E4"/>
    <w:rsid w:val="008A1EE9"/>
    <w:rsid w:val="008A2323"/>
    <w:rsid w:val="008A2D46"/>
    <w:rsid w:val="008A39A0"/>
    <w:rsid w:val="008A3D7B"/>
    <w:rsid w:val="008A415F"/>
    <w:rsid w:val="008A4217"/>
    <w:rsid w:val="008A4B8B"/>
    <w:rsid w:val="008A4F22"/>
    <w:rsid w:val="008A507C"/>
    <w:rsid w:val="008A517A"/>
    <w:rsid w:val="008A51C1"/>
    <w:rsid w:val="008A6ECE"/>
    <w:rsid w:val="008A718F"/>
    <w:rsid w:val="008A7AED"/>
    <w:rsid w:val="008A7B78"/>
    <w:rsid w:val="008B0137"/>
    <w:rsid w:val="008B0B51"/>
    <w:rsid w:val="008B1359"/>
    <w:rsid w:val="008B138B"/>
    <w:rsid w:val="008B169D"/>
    <w:rsid w:val="008B17D2"/>
    <w:rsid w:val="008B1969"/>
    <w:rsid w:val="008B2A20"/>
    <w:rsid w:val="008B3436"/>
    <w:rsid w:val="008B3D78"/>
    <w:rsid w:val="008B3E50"/>
    <w:rsid w:val="008B5022"/>
    <w:rsid w:val="008B50B4"/>
    <w:rsid w:val="008B536A"/>
    <w:rsid w:val="008B5705"/>
    <w:rsid w:val="008B7FC9"/>
    <w:rsid w:val="008C07C7"/>
    <w:rsid w:val="008C0939"/>
    <w:rsid w:val="008C0D8D"/>
    <w:rsid w:val="008C13A2"/>
    <w:rsid w:val="008C1458"/>
    <w:rsid w:val="008C27FE"/>
    <w:rsid w:val="008C28E2"/>
    <w:rsid w:val="008C2BCE"/>
    <w:rsid w:val="008C2BF2"/>
    <w:rsid w:val="008C2C04"/>
    <w:rsid w:val="008C2E64"/>
    <w:rsid w:val="008C3966"/>
    <w:rsid w:val="008C466C"/>
    <w:rsid w:val="008C4B5B"/>
    <w:rsid w:val="008C521E"/>
    <w:rsid w:val="008D225C"/>
    <w:rsid w:val="008D2380"/>
    <w:rsid w:val="008D30F4"/>
    <w:rsid w:val="008D4207"/>
    <w:rsid w:val="008D4401"/>
    <w:rsid w:val="008D4B9B"/>
    <w:rsid w:val="008D5FB7"/>
    <w:rsid w:val="008D62BF"/>
    <w:rsid w:val="008D757C"/>
    <w:rsid w:val="008D7A07"/>
    <w:rsid w:val="008E0407"/>
    <w:rsid w:val="008E1BAD"/>
    <w:rsid w:val="008E1C26"/>
    <w:rsid w:val="008E1D61"/>
    <w:rsid w:val="008E1F32"/>
    <w:rsid w:val="008E2DD3"/>
    <w:rsid w:val="008E30CF"/>
    <w:rsid w:val="008E479E"/>
    <w:rsid w:val="008E5D31"/>
    <w:rsid w:val="008E5F6E"/>
    <w:rsid w:val="008E6554"/>
    <w:rsid w:val="008E77BA"/>
    <w:rsid w:val="008E7926"/>
    <w:rsid w:val="008E7978"/>
    <w:rsid w:val="008E7B2F"/>
    <w:rsid w:val="008F08E2"/>
    <w:rsid w:val="008F1499"/>
    <w:rsid w:val="008F1822"/>
    <w:rsid w:val="008F24F3"/>
    <w:rsid w:val="008F2BE3"/>
    <w:rsid w:val="008F347F"/>
    <w:rsid w:val="008F39A5"/>
    <w:rsid w:val="008F445B"/>
    <w:rsid w:val="008F4B1F"/>
    <w:rsid w:val="008F60C8"/>
    <w:rsid w:val="008F683C"/>
    <w:rsid w:val="008F74F9"/>
    <w:rsid w:val="008F7918"/>
    <w:rsid w:val="008F79BB"/>
    <w:rsid w:val="009003E8"/>
    <w:rsid w:val="0090108D"/>
    <w:rsid w:val="00901786"/>
    <w:rsid w:val="009018B4"/>
    <w:rsid w:val="00901E07"/>
    <w:rsid w:val="00902337"/>
    <w:rsid w:val="00902C92"/>
    <w:rsid w:val="0090324D"/>
    <w:rsid w:val="00903C0B"/>
    <w:rsid w:val="00903DD8"/>
    <w:rsid w:val="00903EC6"/>
    <w:rsid w:val="00904A13"/>
    <w:rsid w:val="00904FC0"/>
    <w:rsid w:val="00905A7C"/>
    <w:rsid w:val="009064A9"/>
    <w:rsid w:val="00906895"/>
    <w:rsid w:val="0090728F"/>
    <w:rsid w:val="009112A5"/>
    <w:rsid w:val="009118CD"/>
    <w:rsid w:val="009118EA"/>
    <w:rsid w:val="00911DC9"/>
    <w:rsid w:val="00911FE8"/>
    <w:rsid w:val="00912146"/>
    <w:rsid w:val="009131D0"/>
    <w:rsid w:val="0091349C"/>
    <w:rsid w:val="00913D83"/>
    <w:rsid w:val="009141CB"/>
    <w:rsid w:val="009142C4"/>
    <w:rsid w:val="009145A0"/>
    <w:rsid w:val="0091481F"/>
    <w:rsid w:val="00915D21"/>
    <w:rsid w:val="00916CBF"/>
    <w:rsid w:val="00916FAF"/>
    <w:rsid w:val="0091741E"/>
    <w:rsid w:val="00917D6C"/>
    <w:rsid w:val="00920FB9"/>
    <w:rsid w:val="0092103C"/>
    <w:rsid w:val="00921ADB"/>
    <w:rsid w:val="00921E82"/>
    <w:rsid w:val="009223EC"/>
    <w:rsid w:val="00922AB8"/>
    <w:rsid w:val="009230A8"/>
    <w:rsid w:val="009241CA"/>
    <w:rsid w:val="009245C5"/>
    <w:rsid w:val="00924F72"/>
    <w:rsid w:val="0092571C"/>
    <w:rsid w:val="009258CE"/>
    <w:rsid w:val="009260DF"/>
    <w:rsid w:val="0092637D"/>
    <w:rsid w:val="009277EB"/>
    <w:rsid w:val="00927A3D"/>
    <w:rsid w:val="0093026D"/>
    <w:rsid w:val="00930AAC"/>
    <w:rsid w:val="00930AD0"/>
    <w:rsid w:val="00931BB1"/>
    <w:rsid w:val="00932EF1"/>
    <w:rsid w:val="009346C6"/>
    <w:rsid w:val="00934E6A"/>
    <w:rsid w:val="0093609A"/>
    <w:rsid w:val="00940425"/>
    <w:rsid w:val="00940E85"/>
    <w:rsid w:val="00941ACA"/>
    <w:rsid w:val="00942594"/>
    <w:rsid w:val="00942BEE"/>
    <w:rsid w:val="00942EDD"/>
    <w:rsid w:val="00943746"/>
    <w:rsid w:val="009445AB"/>
    <w:rsid w:val="00944BF2"/>
    <w:rsid w:val="009503D3"/>
    <w:rsid w:val="00952124"/>
    <w:rsid w:val="00952828"/>
    <w:rsid w:val="00952BBC"/>
    <w:rsid w:val="009544AC"/>
    <w:rsid w:val="009549EA"/>
    <w:rsid w:val="00954D92"/>
    <w:rsid w:val="009554AA"/>
    <w:rsid w:val="009557BC"/>
    <w:rsid w:val="009561D6"/>
    <w:rsid w:val="0095642F"/>
    <w:rsid w:val="0095663E"/>
    <w:rsid w:val="00961F82"/>
    <w:rsid w:val="009622CA"/>
    <w:rsid w:val="009640C5"/>
    <w:rsid w:val="0096413A"/>
    <w:rsid w:val="00964575"/>
    <w:rsid w:val="009666E9"/>
    <w:rsid w:val="00966978"/>
    <w:rsid w:val="00966CEA"/>
    <w:rsid w:val="009671ED"/>
    <w:rsid w:val="0097038E"/>
    <w:rsid w:val="00970CDF"/>
    <w:rsid w:val="00970EF9"/>
    <w:rsid w:val="00971273"/>
    <w:rsid w:val="0097150B"/>
    <w:rsid w:val="00971FAD"/>
    <w:rsid w:val="00972C64"/>
    <w:rsid w:val="00972DD8"/>
    <w:rsid w:val="00973059"/>
    <w:rsid w:val="00973799"/>
    <w:rsid w:val="00974A77"/>
    <w:rsid w:val="00974FD0"/>
    <w:rsid w:val="00975360"/>
    <w:rsid w:val="00975429"/>
    <w:rsid w:val="009754C7"/>
    <w:rsid w:val="00975734"/>
    <w:rsid w:val="0097574D"/>
    <w:rsid w:val="00976BD6"/>
    <w:rsid w:val="00977C4D"/>
    <w:rsid w:val="00980413"/>
    <w:rsid w:val="0098139B"/>
    <w:rsid w:val="00981D5F"/>
    <w:rsid w:val="00981FCF"/>
    <w:rsid w:val="00982C7C"/>
    <w:rsid w:val="009835BE"/>
    <w:rsid w:val="009841BE"/>
    <w:rsid w:val="00984B2B"/>
    <w:rsid w:val="00984E09"/>
    <w:rsid w:val="00984EE8"/>
    <w:rsid w:val="00985A5D"/>
    <w:rsid w:val="00985FA9"/>
    <w:rsid w:val="009860B2"/>
    <w:rsid w:val="00986582"/>
    <w:rsid w:val="0098699A"/>
    <w:rsid w:val="00986FF5"/>
    <w:rsid w:val="0099062B"/>
    <w:rsid w:val="00991152"/>
    <w:rsid w:val="0099174B"/>
    <w:rsid w:val="00992547"/>
    <w:rsid w:val="00992C28"/>
    <w:rsid w:val="00993891"/>
    <w:rsid w:val="009942E6"/>
    <w:rsid w:val="00994555"/>
    <w:rsid w:val="009949A0"/>
    <w:rsid w:val="00995088"/>
    <w:rsid w:val="009960E9"/>
    <w:rsid w:val="009973BC"/>
    <w:rsid w:val="00997BF9"/>
    <w:rsid w:val="009A030D"/>
    <w:rsid w:val="009A0487"/>
    <w:rsid w:val="009A04CC"/>
    <w:rsid w:val="009A181E"/>
    <w:rsid w:val="009A1894"/>
    <w:rsid w:val="009A18B7"/>
    <w:rsid w:val="009A19E8"/>
    <w:rsid w:val="009A1A63"/>
    <w:rsid w:val="009A1DAC"/>
    <w:rsid w:val="009A2E60"/>
    <w:rsid w:val="009A379C"/>
    <w:rsid w:val="009A3DF3"/>
    <w:rsid w:val="009A41DA"/>
    <w:rsid w:val="009A5C15"/>
    <w:rsid w:val="009A5E1B"/>
    <w:rsid w:val="009A61D1"/>
    <w:rsid w:val="009A631F"/>
    <w:rsid w:val="009A683A"/>
    <w:rsid w:val="009A6B58"/>
    <w:rsid w:val="009A7649"/>
    <w:rsid w:val="009B2818"/>
    <w:rsid w:val="009B2F58"/>
    <w:rsid w:val="009B308F"/>
    <w:rsid w:val="009B33D5"/>
    <w:rsid w:val="009B3B45"/>
    <w:rsid w:val="009B49FC"/>
    <w:rsid w:val="009B6600"/>
    <w:rsid w:val="009B668C"/>
    <w:rsid w:val="009B6B72"/>
    <w:rsid w:val="009B6C2B"/>
    <w:rsid w:val="009B6F08"/>
    <w:rsid w:val="009B6FFC"/>
    <w:rsid w:val="009B7CDE"/>
    <w:rsid w:val="009C1527"/>
    <w:rsid w:val="009C184F"/>
    <w:rsid w:val="009C280A"/>
    <w:rsid w:val="009C32EC"/>
    <w:rsid w:val="009C3995"/>
    <w:rsid w:val="009C3A28"/>
    <w:rsid w:val="009C59A8"/>
    <w:rsid w:val="009C5B44"/>
    <w:rsid w:val="009C5D85"/>
    <w:rsid w:val="009C7567"/>
    <w:rsid w:val="009C780F"/>
    <w:rsid w:val="009D1E47"/>
    <w:rsid w:val="009D2337"/>
    <w:rsid w:val="009D29F9"/>
    <w:rsid w:val="009D3F62"/>
    <w:rsid w:val="009D47E3"/>
    <w:rsid w:val="009E05A5"/>
    <w:rsid w:val="009E0F5C"/>
    <w:rsid w:val="009E29A1"/>
    <w:rsid w:val="009E2F01"/>
    <w:rsid w:val="009E387A"/>
    <w:rsid w:val="009E4D19"/>
    <w:rsid w:val="009E4F8C"/>
    <w:rsid w:val="009E54E7"/>
    <w:rsid w:val="009E55A8"/>
    <w:rsid w:val="009E5C72"/>
    <w:rsid w:val="009E7A0B"/>
    <w:rsid w:val="009E7F9E"/>
    <w:rsid w:val="009F0280"/>
    <w:rsid w:val="009F220E"/>
    <w:rsid w:val="009F3029"/>
    <w:rsid w:val="009F31E9"/>
    <w:rsid w:val="009F4373"/>
    <w:rsid w:val="009F4E35"/>
    <w:rsid w:val="009F5244"/>
    <w:rsid w:val="009F55EB"/>
    <w:rsid w:val="009F5BBA"/>
    <w:rsid w:val="009F63BF"/>
    <w:rsid w:val="009F695C"/>
    <w:rsid w:val="009F6EA9"/>
    <w:rsid w:val="009F78F1"/>
    <w:rsid w:val="00A006ED"/>
    <w:rsid w:val="00A0094B"/>
    <w:rsid w:val="00A00E09"/>
    <w:rsid w:val="00A0197E"/>
    <w:rsid w:val="00A01B18"/>
    <w:rsid w:val="00A022FD"/>
    <w:rsid w:val="00A02640"/>
    <w:rsid w:val="00A027CF"/>
    <w:rsid w:val="00A028A0"/>
    <w:rsid w:val="00A04AC5"/>
    <w:rsid w:val="00A052F9"/>
    <w:rsid w:val="00A06009"/>
    <w:rsid w:val="00A075A6"/>
    <w:rsid w:val="00A075F0"/>
    <w:rsid w:val="00A07850"/>
    <w:rsid w:val="00A07A81"/>
    <w:rsid w:val="00A07B30"/>
    <w:rsid w:val="00A07B82"/>
    <w:rsid w:val="00A106F8"/>
    <w:rsid w:val="00A12A09"/>
    <w:rsid w:val="00A138DC"/>
    <w:rsid w:val="00A15106"/>
    <w:rsid w:val="00A15909"/>
    <w:rsid w:val="00A16839"/>
    <w:rsid w:val="00A1696E"/>
    <w:rsid w:val="00A16C6C"/>
    <w:rsid w:val="00A179CB"/>
    <w:rsid w:val="00A20B81"/>
    <w:rsid w:val="00A20E8B"/>
    <w:rsid w:val="00A2159D"/>
    <w:rsid w:val="00A21696"/>
    <w:rsid w:val="00A21C57"/>
    <w:rsid w:val="00A222BC"/>
    <w:rsid w:val="00A22C51"/>
    <w:rsid w:val="00A23502"/>
    <w:rsid w:val="00A23FB2"/>
    <w:rsid w:val="00A24DDF"/>
    <w:rsid w:val="00A24DEE"/>
    <w:rsid w:val="00A24E1F"/>
    <w:rsid w:val="00A26787"/>
    <w:rsid w:val="00A2694A"/>
    <w:rsid w:val="00A26C97"/>
    <w:rsid w:val="00A27F62"/>
    <w:rsid w:val="00A3173F"/>
    <w:rsid w:val="00A31ECB"/>
    <w:rsid w:val="00A321C1"/>
    <w:rsid w:val="00A32EB7"/>
    <w:rsid w:val="00A33092"/>
    <w:rsid w:val="00A33107"/>
    <w:rsid w:val="00A332EA"/>
    <w:rsid w:val="00A3517E"/>
    <w:rsid w:val="00A364C8"/>
    <w:rsid w:val="00A364F9"/>
    <w:rsid w:val="00A40848"/>
    <w:rsid w:val="00A40F8F"/>
    <w:rsid w:val="00A41025"/>
    <w:rsid w:val="00A41364"/>
    <w:rsid w:val="00A42BC6"/>
    <w:rsid w:val="00A42C36"/>
    <w:rsid w:val="00A42F67"/>
    <w:rsid w:val="00A43773"/>
    <w:rsid w:val="00A43A85"/>
    <w:rsid w:val="00A45016"/>
    <w:rsid w:val="00A45BC4"/>
    <w:rsid w:val="00A460F3"/>
    <w:rsid w:val="00A476E7"/>
    <w:rsid w:val="00A47823"/>
    <w:rsid w:val="00A50007"/>
    <w:rsid w:val="00A5015E"/>
    <w:rsid w:val="00A51773"/>
    <w:rsid w:val="00A519A0"/>
    <w:rsid w:val="00A523B9"/>
    <w:rsid w:val="00A52A17"/>
    <w:rsid w:val="00A52A2E"/>
    <w:rsid w:val="00A54869"/>
    <w:rsid w:val="00A5626C"/>
    <w:rsid w:val="00A563D8"/>
    <w:rsid w:val="00A56F86"/>
    <w:rsid w:val="00A57034"/>
    <w:rsid w:val="00A57B2F"/>
    <w:rsid w:val="00A6071C"/>
    <w:rsid w:val="00A619F4"/>
    <w:rsid w:val="00A639FB"/>
    <w:rsid w:val="00A63E15"/>
    <w:rsid w:val="00A6451C"/>
    <w:rsid w:val="00A64A81"/>
    <w:rsid w:val="00A64E50"/>
    <w:rsid w:val="00A65573"/>
    <w:rsid w:val="00A661BC"/>
    <w:rsid w:val="00A67113"/>
    <w:rsid w:val="00A67BA8"/>
    <w:rsid w:val="00A71078"/>
    <w:rsid w:val="00A739B1"/>
    <w:rsid w:val="00A740DF"/>
    <w:rsid w:val="00A74B31"/>
    <w:rsid w:val="00A75B50"/>
    <w:rsid w:val="00A75D46"/>
    <w:rsid w:val="00A77093"/>
    <w:rsid w:val="00A77580"/>
    <w:rsid w:val="00A8008E"/>
    <w:rsid w:val="00A80154"/>
    <w:rsid w:val="00A80590"/>
    <w:rsid w:val="00A80F32"/>
    <w:rsid w:val="00A80FBB"/>
    <w:rsid w:val="00A814C0"/>
    <w:rsid w:val="00A81AA9"/>
    <w:rsid w:val="00A81C47"/>
    <w:rsid w:val="00A81DDD"/>
    <w:rsid w:val="00A82147"/>
    <w:rsid w:val="00A825A4"/>
    <w:rsid w:val="00A82BAC"/>
    <w:rsid w:val="00A82C68"/>
    <w:rsid w:val="00A82DFC"/>
    <w:rsid w:val="00A8320C"/>
    <w:rsid w:val="00A8350E"/>
    <w:rsid w:val="00A841EC"/>
    <w:rsid w:val="00A848E8"/>
    <w:rsid w:val="00A850BA"/>
    <w:rsid w:val="00A85A15"/>
    <w:rsid w:val="00A871B3"/>
    <w:rsid w:val="00A8774A"/>
    <w:rsid w:val="00A906D3"/>
    <w:rsid w:val="00A90D8F"/>
    <w:rsid w:val="00A91003"/>
    <w:rsid w:val="00A92BA0"/>
    <w:rsid w:val="00A93DB2"/>
    <w:rsid w:val="00A940CD"/>
    <w:rsid w:val="00A9434B"/>
    <w:rsid w:val="00A94B01"/>
    <w:rsid w:val="00A94DD5"/>
    <w:rsid w:val="00A95602"/>
    <w:rsid w:val="00A96AD5"/>
    <w:rsid w:val="00A97BF6"/>
    <w:rsid w:val="00AA0AC0"/>
    <w:rsid w:val="00AA0B13"/>
    <w:rsid w:val="00AA1610"/>
    <w:rsid w:val="00AA1B3B"/>
    <w:rsid w:val="00AA298D"/>
    <w:rsid w:val="00AA43C3"/>
    <w:rsid w:val="00AA5258"/>
    <w:rsid w:val="00AA5DD3"/>
    <w:rsid w:val="00AA672C"/>
    <w:rsid w:val="00AA68C4"/>
    <w:rsid w:val="00AA6F79"/>
    <w:rsid w:val="00AA735E"/>
    <w:rsid w:val="00AA7ABC"/>
    <w:rsid w:val="00AA7B8B"/>
    <w:rsid w:val="00AA7B91"/>
    <w:rsid w:val="00AB037B"/>
    <w:rsid w:val="00AB064B"/>
    <w:rsid w:val="00AB26C8"/>
    <w:rsid w:val="00AB2826"/>
    <w:rsid w:val="00AB3AAF"/>
    <w:rsid w:val="00AB4987"/>
    <w:rsid w:val="00AB4D2E"/>
    <w:rsid w:val="00AB5027"/>
    <w:rsid w:val="00AB5BD5"/>
    <w:rsid w:val="00AB635B"/>
    <w:rsid w:val="00AB664A"/>
    <w:rsid w:val="00AB6678"/>
    <w:rsid w:val="00AB6B2F"/>
    <w:rsid w:val="00AB7D5A"/>
    <w:rsid w:val="00AC0DFA"/>
    <w:rsid w:val="00AC15DD"/>
    <w:rsid w:val="00AC16E9"/>
    <w:rsid w:val="00AC17DB"/>
    <w:rsid w:val="00AC25CA"/>
    <w:rsid w:val="00AC28DA"/>
    <w:rsid w:val="00AC4B1C"/>
    <w:rsid w:val="00AC547B"/>
    <w:rsid w:val="00AC5D21"/>
    <w:rsid w:val="00AC5E50"/>
    <w:rsid w:val="00AC67BB"/>
    <w:rsid w:val="00AC70A1"/>
    <w:rsid w:val="00AC7362"/>
    <w:rsid w:val="00AC7CE4"/>
    <w:rsid w:val="00AD23ED"/>
    <w:rsid w:val="00AD385F"/>
    <w:rsid w:val="00AD3B35"/>
    <w:rsid w:val="00AD4B20"/>
    <w:rsid w:val="00AD51D3"/>
    <w:rsid w:val="00AD5A75"/>
    <w:rsid w:val="00AD5FAF"/>
    <w:rsid w:val="00AE023A"/>
    <w:rsid w:val="00AE0D72"/>
    <w:rsid w:val="00AE0DA9"/>
    <w:rsid w:val="00AE50E1"/>
    <w:rsid w:val="00AE622A"/>
    <w:rsid w:val="00AE73F5"/>
    <w:rsid w:val="00AE7910"/>
    <w:rsid w:val="00AE7B8B"/>
    <w:rsid w:val="00AF07D9"/>
    <w:rsid w:val="00AF0BB2"/>
    <w:rsid w:val="00AF15F2"/>
    <w:rsid w:val="00AF1773"/>
    <w:rsid w:val="00AF1787"/>
    <w:rsid w:val="00AF1BE0"/>
    <w:rsid w:val="00AF1D8B"/>
    <w:rsid w:val="00AF1DB2"/>
    <w:rsid w:val="00AF27F4"/>
    <w:rsid w:val="00AF482A"/>
    <w:rsid w:val="00AF5EB8"/>
    <w:rsid w:val="00AF5FF7"/>
    <w:rsid w:val="00AF67D5"/>
    <w:rsid w:val="00AF68EE"/>
    <w:rsid w:val="00AF7A0F"/>
    <w:rsid w:val="00B0017C"/>
    <w:rsid w:val="00B00D3E"/>
    <w:rsid w:val="00B0196D"/>
    <w:rsid w:val="00B01BE1"/>
    <w:rsid w:val="00B0334F"/>
    <w:rsid w:val="00B03523"/>
    <w:rsid w:val="00B03587"/>
    <w:rsid w:val="00B03BEE"/>
    <w:rsid w:val="00B03EBA"/>
    <w:rsid w:val="00B043CD"/>
    <w:rsid w:val="00B05143"/>
    <w:rsid w:val="00B059F6"/>
    <w:rsid w:val="00B0644E"/>
    <w:rsid w:val="00B06A4A"/>
    <w:rsid w:val="00B074F1"/>
    <w:rsid w:val="00B11A3F"/>
    <w:rsid w:val="00B129D9"/>
    <w:rsid w:val="00B12B97"/>
    <w:rsid w:val="00B12C02"/>
    <w:rsid w:val="00B1314B"/>
    <w:rsid w:val="00B13780"/>
    <w:rsid w:val="00B13807"/>
    <w:rsid w:val="00B13A14"/>
    <w:rsid w:val="00B13C5F"/>
    <w:rsid w:val="00B141D4"/>
    <w:rsid w:val="00B14F80"/>
    <w:rsid w:val="00B152DF"/>
    <w:rsid w:val="00B153CF"/>
    <w:rsid w:val="00B1634A"/>
    <w:rsid w:val="00B16DBD"/>
    <w:rsid w:val="00B17E60"/>
    <w:rsid w:val="00B209AB"/>
    <w:rsid w:val="00B20B6C"/>
    <w:rsid w:val="00B20F85"/>
    <w:rsid w:val="00B21F1C"/>
    <w:rsid w:val="00B224CD"/>
    <w:rsid w:val="00B22D52"/>
    <w:rsid w:val="00B248AD"/>
    <w:rsid w:val="00B24A14"/>
    <w:rsid w:val="00B24E64"/>
    <w:rsid w:val="00B24FEC"/>
    <w:rsid w:val="00B253E1"/>
    <w:rsid w:val="00B25E4F"/>
    <w:rsid w:val="00B261F0"/>
    <w:rsid w:val="00B26394"/>
    <w:rsid w:val="00B26650"/>
    <w:rsid w:val="00B26C8E"/>
    <w:rsid w:val="00B26DAC"/>
    <w:rsid w:val="00B270FE"/>
    <w:rsid w:val="00B277E9"/>
    <w:rsid w:val="00B27C75"/>
    <w:rsid w:val="00B30D2C"/>
    <w:rsid w:val="00B3212D"/>
    <w:rsid w:val="00B331ED"/>
    <w:rsid w:val="00B34407"/>
    <w:rsid w:val="00B3464E"/>
    <w:rsid w:val="00B34DEC"/>
    <w:rsid w:val="00B36426"/>
    <w:rsid w:val="00B40615"/>
    <w:rsid w:val="00B410E0"/>
    <w:rsid w:val="00B41819"/>
    <w:rsid w:val="00B41E26"/>
    <w:rsid w:val="00B425D6"/>
    <w:rsid w:val="00B42D2C"/>
    <w:rsid w:val="00B430A8"/>
    <w:rsid w:val="00B43419"/>
    <w:rsid w:val="00B43803"/>
    <w:rsid w:val="00B44118"/>
    <w:rsid w:val="00B441E5"/>
    <w:rsid w:val="00B4478D"/>
    <w:rsid w:val="00B44CF4"/>
    <w:rsid w:val="00B45327"/>
    <w:rsid w:val="00B46374"/>
    <w:rsid w:val="00B46839"/>
    <w:rsid w:val="00B468A0"/>
    <w:rsid w:val="00B47280"/>
    <w:rsid w:val="00B4773D"/>
    <w:rsid w:val="00B47EC7"/>
    <w:rsid w:val="00B47F2B"/>
    <w:rsid w:val="00B47F6A"/>
    <w:rsid w:val="00B501CB"/>
    <w:rsid w:val="00B5127C"/>
    <w:rsid w:val="00B534D7"/>
    <w:rsid w:val="00B5441B"/>
    <w:rsid w:val="00B5461D"/>
    <w:rsid w:val="00B55057"/>
    <w:rsid w:val="00B5551F"/>
    <w:rsid w:val="00B5583D"/>
    <w:rsid w:val="00B55EBB"/>
    <w:rsid w:val="00B560A3"/>
    <w:rsid w:val="00B574B0"/>
    <w:rsid w:val="00B57E3A"/>
    <w:rsid w:val="00B57FA5"/>
    <w:rsid w:val="00B61B9B"/>
    <w:rsid w:val="00B61E54"/>
    <w:rsid w:val="00B62975"/>
    <w:rsid w:val="00B63502"/>
    <w:rsid w:val="00B6391A"/>
    <w:rsid w:val="00B63AB6"/>
    <w:rsid w:val="00B65EEF"/>
    <w:rsid w:val="00B670C7"/>
    <w:rsid w:val="00B672D2"/>
    <w:rsid w:val="00B67A46"/>
    <w:rsid w:val="00B67F0D"/>
    <w:rsid w:val="00B72048"/>
    <w:rsid w:val="00B72209"/>
    <w:rsid w:val="00B72A29"/>
    <w:rsid w:val="00B72A70"/>
    <w:rsid w:val="00B72B25"/>
    <w:rsid w:val="00B72C9C"/>
    <w:rsid w:val="00B73EA6"/>
    <w:rsid w:val="00B74132"/>
    <w:rsid w:val="00B7425B"/>
    <w:rsid w:val="00B752C1"/>
    <w:rsid w:val="00B75D72"/>
    <w:rsid w:val="00B76331"/>
    <w:rsid w:val="00B7749D"/>
    <w:rsid w:val="00B77960"/>
    <w:rsid w:val="00B8175D"/>
    <w:rsid w:val="00B81E6E"/>
    <w:rsid w:val="00B8277C"/>
    <w:rsid w:val="00B82935"/>
    <w:rsid w:val="00B84A93"/>
    <w:rsid w:val="00B852A0"/>
    <w:rsid w:val="00B85B1A"/>
    <w:rsid w:val="00B8620A"/>
    <w:rsid w:val="00B865D1"/>
    <w:rsid w:val="00B90116"/>
    <w:rsid w:val="00B905E2"/>
    <w:rsid w:val="00B90B3F"/>
    <w:rsid w:val="00B91BA0"/>
    <w:rsid w:val="00B93791"/>
    <w:rsid w:val="00B9434C"/>
    <w:rsid w:val="00B94F46"/>
    <w:rsid w:val="00B9560A"/>
    <w:rsid w:val="00B957A0"/>
    <w:rsid w:val="00B9599E"/>
    <w:rsid w:val="00B95FEB"/>
    <w:rsid w:val="00B970D5"/>
    <w:rsid w:val="00B9721C"/>
    <w:rsid w:val="00B9778D"/>
    <w:rsid w:val="00B97B6A"/>
    <w:rsid w:val="00BA06FE"/>
    <w:rsid w:val="00BA0E85"/>
    <w:rsid w:val="00BA1A3A"/>
    <w:rsid w:val="00BA1CF4"/>
    <w:rsid w:val="00BA21A2"/>
    <w:rsid w:val="00BA237C"/>
    <w:rsid w:val="00BA29F9"/>
    <w:rsid w:val="00BA3672"/>
    <w:rsid w:val="00BA39FD"/>
    <w:rsid w:val="00BA3AD4"/>
    <w:rsid w:val="00BA40D3"/>
    <w:rsid w:val="00BA4BD0"/>
    <w:rsid w:val="00BA5B96"/>
    <w:rsid w:val="00BA5D87"/>
    <w:rsid w:val="00BA63E1"/>
    <w:rsid w:val="00BB182F"/>
    <w:rsid w:val="00BB1A17"/>
    <w:rsid w:val="00BB39B0"/>
    <w:rsid w:val="00BB3CF1"/>
    <w:rsid w:val="00BB3F72"/>
    <w:rsid w:val="00BB4156"/>
    <w:rsid w:val="00BB4588"/>
    <w:rsid w:val="00BB50E5"/>
    <w:rsid w:val="00BB5E66"/>
    <w:rsid w:val="00BB5F44"/>
    <w:rsid w:val="00BB678C"/>
    <w:rsid w:val="00BB6BE8"/>
    <w:rsid w:val="00BB6DB2"/>
    <w:rsid w:val="00BB73B2"/>
    <w:rsid w:val="00BC07EF"/>
    <w:rsid w:val="00BC09DA"/>
    <w:rsid w:val="00BC0E12"/>
    <w:rsid w:val="00BC1253"/>
    <w:rsid w:val="00BC219E"/>
    <w:rsid w:val="00BC2CCF"/>
    <w:rsid w:val="00BC32BA"/>
    <w:rsid w:val="00BC4ACE"/>
    <w:rsid w:val="00BC51DB"/>
    <w:rsid w:val="00BC5929"/>
    <w:rsid w:val="00BC5AB0"/>
    <w:rsid w:val="00BC6840"/>
    <w:rsid w:val="00BC7A0C"/>
    <w:rsid w:val="00BD1142"/>
    <w:rsid w:val="00BD12A1"/>
    <w:rsid w:val="00BD14CE"/>
    <w:rsid w:val="00BD18F7"/>
    <w:rsid w:val="00BD244C"/>
    <w:rsid w:val="00BD45C8"/>
    <w:rsid w:val="00BD4879"/>
    <w:rsid w:val="00BD493E"/>
    <w:rsid w:val="00BD5A1C"/>
    <w:rsid w:val="00BD6B85"/>
    <w:rsid w:val="00BD6E00"/>
    <w:rsid w:val="00BD78AD"/>
    <w:rsid w:val="00BD7F65"/>
    <w:rsid w:val="00BE00F3"/>
    <w:rsid w:val="00BE034D"/>
    <w:rsid w:val="00BE163D"/>
    <w:rsid w:val="00BE16B9"/>
    <w:rsid w:val="00BE2036"/>
    <w:rsid w:val="00BE2A49"/>
    <w:rsid w:val="00BE5197"/>
    <w:rsid w:val="00BE59A8"/>
    <w:rsid w:val="00BE6432"/>
    <w:rsid w:val="00BE6743"/>
    <w:rsid w:val="00BF0203"/>
    <w:rsid w:val="00BF056A"/>
    <w:rsid w:val="00BF062A"/>
    <w:rsid w:val="00BF0F75"/>
    <w:rsid w:val="00BF1C83"/>
    <w:rsid w:val="00BF22FC"/>
    <w:rsid w:val="00BF2F94"/>
    <w:rsid w:val="00BF3346"/>
    <w:rsid w:val="00BF36C9"/>
    <w:rsid w:val="00BF3871"/>
    <w:rsid w:val="00BF39F5"/>
    <w:rsid w:val="00BF3DAD"/>
    <w:rsid w:val="00BF4226"/>
    <w:rsid w:val="00BF422C"/>
    <w:rsid w:val="00BF5373"/>
    <w:rsid w:val="00BF5512"/>
    <w:rsid w:val="00BF55F1"/>
    <w:rsid w:val="00BF5EA5"/>
    <w:rsid w:val="00BF6D88"/>
    <w:rsid w:val="00BF7938"/>
    <w:rsid w:val="00BF7E8C"/>
    <w:rsid w:val="00C0099D"/>
    <w:rsid w:val="00C01B67"/>
    <w:rsid w:val="00C01B7D"/>
    <w:rsid w:val="00C01BA3"/>
    <w:rsid w:val="00C0238E"/>
    <w:rsid w:val="00C027DB"/>
    <w:rsid w:val="00C03E37"/>
    <w:rsid w:val="00C042D7"/>
    <w:rsid w:val="00C04489"/>
    <w:rsid w:val="00C04B40"/>
    <w:rsid w:val="00C06A4B"/>
    <w:rsid w:val="00C1114F"/>
    <w:rsid w:val="00C112DF"/>
    <w:rsid w:val="00C1216A"/>
    <w:rsid w:val="00C128E4"/>
    <w:rsid w:val="00C1310A"/>
    <w:rsid w:val="00C1403C"/>
    <w:rsid w:val="00C1453E"/>
    <w:rsid w:val="00C1692A"/>
    <w:rsid w:val="00C16BA5"/>
    <w:rsid w:val="00C16C66"/>
    <w:rsid w:val="00C16D04"/>
    <w:rsid w:val="00C175EB"/>
    <w:rsid w:val="00C179AA"/>
    <w:rsid w:val="00C17F34"/>
    <w:rsid w:val="00C20A7B"/>
    <w:rsid w:val="00C213B1"/>
    <w:rsid w:val="00C217CC"/>
    <w:rsid w:val="00C232B6"/>
    <w:rsid w:val="00C252CA"/>
    <w:rsid w:val="00C2664A"/>
    <w:rsid w:val="00C26D7A"/>
    <w:rsid w:val="00C26F29"/>
    <w:rsid w:val="00C2706D"/>
    <w:rsid w:val="00C27BED"/>
    <w:rsid w:val="00C27EEC"/>
    <w:rsid w:val="00C3049A"/>
    <w:rsid w:val="00C32312"/>
    <w:rsid w:val="00C3254E"/>
    <w:rsid w:val="00C3286F"/>
    <w:rsid w:val="00C34F4F"/>
    <w:rsid w:val="00C35631"/>
    <w:rsid w:val="00C35D18"/>
    <w:rsid w:val="00C369C0"/>
    <w:rsid w:val="00C36AA4"/>
    <w:rsid w:val="00C36FCE"/>
    <w:rsid w:val="00C3745C"/>
    <w:rsid w:val="00C3778A"/>
    <w:rsid w:val="00C379E8"/>
    <w:rsid w:val="00C4062A"/>
    <w:rsid w:val="00C420DE"/>
    <w:rsid w:val="00C4252F"/>
    <w:rsid w:val="00C42D13"/>
    <w:rsid w:val="00C42D33"/>
    <w:rsid w:val="00C43796"/>
    <w:rsid w:val="00C43B0D"/>
    <w:rsid w:val="00C43C21"/>
    <w:rsid w:val="00C449A4"/>
    <w:rsid w:val="00C46574"/>
    <w:rsid w:val="00C47FA7"/>
    <w:rsid w:val="00C5045F"/>
    <w:rsid w:val="00C526AD"/>
    <w:rsid w:val="00C532C1"/>
    <w:rsid w:val="00C5357A"/>
    <w:rsid w:val="00C54100"/>
    <w:rsid w:val="00C542BD"/>
    <w:rsid w:val="00C54FE7"/>
    <w:rsid w:val="00C55EB0"/>
    <w:rsid w:val="00C56F43"/>
    <w:rsid w:val="00C6039B"/>
    <w:rsid w:val="00C60B88"/>
    <w:rsid w:val="00C60E2E"/>
    <w:rsid w:val="00C63C23"/>
    <w:rsid w:val="00C64031"/>
    <w:rsid w:val="00C64B7C"/>
    <w:rsid w:val="00C659AA"/>
    <w:rsid w:val="00C66286"/>
    <w:rsid w:val="00C6675F"/>
    <w:rsid w:val="00C67788"/>
    <w:rsid w:val="00C70425"/>
    <w:rsid w:val="00C71C82"/>
    <w:rsid w:val="00C7378B"/>
    <w:rsid w:val="00C73A07"/>
    <w:rsid w:val="00C74FC8"/>
    <w:rsid w:val="00C750A5"/>
    <w:rsid w:val="00C76312"/>
    <w:rsid w:val="00C76A6C"/>
    <w:rsid w:val="00C76E02"/>
    <w:rsid w:val="00C77169"/>
    <w:rsid w:val="00C80B50"/>
    <w:rsid w:val="00C81ADA"/>
    <w:rsid w:val="00C8243A"/>
    <w:rsid w:val="00C82619"/>
    <w:rsid w:val="00C8326D"/>
    <w:rsid w:val="00C83295"/>
    <w:rsid w:val="00C83B8E"/>
    <w:rsid w:val="00C83C18"/>
    <w:rsid w:val="00C8461E"/>
    <w:rsid w:val="00C85134"/>
    <w:rsid w:val="00C86C03"/>
    <w:rsid w:val="00C86F29"/>
    <w:rsid w:val="00C9031A"/>
    <w:rsid w:val="00C913D3"/>
    <w:rsid w:val="00C92079"/>
    <w:rsid w:val="00C93514"/>
    <w:rsid w:val="00C9427F"/>
    <w:rsid w:val="00C94CF2"/>
    <w:rsid w:val="00C94D61"/>
    <w:rsid w:val="00C9591F"/>
    <w:rsid w:val="00C96424"/>
    <w:rsid w:val="00CA02ED"/>
    <w:rsid w:val="00CA33D5"/>
    <w:rsid w:val="00CA3EA2"/>
    <w:rsid w:val="00CA3FF2"/>
    <w:rsid w:val="00CA4701"/>
    <w:rsid w:val="00CA498F"/>
    <w:rsid w:val="00CA4A4F"/>
    <w:rsid w:val="00CA4D73"/>
    <w:rsid w:val="00CA5E6F"/>
    <w:rsid w:val="00CA6EB2"/>
    <w:rsid w:val="00CB00F9"/>
    <w:rsid w:val="00CB0703"/>
    <w:rsid w:val="00CB0EF3"/>
    <w:rsid w:val="00CB1134"/>
    <w:rsid w:val="00CB16FF"/>
    <w:rsid w:val="00CB1AB4"/>
    <w:rsid w:val="00CB2B54"/>
    <w:rsid w:val="00CB2C8A"/>
    <w:rsid w:val="00CB405F"/>
    <w:rsid w:val="00CB42C7"/>
    <w:rsid w:val="00CB5147"/>
    <w:rsid w:val="00CB64DC"/>
    <w:rsid w:val="00CB6798"/>
    <w:rsid w:val="00CB7D28"/>
    <w:rsid w:val="00CB7D49"/>
    <w:rsid w:val="00CB7E78"/>
    <w:rsid w:val="00CC0D99"/>
    <w:rsid w:val="00CC16C2"/>
    <w:rsid w:val="00CC2459"/>
    <w:rsid w:val="00CC32E2"/>
    <w:rsid w:val="00CC3B7C"/>
    <w:rsid w:val="00CC4801"/>
    <w:rsid w:val="00CC52E1"/>
    <w:rsid w:val="00CC5EF3"/>
    <w:rsid w:val="00CC66D2"/>
    <w:rsid w:val="00CC77DD"/>
    <w:rsid w:val="00CC7E26"/>
    <w:rsid w:val="00CD00AA"/>
    <w:rsid w:val="00CD05AF"/>
    <w:rsid w:val="00CD07D3"/>
    <w:rsid w:val="00CD0ACA"/>
    <w:rsid w:val="00CD1480"/>
    <w:rsid w:val="00CD24F2"/>
    <w:rsid w:val="00CD2512"/>
    <w:rsid w:val="00CD2887"/>
    <w:rsid w:val="00CD2BA9"/>
    <w:rsid w:val="00CD33B9"/>
    <w:rsid w:val="00CD400B"/>
    <w:rsid w:val="00CD481C"/>
    <w:rsid w:val="00CD495B"/>
    <w:rsid w:val="00CD4C8C"/>
    <w:rsid w:val="00CD6456"/>
    <w:rsid w:val="00CD7122"/>
    <w:rsid w:val="00CD7214"/>
    <w:rsid w:val="00CD798F"/>
    <w:rsid w:val="00CD7B2B"/>
    <w:rsid w:val="00CE0F0E"/>
    <w:rsid w:val="00CE118A"/>
    <w:rsid w:val="00CE20C0"/>
    <w:rsid w:val="00CE2425"/>
    <w:rsid w:val="00CE5253"/>
    <w:rsid w:val="00CE5333"/>
    <w:rsid w:val="00CE565F"/>
    <w:rsid w:val="00CE573E"/>
    <w:rsid w:val="00CE5FD7"/>
    <w:rsid w:val="00CE6402"/>
    <w:rsid w:val="00CE6407"/>
    <w:rsid w:val="00CE67CA"/>
    <w:rsid w:val="00CE6992"/>
    <w:rsid w:val="00CE735E"/>
    <w:rsid w:val="00CE76C7"/>
    <w:rsid w:val="00CE7800"/>
    <w:rsid w:val="00CE79B2"/>
    <w:rsid w:val="00CF2D34"/>
    <w:rsid w:val="00CF2E2E"/>
    <w:rsid w:val="00CF4C27"/>
    <w:rsid w:val="00CF5AED"/>
    <w:rsid w:val="00CF5E88"/>
    <w:rsid w:val="00CF5ECB"/>
    <w:rsid w:val="00CF6999"/>
    <w:rsid w:val="00CF6EF4"/>
    <w:rsid w:val="00CF7DBB"/>
    <w:rsid w:val="00D00286"/>
    <w:rsid w:val="00D00445"/>
    <w:rsid w:val="00D00EF8"/>
    <w:rsid w:val="00D01B54"/>
    <w:rsid w:val="00D02121"/>
    <w:rsid w:val="00D0228B"/>
    <w:rsid w:val="00D02DB6"/>
    <w:rsid w:val="00D044D7"/>
    <w:rsid w:val="00D049AE"/>
    <w:rsid w:val="00D05C8A"/>
    <w:rsid w:val="00D06112"/>
    <w:rsid w:val="00D06443"/>
    <w:rsid w:val="00D06C45"/>
    <w:rsid w:val="00D07660"/>
    <w:rsid w:val="00D11692"/>
    <w:rsid w:val="00D11EB0"/>
    <w:rsid w:val="00D14EBD"/>
    <w:rsid w:val="00D15330"/>
    <w:rsid w:val="00D15FDB"/>
    <w:rsid w:val="00D160CA"/>
    <w:rsid w:val="00D17809"/>
    <w:rsid w:val="00D2013F"/>
    <w:rsid w:val="00D204B0"/>
    <w:rsid w:val="00D2100F"/>
    <w:rsid w:val="00D21C00"/>
    <w:rsid w:val="00D21D10"/>
    <w:rsid w:val="00D22164"/>
    <w:rsid w:val="00D22EBD"/>
    <w:rsid w:val="00D233B6"/>
    <w:rsid w:val="00D23668"/>
    <w:rsid w:val="00D23750"/>
    <w:rsid w:val="00D2388A"/>
    <w:rsid w:val="00D26C76"/>
    <w:rsid w:val="00D27D9A"/>
    <w:rsid w:val="00D301DA"/>
    <w:rsid w:val="00D305A0"/>
    <w:rsid w:val="00D30770"/>
    <w:rsid w:val="00D307AF"/>
    <w:rsid w:val="00D31001"/>
    <w:rsid w:val="00D31AF0"/>
    <w:rsid w:val="00D31CDA"/>
    <w:rsid w:val="00D31DAA"/>
    <w:rsid w:val="00D31ED0"/>
    <w:rsid w:val="00D321AB"/>
    <w:rsid w:val="00D323D6"/>
    <w:rsid w:val="00D323FA"/>
    <w:rsid w:val="00D32406"/>
    <w:rsid w:val="00D3318D"/>
    <w:rsid w:val="00D33548"/>
    <w:rsid w:val="00D335CC"/>
    <w:rsid w:val="00D33862"/>
    <w:rsid w:val="00D34720"/>
    <w:rsid w:val="00D352A2"/>
    <w:rsid w:val="00D35325"/>
    <w:rsid w:val="00D36098"/>
    <w:rsid w:val="00D40232"/>
    <w:rsid w:val="00D40283"/>
    <w:rsid w:val="00D402D5"/>
    <w:rsid w:val="00D409C1"/>
    <w:rsid w:val="00D4194F"/>
    <w:rsid w:val="00D420E4"/>
    <w:rsid w:val="00D438DF"/>
    <w:rsid w:val="00D46197"/>
    <w:rsid w:val="00D461D0"/>
    <w:rsid w:val="00D467AB"/>
    <w:rsid w:val="00D46DFC"/>
    <w:rsid w:val="00D478C3"/>
    <w:rsid w:val="00D51488"/>
    <w:rsid w:val="00D51633"/>
    <w:rsid w:val="00D52619"/>
    <w:rsid w:val="00D530FB"/>
    <w:rsid w:val="00D54B4E"/>
    <w:rsid w:val="00D54F29"/>
    <w:rsid w:val="00D5640D"/>
    <w:rsid w:val="00D564F9"/>
    <w:rsid w:val="00D566D0"/>
    <w:rsid w:val="00D56EC2"/>
    <w:rsid w:val="00D571BD"/>
    <w:rsid w:val="00D60E60"/>
    <w:rsid w:val="00D60F39"/>
    <w:rsid w:val="00D635F4"/>
    <w:rsid w:val="00D63A55"/>
    <w:rsid w:val="00D63AC6"/>
    <w:rsid w:val="00D63C5D"/>
    <w:rsid w:val="00D6458B"/>
    <w:rsid w:val="00D65309"/>
    <w:rsid w:val="00D65384"/>
    <w:rsid w:val="00D65A22"/>
    <w:rsid w:val="00D65BE5"/>
    <w:rsid w:val="00D65D5C"/>
    <w:rsid w:val="00D65E45"/>
    <w:rsid w:val="00D6600A"/>
    <w:rsid w:val="00D6651F"/>
    <w:rsid w:val="00D67483"/>
    <w:rsid w:val="00D6792D"/>
    <w:rsid w:val="00D67DED"/>
    <w:rsid w:val="00D70EB8"/>
    <w:rsid w:val="00D72003"/>
    <w:rsid w:val="00D730E2"/>
    <w:rsid w:val="00D73B7F"/>
    <w:rsid w:val="00D7473E"/>
    <w:rsid w:val="00D75687"/>
    <w:rsid w:val="00D75807"/>
    <w:rsid w:val="00D75889"/>
    <w:rsid w:val="00D75B66"/>
    <w:rsid w:val="00D75E02"/>
    <w:rsid w:val="00D7720E"/>
    <w:rsid w:val="00D77ED2"/>
    <w:rsid w:val="00D8019C"/>
    <w:rsid w:val="00D80E82"/>
    <w:rsid w:val="00D80F70"/>
    <w:rsid w:val="00D81371"/>
    <w:rsid w:val="00D814EC"/>
    <w:rsid w:val="00D81B2C"/>
    <w:rsid w:val="00D81E0A"/>
    <w:rsid w:val="00D8357F"/>
    <w:rsid w:val="00D846A6"/>
    <w:rsid w:val="00D84A62"/>
    <w:rsid w:val="00D84ED7"/>
    <w:rsid w:val="00D85500"/>
    <w:rsid w:val="00D859AC"/>
    <w:rsid w:val="00D86350"/>
    <w:rsid w:val="00D86D07"/>
    <w:rsid w:val="00D90079"/>
    <w:rsid w:val="00D90657"/>
    <w:rsid w:val="00D90BC4"/>
    <w:rsid w:val="00D915EA"/>
    <w:rsid w:val="00D93372"/>
    <w:rsid w:val="00D93773"/>
    <w:rsid w:val="00D93A0D"/>
    <w:rsid w:val="00D93BD8"/>
    <w:rsid w:val="00D94E5A"/>
    <w:rsid w:val="00D959B5"/>
    <w:rsid w:val="00D9716F"/>
    <w:rsid w:val="00D97268"/>
    <w:rsid w:val="00D97BBC"/>
    <w:rsid w:val="00D97CFA"/>
    <w:rsid w:val="00DA02BF"/>
    <w:rsid w:val="00DA0F96"/>
    <w:rsid w:val="00DA1614"/>
    <w:rsid w:val="00DA1971"/>
    <w:rsid w:val="00DA412C"/>
    <w:rsid w:val="00DA42F6"/>
    <w:rsid w:val="00DA4E54"/>
    <w:rsid w:val="00DA5933"/>
    <w:rsid w:val="00DA78FC"/>
    <w:rsid w:val="00DA7E24"/>
    <w:rsid w:val="00DB0914"/>
    <w:rsid w:val="00DB1697"/>
    <w:rsid w:val="00DB1776"/>
    <w:rsid w:val="00DB215E"/>
    <w:rsid w:val="00DB24D9"/>
    <w:rsid w:val="00DB30B7"/>
    <w:rsid w:val="00DB3417"/>
    <w:rsid w:val="00DB3AD6"/>
    <w:rsid w:val="00DB4731"/>
    <w:rsid w:val="00DB57AB"/>
    <w:rsid w:val="00DB664C"/>
    <w:rsid w:val="00DB6819"/>
    <w:rsid w:val="00DB7546"/>
    <w:rsid w:val="00DB7F21"/>
    <w:rsid w:val="00DC0424"/>
    <w:rsid w:val="00DC0829"/>
    <w:rsid w:val="00DC11DA"/>
    <w:rsid w:val="00DC1867"/>
    <w:rsid w:val="00DC188B"/>
    <w:rsid w:val="00DC2C6E"/>
    <w:rsid w:val="00DC2DF4"/>
    <w:rsid w:val="00DC3C77"/>
    <w:rsid w:val="00DC4C52"/>
    <w:rsid w:val="00DC4F39"/>
    <w:rsid w:val="00DC6690"/>
    <w:rsid w:val="00DC6749"/>
    <w:rsid w:val="00DC739A"/>
    <w:rsid w:val="00DC7AE1"/>
    <w:rsid w:val="00DC7F68"/>
    <w:rsid w:val="00DD010D"/>
    <w:rsid w:val="00DD0DD2"/>
    <w:rsid w:val="00DD33BC"/>
    <w:rsid w:val="00DD435D"/>
    <w:rsid w:val="00DD44D0"/>
    <w:rsid w:val="00DD484C"/>
    <w:rsid w:val="00DD4B21"/>
    <w:rsid w:val="00DD6892"/>
    <w:rsid w:val="00DE06A4"/>
    <w:rsid w:val="00DE138E"/>
    <w:rsid w:val="00DE18CB"/>
    <w:rsid w:val="00DE1EF7"/>
    <w:rsid w:val="00DE2422"/>
    <w:rsid w:val="00DE2B1F"/>
    <w:rsid w:val="00DE2B6E"/>
    <w:rsid w:val="00DE3027"/>
    <w:rsid w:val="00DE3D81"/>
    <w:rsid w:val="00DE501B"/>
    <w:rsid w:val="00DE50F8"/>
    <w:rsid w:val="00DE5BAD"/>
    <w:rsid w:val="00DE5E3B"/>
    <w:rsid w:val="00DF0DA2"/>
    <w:rsid w:val="00DF1829"/>
    <w:rsid w:val="00DF1B5E"/>
    <w:rsid w:val="00DF2AC7"/>
    <w:rsid w:val="00DF3330"/>
    <w:rsid w:val="00DF4B88"/>
    <w:rsid w:val="00DF592E"/>
    <w:rsid w:val="00DF6894"/>
    <w:rsid w:val="00DF72E7"/>
    <w:rsid w:val="00DF76B9"/>
    <w:rsid w:val="00DF79C0"/>
    <w:rsid w:val="00E016CC"/>
    <w:rsid w:val="00E01D3E"/>
    <w:rsid w:val="00E01EB4"/>
    <w:rsid w:val="00E0260C"/>
    <w:rsid w:val="00E02A46"/>
    <w:rsid w:val="00E036D9"/>
    <w:rsid w:val="00E0437B"/>
    <w:rsid w:val="00E04760"/>
    <w:rsid w:val="00E0501B"/>
    <w:rsid w:val="00E05A43"/>
    <w:rsid w:val="00E05EF0"/>
    <w:rsid w:val="00E0726B"/>
    <w:rsid w:val="00E103E4"/>
    <w:rsid w:val="00E1148F"/>
    <w:rsid w:val="00E1157E"/>
    <w:rsid w:val="00E11D2F"/>
    <w:rsid w:val="00E12096"/>
    <w:rsid w:val="00E128CA"/>
    <w:rsid w:val="00E12B51"/>
    <w:rsid w:val="00E14D4D"/>
    <w:rsid w:val="00E1543F"/>
    <w:rsid w:val="00E16798"/>
    <w:rsid w:val="00E16AE7"/>
    <w:rsid w:val="00E2003E"/>
    <w:rsid w:val="00E20B9A"/>
    <w:rsid w:val="00E20CA6"/>
    <w:rsid w:val="00E20E43"/>
    <w:rsid w:val="00E21174"/>
    <w:rsid w:val="00E21A5C"/>
    <w:rsid w:val="00E222D7"/>
    <w:rsid w:val="00E2293B"/>
    <w:rsid w:val="00E232B8"/>
    <w:rsid w:val="00E23470"/>
    <w:rsid w:val="00E235BE"/>
    <w:rsid w:val="00E24405"/>
    <w:rsid w:val="00E252B0"/>
    <w:rsid w:val="00E262B3"/>
    <w:rsid w:val="00E267E9"/>
    <w:rsid w:val="00E272EA"/>
    <w:rsid w:val="00E272EE"/>
    <w:rsid w:val="00E27378"/>
    <w:rsid w:val="00E305EC"/>
    <w:rsid w:val="00E306ED"/>
    <w:rsid w:val="00E30DA2"/>
    <w:rsid w:val="00E310A9"/>
    <w:rsid w:val="00E32F85"/>
    <w:rsid w:val="00E33C25"/>
    <w:rsid w:val="00E33EDC"/>
    <w:rsid w:val="00E34261"/>
    <w:rsid w:val="00E350EF"/>
    <w:rsid w:val="00E35640"/>
    <w:rsid w:val="00E35654"/>
    <w:rsid w:val="00E363C3"/>
    <w:rsid w:val="00E3744D"/>
    <w:rsid w:val="00E377AC"/>
    <w:rsid w:val="00E40081"/>
    <w:rsid w:val="00E4136C"/>
    <w:rsid w:val="00E417D3"/>
    <w:rsid w:val="00E419BF"/>
    <w:rsid w:val="00E41B1D"/>
    <w:rsid w:val="00E41C9E"/>
    <w:rsid w:val="00E421D1"/>
    <w:rsid w:val="00E424E3"/>
    <w:rsid w:val="00E4253D"/>
    <w:rsid w:val="00E42D51"/>
    <w:rsid w:val="00E432A7"/>
    <w:rsid w:val="00E43964"/>
    <w:rsid w:val="00E43A79"/>
    <w:rsid w:val="00E446F8"/>
    <w:rsid w:val="00E44D50"/>
    <w:rsid w:val="00E4501C"/>
    <w:rsid w:val="00E453E8"/>
    <w:rsid w:val="00E45D74"/>
    <w:rsid w:val="00E46B23"/>
    <w:rsid w:val="00E47156"/>
    <w:rsid w:val="00E479AE"/>
    <w:rsid w:val="00E53339"/>
    <w:rsid w:val="00E53D7E"/>
    <w:rsid w:val="00E54199"/>
    <w:rsid w:val="00E5455E"/>
    <w:rsid w:val="00E5676B"/>
    <w:rsid w:val="00E60BFD"/>
    <w:rsid w:val="00E61280"/>
    <w:rsid w:val="00E6171D"/>
    <w:rsid w:val="00E62192"/>
    <w:rsid w:val="00E62A98"/>
    <w:rsid w:val="00E62CAE"/>
    <w:rsid w:val="00E6317A"/>
    <w:rsid w:val="00E637C2"/>
    <w:rsid w:val="00E641F0"/>
    <w:rsid w:val="00E64605"/>
    <w:rsid w:val="00E64A8E"/>
    <w:rsid w:val="00E64CFA"/>
    <w:rsid w:val="00E65470"/>
    <w:rsid w:val="00E6578E"/>
    <w:rsid w:val="00E65885"/>
    <w:rsid w:val="00E65C9A"/>
    <w:rsid w:val="00E6642A"/>
    <w:rsid w:val="00E66927"/>
    <w:rsid w:val="00E66A51"/>
    <w:rsid w:val="00E66AF7"/>
    <w:rsid w:val="00E66BF8"/>
    <w:rsid w:val="00E702FF"/>
    <w:rsid w:val="00E7066E"/>
    <w:rsid w:val="00E7092F"/>
    <w:rsid w:val="00E70B4B"/>
    <w:rsid w:val="00E70EAF"/>
    <w:rsid w:val="00E71762"/>
    <w:rsid w:val="00E728B4"/>
    <w:rsid w:val="00E73E89"/>
    <w:rsid w:val="00E77477"/>
    <w:rsid w:val="00E806F2"/>
    <w:rsid w:val="00E80E15"/>
    <w:rsid w:val="00E8363C"/>
    <w:rsid w:val="00E83859"/>
    <w:rsid w:val="00E83873"/>
    <w:rsid w:val="00E83C1A"/>
    <w:rsid w:val="00E83C72"/>
    <w:rsid w:val="00E83DAD"/>
    <w:rsid w:val="00E83F72"/>
    <w:rsid w:val="00E84D7C"/>
    <w:rsid w:val="00E8516C"/>
    <w:rsid w:val="00E8572E"/>
    <w:rsid w:val="00E85E8B"/>
    <w:rsid w:val="00E86244"/>
    <w:rsid w:val="00E870E3"/>
    <w:rsid w:val="00E873D0"/>
    <w:rsid w:val="00E87D4D"/>
    <w:rsid w:val="00E9040B"/>
    <w:rsid w:val="00E90FE9"/>
    <w:rsid w:val="00E911D0"/>
    <w:rsid w:val="00E92161"/>
    <w:rsid w:val="00E92456"/>
    <w:rsid w:val="00E93F27"/>
    <w:rsid w:val="00E94818"/>
    <w:rsid w:val="00E95F20"/>
    <w:rsid w:val="00E967A1"/>
    <w:rsid w:val="00E96EC3"/>
    <w:rsid w:val="00E97C25"/>
    <w:rsid w:val="00E97D36"/>
    <w:rsid w:val="00EA061E"/>
    <w:rsid w:val="00EA09B5"/>
    <w:rsid w:val="00EA13D9"/>
    <w:rsid w:val="00EA147F"/>
    <w:rsid w:val="00EA19AE"/>
    <w:rsid w:val="00EA1A12"/>
    <w:rsid w:val="00EA1EB1"/>
    <w:rsid w:val="00EA4522"/>
    <w:rsid w:val="00EA464C"/>
    <w:rsid w:val="00EA4C5B"/>
    <w:rsid w:val="00EA529C"/>
    <w:rsid w:val="00EA535B"/>
    <w:rsid w:val="00EA5AA2"/>
    <w:rsid w:val="00EA66F2"/>
    <w:rsid w:val="00EA6E48"/>
    <w:rsid w:val="00EA7E4F"/>
    <w:rsid w:val="00EB0BB4"/>
    <w:rsid w:val="00EB1464"/>
    <w:rsid w:val="00EB1A93"/>
    <w:rsid w:val="00EB1CA1"/>
    <w:rsid w:val="00EB1E2A"/>
    <w:rsid w:val="00EB2724"/>
    <w:rsid w:val="00EB2901"/>
    <w:rsid w:val="00EB3F9A"/>
    <w:rsid w:val="00EB5C6A"/>
    <w:rsid w:val="00EB5E93"/>
    <w:rsid w:val="00EB5FE4"/>
    <w:rsid w:val="00EB6EC6"/>
    <w:rsid w:val="00EB7F2B"/>
    <w:rsid w:val="00EC04E9"/>
    <w:rsid w:val="00EC066A"/>
    <w:rsid w:val="00EC10A1"/>
    <w:rsid w:val="00EC2990"/>
    <w:rsid w:val="00EC2C0F"/>
    <w:rsid w:val="00EC2D89"/>
    <w:rsid w:val="00EC4616"/>
    <w:rsid w:val="00EC5244"/>
    <w:rsid w:val="00EC5B79"/>
    <w:rsid w:val="00ED05EE"/>
    <w:rsid w:val="00ED06F4"/>
    <w:rsid w:val="00ED1606"/>
    <w:rsid w:val="00ED1ED9"/>
    <w:rsid w:val="00ED1F22"/>
    <w:rsid w:val="00ED34B6"/>
    <w:rsid w:val="00ED4049"/>
    <w:rsid w:val="00ED4051"/>
    <w:rsid w:val="00ED4085"/>
    <w:rsid w:val="00ED44BF"/>
    <w:rsid w:val="00ED44ED"/>
    <w:rsid w:val="00ED454B"/>
    <w:rsid w:val="00ED4F7B"/>
    <w:rsid w:val="00ED5D20"/>
    <w:rsid w:val="00ED5D4E"/>
    <w:rsid w:val="00ED667A"/>
    <w:rsid w:val="00ED66FB"/>
    <w:rsid w:val="00ED6F0B"/>
    <w:rsid w:val="00ED7EA2"/>
    <w:rsid w:val="00EE0A02"/>
    <w:rsid w:val="00EE0FD6"/>
    <w:rsid w:val="00EE1362"/>
    <w:rsid w:val="00EE1461"/>
    <w:rsid w:val="00EE1E84"/>
    <w:rsid w:val="00EE2BEC"/>
    <w:rsid w:val="00EE3448"/>
    <w:rsid w:val="00EE3797"/>
    <w:rsid w:val="00EE3872"/>
    <w:rsid w:val="00EE563C"/>
    <w:rsid w:val="00EE5801"/>
    <w:rsid w:val="00EE581A"/>
    <w:rsid w:val="00EE5ABE"/>
    <w:rsid w:val="00EE6D9B"/>
    <w:rsid w:val="00EE7127"/>
    <w:rsid w:val="00EE77F4"/>
    <w:rsid w:val="00EE7D1A"/>
    <w:rsid w:val="00EF0C9F"/>
    <w:rsid w:val="00EF1785"/>
    <w:rsid w:val="00EF1C75"/>
    <w:rsid w:val="00EF1CAC"/>
    <w:rsid w:val="00EF25EE"/>
    <w:rsid w:val="00EF46C7"/>
    <w:rsid w:val="00EF5356"/>
    <w:rsid w:val="00EF61C1"/>
    <w:rsid w:val="00F01298"/>
    <w:rsid w:val="00F01619"/>
    <w:rsid w:val="00F03939"/>
    <w:rsid w:val="00F03D3F"/>
    <w:rsid w:val="00F04666"/>
    <w:rsid w:val="00F0501B"/>
    <w:rsid w:val="00F05968"/>
    <w:rsid w:val="00F06045"/>
    <w:rsid w:val="00F06137"/>
    <w:rsid w:val="00F067B1"/>
    <w:rsid w:val="00F06EC1"/>
    <w:rsid w:val="00F0723A"/>
    <w:rsid w:val="00F0744A"/>
    <w:rsid w:val="00F07671"/>
    <w:rsid w:val="00F07CED"/>
    <w:rsid w:val="00F1125A"/>
    <w:rsid w:val="00F1139B"/>
    <w:rsid w:val="00F121B9"/>
    <w:rsid w:val="00F12D23"/>
    <w:rsid w:val="00F15E1A"/>
    <w:rsid w:val="00F1646F"/>
    <w:rsid w:val="00F16F27"/>
    <w:rsid w:val="00F2078E"/>
    <w:rsid w:val="00F21797"/>
    <w:rsid w:val="00F21DB0"/>
    <w:rsid w:val="00F220C2"/>
    <w:rsid w:val="00F22991"/>
    <w:rsid w:val="00F23939"/>
    <w:rsid w:val="00F24541"/>
    <w:rsid w:val="00F24BAF"/>
    <w:rsid w:val="00F24E8F"/>
    <w:rsid w:val="00F25229"/>
    <w:rsid w:val="00F25A87"/>
    <w:rsid w:val="00F27106"/>
    <w:rsid w:val="00F27248"/>
    <w:rsid w:val="00F27A56"/>
    <w:rsid w:val="00F30E08"/>
    <w:rsid w:val="00F31DCB"/>
    <w:rsid w:val="00F31F6C"/>
    <w:rsid w:val="00F32A94"/>
    <w:rsid w:val="00F32CC1"/>
    <w:rsid w:val="00F343BC"/>
    <w:rsid w:val="00F343F5"/>
    <w:rsid w:val="00F34A7B"/>
    <w:rsid w:val="00F34ADD"/>
    <w:rsid w:val="00F34ECA"/>
    <w:rsid w:val="00F350F7"/>
    <w:rsid w:val="00F353DC"/>
    <w:rsid w:val="00F35B8D"/>
    <w:rsid w:val="00F37EB6"/>
    <w:rsid w:val="00F37F46"/>
    <w:rsid w:val="00F42002"/>
    <w:rsid w:val="00F42D90"/>
    <w:rsid w:val="00F43173"/>
    <w:rsid w:val="00F43380"/>
    <w:rsid w:val="00F4522F"/>
    <w:rsid w:val="00F45A26"/>
    <w:rsid w:val="00F45F99"/>
    <w:rsid w:val="00F46368"/>
    <w:rsid w:val="00F468B7"/>
    <w:rsid w:val="00F46A49"/>
    <w:rsid w:val="00F4711E"/>
    <w:rsid w:val="00F47B64"/>
    <w:rsid w:val="00F50005"/>
    <w:rsid w:val="00F50967"/>
    <w:rsid w:val="00F54564"/>
    <w:rsid w:val="00F6043B"/>
    <w:rsid w:val="00F61A4A"/>
    <w:rsid w:val="00F632B4"/>
    <w:rsid w:val="00F63524"/>
    <w:rsid w:val="00F63DCA"/>
    <w:rsid w:val="00F63E02"/>
    <w:rsid w:val="00F6453E"/>
    <w:rsid w:val="00F64774"/>
    <w:rsid w:val="00F66D9B"/>
    <w:rsid w:val="00F70DD8"/>
    <w:rsid w:val="00F7122D"/>
    <w:rsid w:val="00F743AA"/>
    <w:rsid w:val="00F749DA"/>
    <w:rsid w:val="00F74D51"/>
    <w:rsid w:val="00F74D79"/>
    <w:rsid w:val="00F74EBD"/>
    <w:rsid w:val="00F75FD6"/>
    <w:rsid w:val="00F80B8F"/>
    <w:rsid w:val="00F80E22"/>
    <w:rsid w:val="00F82564"/>
    <w:rsid w:val="00F82927"/>
    <w:rsid w:val="00F83F74"/>
    <w:rsid w:val="00F859C9"/>
    <w:rsid w:val="00F864BC"/>
    <w:rsid w:val="00F86D77"/>
    <w:rsid w:val="00F879A7"/>
    <w:rsid w:val="00F904B5"/>
    <w:rsid w:val="00F906D3"/>
    <w:rsid w:val="00F91C01"/>
    <w:rsid w:val="00F929BA"/>
    <w:rsid w:val="00F92BEB"/>
    <w:rsid w:val="00F92F5D"/>
    <w:rsid w:val="00F93475"/>
    <w:rsid w:val="00F94551"/>
    <w:rsid w:val="00F94B69"/>
    <w:rsid w:val="00F97D0E"/>
    <w:rsid w:val="00FA0B6F"/>
    <w:rsid w:val="00FA149D"/>
    <w:rsid w:val="00FA1C69"/>
    <w:rsid w:val="00FA1C7A"/>
    <w:rsid w:val="00FA2425"/>
    <w:rsid w:val="00FA249A"/>
    <w:rsid w:val="00FA2E1E"/>
    <w:rsid w:val="00FA373E"/>
    <w:rsid w:val="00FA4B55"/>
    <w:rsid w:val="00FA5C25"/>
    <w:rsid w:val="00FA610C"/>
    <w:rsid w:val="00FA6763"/>
    <w:rsid w:val="00FA70B7"/>
    <w:rsid w:val="00FA79DA"/>
    <w:rsid w:val="00FB075F"/>
    <w:rsid w:val="00FB0F49"/>
    <w:rsid w:val="00FB12CE"/>
    <w:rsid w:val="00FB240C"/>
    <w:rsid w:val="00FB355E"/>
    <w:rsid w:val="00FB4115"/>
    <w:rsid w:val="00FB4598"/>
    <w:rsid w:val="00FB4C85"/>
    <w:rsid w:val="00FB5287"/>
    <w:rsid w:val="00FB5831"/>
    <w:rsid w:val="00FB7D6F"/>
    <w:rsid w:val="00FC0E38"/>
    <w:rsid w:val="00FC0E95"/>
    <w:rsid w:val="00FC2690"/>
    <w:rsid w:val="00FC2F93"/>
    <w:rsid w:val="00FC3D1D"/>
    <w:rsid w:val="00FC3FA1"/>
    <w:rsid w:val="00FC405C"/>
    <w:rsid w:val="00FC4FBE"/>
    <w:rsid w:val="00FC56C3"/>
    <w:rsid w:val="00FC6A58"/>
    <w:rsid w:val="00FC6CAB"/>
    <w:rsid w:val="00FC7473"/>
    <w:rsid w:val="00FD0DE2"/>
    <w:rsid w:val="00FD15F3"/>
    <w:rsid w:val="00FD1A0E"/>
    <w:rsid w:val="00FD1D32"/>
    <w:rsid w:val="00FD1DFB"/>
    <w:rsid w:val="00FD2495"/>
    <w:rsid w:val="00FD24FA"/>
    <w:rsid w:val="00FD2C0B"/>
    <w:rsid w:val="00FD5292"/>
    <w:rsid w:val="00FD5385"/>
    <w:rsid w:val="00FD545C"/>
    <w:rsid w:val="00FD55DF"/>
    <w:rsid w:val="00FD566C"/>
    <w:rsid w:val="00FD5678"/>
    <w:rsid w:val="00FD567C"/>
    <w:rsid w:val="00FD6394"/>
    <w:rsid w:val="00FD768F"/>
    <w:rsid w:val="00FE0062"/>
    <w:rsid w:val="00FE04BB"/>
    <w:rsid w:val="00FE0FDB"/>
    <w:rsid w:val="00FE184B"/>
    <w:rsid w:val="00FE19F8"/>
    <w:rsid w:val="00FE1B53"/>
    <w:rsid w:val="00FE219A"/>
    <w:rsid w:val="00FE2F8A"/>
    <w:rsid w:val="00FE3F31"/>
    <w:rsid w:val="00FE4BE2"/>
    <w:rsid w:val="00FE4EFA"/>
    <w:rsid w:val="00FE5967"/>
    <w:rsid w:val="00FE5E8E"/>
    <w:rsid w:val="00FE5EE3"/>
    <w:rsid w:val="00FE7020"/>
    <w:rsid w:val="00FE758E"/>
    <w:rsid w:val="00FF0C9D"/>
    <w:rsid w:val="00FF0F0F"/>
    <w:rsid w:val="00FF3ABC"/>
    <w:rsid w:val="00FF5498"/>
    <w:rsid w:val="00FF60A2"/>
    <w:rsid w:val="00FF6892"/>
    <w:rsid w:val="00FF6C84"/>
    <w:rsid w:val="00FF6D41"/>
    <w:rsid w:val="00FF6DDC"/>
    <w:rsid w:val="00FF7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E4CCB"/>
  <w15:docId w15:val="{6493020D-92EE-482B-9741-BB9AA075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B23DE"/>
    <w:pPr>
      <w:spacing w:line="480" w:lineRule="auto"/>
      <w:jc w:val="center"/>
      <w:outlineLvl w:val="0"/>
    </w:pPr>
    <w:rPr>
      <w:rFonts w:asciiTheme="majorHAnsi" w:eastAsia="Aptos" w:hAnsiTheme="majorHAnsi"/>
      <w:b/>
      <w:bCs/>
      <w:sz w:val="28"/>
      <w:szCs w:val="28"/>
    </w:rPr>
  </w:style>
  <w:style w:type="paragraph" w:styleId="Heading2">
    <w:name w:val="heading 2"/>
    <w:next w:val="Normal"/>
    <w:link w:val="Heading2Char"/>
    <w:autoRedefine/>
    <w:uiPriority w:val="9"/>
    <w:unhideWhenUsed/>
    <w:qFormat/>
    <w:rsid w:val="00CD495B"/>
    <w:pPr>
      <w:keepNext/>
      <w:numPr>
        <w:ilvl w:val="1"/>
        <w:numId w:val="10"/>
      </w:numPr>
      <w:spacing w:line="480" w:lineRule="auto"/>
      <w:outlineLvl w:val="1"/>
    </w:pPr>
    <w:rPr>
      <w:rFonts w:asciiTheme="majorHAnsi" w:hAnsiTheme="majorHAnsi"/>
      <w:b/>
      <w:bCs/>
      <w:iCs/>
      <w:sz w:val="24"/>
      <w:szCs w:val="28"/>
    </w:rPr>
  </w:style>
  <w:style w:type="paragraph" w:styleId="Heading3">
    <w:name w:val="heading 3"/>
    <w:next w:val="Normal"/>
    <w:link w:val="Heading3Char"/>
    <w:autoRedefine/>
    <w:uiPriority w:val="9"/>
    <w:unhideWhenUsed/>
    <w:qFormat/>
    <w:rsid w:val="00277F12"/>
    <w:pPr>
      <w:keepNext/>
      <w:numPr>
        <w:ilvl w:val="2"/>
        <w:numId w:val="10"/>
      </w:numPr>
      <w:spacing w:line="480" w:lineRule="auto"/>
      <w:outlineLvl w:val="2"/>
    </w:pPr>
    <w:rPr>
      <w:rFonts w:asciiTheme="majorHAnsi" w:eastAsia="Aptos" w:hAnsiTheme="majorHAnsi"/>
      <w:i/>
      <w:iCs/>
      <w:sz w:val="24"/>
      <w:szCs w:val="24"/>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3DE"/>
    <w:rPr>
      <w:rFonts w:asciiTheme="majorHAnsi" w:eastAsia="Aptos" w:hAnsiTheme="majorHAnsi"/>
      <w:b/>
      <w:bCs/>
      <w:sz w:val="28"/>
      <w:szCs w:val="28"/>
    </w:rPr>
  </w:style>
  <w:style w:type="character" w:customStyle="1" w:styleId="Heading2Char">
    <w:name w:val="Heading 2 Char"/>
    <w:basedOn w:val="DefaultParagraphFont"/>
    <w:link w:val="Heading2"/>
    <w:uiPriority w:val="9"/>
    <w:rsid w:val="00CD495B"/>
    <w:rPr>
      <w:rFonts w:asciiTheme="majorHAnsi" w:hAnsiTheme="majorHAnsi"/>
      <w:b/>
      <w:bCs/>
      <w:iCs/>
      <w:sz w:val="24"/>
      <w:szCs w:val="28"/>
    </w:rPr>
  </w:style>
  <w:style w:type="character" w:customStyle="1" w:styleId="Heading3Char">
    <w:name w:val="Heading 3 Char"/>
    <w:basedOn w:val="DefaultParagraphFont"/>
    <w:link w:val="Heading3"/>
    <w:uiPriority w:val="9"/>
    <w:rsid w:val="00277F12"/>
    <w:rPr>
      <w:rFonts w:asciiTheme="majorHAnsi" w:eastAsia="Aptos" w:hAnsiTheme="majorHAnsi"/>
      <w:i/>
      <w:iCs/>
      <w:sz w:val="24"/>
      <w:szCs w:val="24"/>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86D87"/>
    <w:pPr>
      <w:tabs>
        <w:tab w:val="right" w:leader="dot" w:pos="9346"/>
      </w:tabs>
      <w:ind w:left="720" w:hanging="720"/>
    </w:pPr>
    <w:rPr>
      <w:b/>
      <w:bCs/>
      <w:noProof/>
    </w:rPr>
  </w:style>
  <w:style w:type="paragraph" w:styleId="TOC2">
    <w:name w:val="toc 2"/>
    <w:basedOn w:val="Normal"/>
    <w:next w:val="Normal"/>
    <w:autoRedefine/>
    <w:uiPriority w:val="39"/>
    <w:unhideWhenUsed/>
    <w:rsid w:val="00233667"/>
    <w:pPr>
      <w:tabs>
        <w:tab w:val="right" w:leader="dot" w:pos="9350"/>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EE1E84"/>
    <w:rPr>
      <w:color w:val="800080" w:themeColor="followedHyperlink"/>
      <w:u w:val="single"/>
    </w:rPr>
  </w:style>
  <w:style w:type="paragraph" w:styleId="HTMLPreformatted">
    <w:name w:val="HTML Preformatted"/>
    <w:basedOn w:val="Normal"/>
    <w:link w:val="HTMLPreformattedChar"/>
    <w:uiPriority w:val="99"/>
    <w:semiHidden/>
    <w:unhideWhenUsed/>
    <w:rsid w:val="0081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14:ligatures w14:val="standardContextual"/>
    </w:rPr>
  </w:style>
  <w:style w:type="character" w:customStyle="1" w:styleId="HTMLPreformattedChar">
    <w:name w:val="HTML Preformatted Char"/>
    <w:basedOn w:val="DefaultParagraphFont"/>
    <w:link w:val="HTMLPreformatted"/>
    <w:uiPriority w:val="99"/>
    <w:semiHidden/>
    <w:rsid w:val="00816BD4"/>
    <w:rPr>
      <w:rFonts w:ascii="Courier New" w:hAnsi="Courier New" w:cs="Courier New"/>
      <w14:ligatures w14:val="standardContextual"/>
    </w:rPr>
  </w:style>
  <w:style w:type="character" w:customStyle="1" w:styleId="gd15mcfceub">
    <w:name w:val="gd15mcfceub"/>
    <w:basedOn w:val="DefaultParagraphFont"/>
    <w:rsid w:val="00816BD4"/>
  </w:style>
  <w:style w:type="paragraph" w:styleId="Revision">
    <w:name w:val="Revision"/>
    <w:hidden/>
    <w:uiPriority w:val="99"/>
    <w:semiHidden/>
    <w:rsid w:val="00816BD4"/>
    <w:rPr>
      <w:rFonts w:asciiTheme="minorHAnsi" w:eastAsiaTheme="minorHAnsi" w:hAnsiTheme="minorHAnsi" w:cstheme="minorBidi"/>
      <w:sz w:val="22"/>
      <w:szCs w:val="22"/>
      <w14:ligatures w14:val="standardContextual"/>
    </w:rPr>
  </w:style>
  <w:style w:type="character" w:styleId="LineNumber">
    <w:name w:val="line number"/>
    <w:basedOn w:val="DefaultParagraphFont"/>
    <w:uiPriority w:val="99"/>
    <w:semiHidden/>
    <w:unhideWhenUsed/>
    <w:rsid w:val="00816BD4"/>
  </w:style>
  <w:style w:type="character" w:styleId="CommentReference">
    <w:name w:val="annotation reference"/>
    <w:basedOn w:val="DefaultParagraphFont"/>
    <w:uiPriority w:val="99"/>
    <w:semiHidden/>
    <w:unhideWhenUsed/>
    <w:rsid w:val="00816BD4"/>
    <w:rPr>
      <w:sz w:val="16"/>
      <w:szCs w:val="16"/>
    </w:rPr>
  </w:style>
  <w:style w:type="paragraph" w:styleId="CommentText">
    <w:name w:val="annotation text"/>
    <w:basedOn w:val="Normal"/>
    <w:link w:val="CommentTextChar"/>
    <w:uiPriority w:val="99"/>
    <w:unhideWhenUsed/>
    <w:rsid w:val="00816BD4"/>
    <w:pPr>
      <w:spacing w:after="160" w:line="240" w:lineRule="auto"/>
    </w:pPr>
    <w:rPr>
      <w:rFonts w:eastAsiaTheme="minorHAnsi" w:cstheme="minorBidi"/>
      <w:sz w:val="20"/>
      <w:szCs w:val="20"/>
      <w:lang w:bidi="ar-SA"/>
      <w14:ligatures w14:val="standardContextual"/>
    </w:rPr>
  </w:style>
  <w:style w:type="character" w:customStyle="1" w:styleId="CommentTextChar">
    <w:name w:val="Comment Text Char"/>
    <w:basedOn w:val="DefaultParagraphFont"/>
    <w:link w:val="CommentText"/>
    <w:uiPriority w:val="99"/>
    <w:rsid w:val="00816BD4"/>
    <w:rPr>
      <w:rFonts w:asciiTheme="minorHAnsi" w:eastAsiaTheme="minorHAnsi" w:hAnsiTheme="minorHAnsi" w:cstheme="minorBidi"/>
      <w14:ligatures w14:val="standardContextual"/>
    </w:rPr>
  </w:style>
  <w:style w:type="paragraph" w:styleId="CommentSubject">
    <w:name w:val="annotation subject"/>
    <w:basedOn w:val="CommentText"/>
    <w:next w:val="CommentText"/>
    <w:link w:val="CommentSubjectChar"/>
    <w:uiPriority w:val="99"/>
    <w:semiHidden/>
    <w:unhideWhenUsed/>
    <w:rsid w:val="00816BD4"/>
    <w:rPr>
      <w:b/>
      <w:bCs/>
    </w:rPr>
  </w:style>
  <w:style w:type="character" w:customStyle="1" w:styleId="CommentSubjectChar">
    <w:name w:val="Comment Subject Char"/>
    <w:basedOn w:val="CommentTextChar"/>
    <w:link w:val="CommentSubject"/>
    <w:uiPriority w:val="99"/>
    <w:semiHidden/>
    <w:rsid w:val="00816BD4"/>
    <w:rPr>
      <w:rFonts w:asciiTheme="minorHAnsi" w:eastAsiaTheme="minorHAnsi" w:hAnsiTheme="minorHAnsi" w:cstheme="minorBidi"/>
      <w:b/>
      <w:bCs/>
      <w14:ligatures w14:val="standardContextual"/>
    </w:rPr>
  </w:style>
  <w:style w:type="character" w:customStyle="1" w:styleId="cf01">
    <w:name w:val="cf01"/>
    <w:basedOn w:val="DefaultParagraphFont"/>
    <w:rsid w:val="00816BD4"/>
    <w:rPr>
      <w:rFonts w:ascii="Segoe UI" w:hAnsi="Segoe UI" w:cs="Segoe UI" w:hint="default"/>
      <w:sz w:val="18"/>
      <w:szCs w:val="18"/>
    </w:rPr>
  </w:style>
  <w:style w:type="paragraph" w:customStyle="1" w:styleId="Authors">
    <w:name w:val="Authors"/>
    <w:basedOn w:val="Normal"/>
    <w:rsid w:val="00816BD4"/>
    <w:pPr>
      <w:spacing w:before="120" w:after="360" w:line="240" w:lineRule="auto"/>
    </w:pPr>
    <w:rPr>
      <w:rFonts w:ascii="Times New Roman" w:hAnsi="Times New Roman"/>
      <w:b/>
      <w:lang w:bidi="ar-SA"/>
      <w14:ligatures w14:val="standardContextual"/>
    </w:rPr>
  </w:style>
  <w:style w:type="paragraph" w:customStyle="1" w:styleId="Heading-Main">
    <w:name w:val="Heading-Main"/>
    <w:basedOn w:val="Normal"/>
    <w:rsid w:val="00816BD4"/>
    <w:pPr>
      <w:keepNext/>
      <w:spacing w:before="240" w:after="120" w:line="240" w:lineRule="auto"/>
      <w:outlineLvl w:val="0"/>
    </w:pPr>
    <w:rPr>
      <w:rFonts w:ascii="Times New Roman" w:hAnsi="Times New Roman"/>
      <w:b/>
      <w:bCs/>
      <w:kern w:val="28"/>
      <w:lang w:bidi="ar-SA"/>
      <w14:ligatures w14:val="standardContextual"/>
    </w:rPr>
  </w:style>
  <w:style w:type="paragraph" w:customStyle="1" w:styleId="KeyPoints">
    <w:name w:val="Key Points"/>
    <w:basedOn w:val="Normal"/>
    <w:rsid w:val="00816BD4"/>
    <w:pPr>
      <w:spacing w:before="120" w:line="240" w:lineRule="auto"/>
    </w:pPr>
    <w:rPr>
      <w:rFonts w:ascii="Times New Roman" w:hAnsi="Times New Roman"/>
      <w:lang w:bidi="ar-SA"/>
      <w14:ligatures w14:val="standardContextual"/>
    </w:rPr>
  </w:style>
  <w:style w:type="character" w:customStyle="1" w:styleId="UnresolvedMention1">
    <w:name w:val="Unresolved Mention1"/>
    <w:basedOn w:val="DefaultParagraphFont"/>
    <w:uiPriority w:val="99"/>
    <w:semiHidden/>
    <w:unhideWhenUsed/>
    <w:rsid w:val="00816BD4"/>
    <w:rPr>
      <w:color w:val="605E5C"/>
      <w:shd w:val="clear" w:color="auto" w:fill="E1DFDD"/>
    </w:rPr>
  </w:style>
  <w:style w:type="numbering" w:customStyle="1" w:styleId="NoList1">
    <w:name w:val="No List1"/>
    <w:next w:val="NoList"/>
    <w:uiPriority w:val="99"/>
    <w:semiHidden/>
    <w:unhideWhenUsed/>
    <w:rsid w:val="00103457"/>
  </w:style>
  <w:style w:type="numbering" w:customStyle="1" w:styleId="NoList11">
    <w:name w:val="No List11"/>
    <w:next w:val="NoList"/>
    <w:uiPriority w:val="99"/>
    <w:semiHidden/>
    <w:unhideWhenUsed/>
    <w:rsid w:val="00103457"/>
  </w:style>
  <w:style w:type="paragraph" w:customStyle="1" w:styleId="NoSpacing1">
    <w:name w:val="No Spacing1"/>
    <w:basedOn w:val="Normal"/>
    <w:next w:val="NoSpacing"/>
    <w:uiPriority w:val="1"/>
    <w:qFormat/>
    <w:rsid w:val="00103457"/>
    <w:pPr>
      <w:spacing w:line="240" w:lineRule="auto"/>
    </w:pPr>
    <w:rPr>
      <w:szCs w:val="32"/>
      <w14:ligatures w14:val="standardContextual"/>
    </w:rPr>
  </w:style>
  <w:style w:type="paragraph" w:customStyle="1" w:styleId="TableofFigures1">
    <w:name w:val="Table of Figures1"/>
    <w:basedOn w:val="Normal"/>
    <w:next w:val="Normal"/>
    <w:uiPriority w:val="99"/>
    <w:unhideWhenUsed/>
    <w:rsid w:val="00103457"/>
    <w:rPr>
      <w14:ligatures w14:val="standardContextual"/>
    </w:rPr>
  </w:style>
  <w:style w:type="paragraph" w:customStyle="1" w:styleId="TOCHeading1">
    <w:name w:val="TOC Heading1"/>
    <w:basedOn w:val="Heading1"/>
    <w:next w:val="Normal"/>
    <w:uiPriority w:val="39"/>
    <w:semiHidden/>
    <w:unhideWhenUsed/>
    <w:qFormat/>
    <w:rsid w:val="00103457"/>
    <w:pPr>
      <w:outlineLvl w:val="9"/>
    </w:pPr>
    <w:rPr>
      <w14:ligatures w14:val="standardContextual"/>
    </w:rPr>
  </w:style>
  <w:style w:type="paragraph" w:customStyle="1" w:styleId="TOC11">
    <w:name w:val="TOC 11"/>
    <w:basedOn w:val="Normal"/>
    <w:next w:val="Normal"/>
    <w:autoRedefine/>
    <w:uiPriority w:val="39"/>
    <w:unhideWhenUsed/>
    <w:rsid w:val="00103457"/>
    <w:pPr>
      <w:tabs>
        <w:tab w:val="right" w:leader="dot" w:pos="8486"/>
      </w:tabs>
      <w:ind w:left="720" w:hanging="720"/>
    </w:pPr>
    <w:rPr>
      <w14:ligatures w14:val="standardContextual"/>
    </w:rPr>
  </w:style>
  <w:style w:type="paragraph" w:customStyle="1" w:styleId="TOC21">
    <w:name w:val="TOC 21"/>
    <w:basedOn w:val="Normal"/>
    <w:next w:val="Normal"/>
    <w:autoRedefine/>
    <w:uiPriority w:val="39"/>
    <w:unhideWhenUsed/>
    <w:rsid w:val="00103457"/>
    <w:pPr>
      <w:ind w:left="1080" w:hanging="720"/>
    </w:pPr>
    <w:rPr>
      <w14:ligatures w14:val="standardContextual"/>
    </w:rPr>
  </w:style>
  <w:style w:type="table" w:customStyle="1" w:styleId="TableGrid1">
    <w:name w:val="Table Grid1"/>
    <w:basedOn w:val="TableNormal"/>
    <w:next w:val="TableGrid"/>
    <w:uiPriority w:val="59"/>
    <w:rsid w:val="00103457"/>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1">
    <w:name w:val="TOC 31"/>
    <w:basedOn w:val="Normal"/>
    <w:next w:val="Normal"/>
    <w:autoRedefine/>
    <w:uiPriority w:val="39"/>
    <w:unhideWhenUsed/>
    <w:rsid w:val="00103457"/>
    <w:pPr>
      <w:ind w:left="1440" w:hanging="720"/>
    </w:pPr>
    <w:rPr>
      <w14:ligatures w14:val="standardContextual"/>
    </w:rPr>
  </w:style>
  <w:style w:type="character" w:customStyle="1" w:styleId="FollowedHyperlink1">
    <w:name w:val="FollowedHyperlink1"/>
    <w:basedOn w:val="DefaultParagraphFont"/>
    <w:uiPriority w:val="99"/>
    <w:semiHidden/>
    <w:unhideWhenUsed/>
    <w:rsid w:val="00103457"/>
    <w:rPr>
      <w:color w:val="800080"/>
      <w:u w:val="single"/>
    </w:rPr>
  </w:style>
  <w:style w:type="paragraph" w:styleId="TOC4">
    <w:name w:val="toc 4"/>
    <w:basedOn w:val="Normal"/>
    <w:next w:val="Normal"/>
    <w:autoRedefine/>
    <w:uiPriority w:val="39"/>
    <w:unhideWhenUsed/>
    <w:rsid w:val="00473786"/>
    <w:pPr>
      <w:spacing w:after="100" w:line="278" w:lineRule="auto"/>
      <w:ind w:left="720"/>
    </w:pPr>
    <w:rPr>
      <w:rFonts w:eastAsiaTheme="minorEastAsia" w:cstheme="minorBidi"/>
      <w:kern w:val="2"/>
      <w:lang w:bidi="ar-SA"/>
      <w14:ligatures w14:val="standardContextual"/>
    </w:rPr>
  </w:style>
  <w:style w:type="paragraph" w:styleId="TOC5">
    <w:name w:val="toc 5"/>
    <w:basedOn w:val="Normal"/>
    <w:next w:val="Normal"/>
    <w:autoRedefine/>
    <w:uiPriority w:val="39"/>
    <w:unhideWhenUsed/>
    <w:rsid w:val="00473786"/>
    <w:pPr>
      <w:spacing w:after="100" w:line="278" w:lineRule="auto"/>
      <w:ind w:left="960"/>
    </w:pPr>
    <w:rPr>
      <w:rFonts w:eastAsiaTheme="minorEastAsia" w:cstheme="minorBidi"/>
      <w:kern w:val="2"/>
      <w:lang w:bidi="ar-SA"/>
      <w14:ligatures w14:val="standardContextual"/>
    </w:rPr>
  </w:style>
  <w:style w:type="paragraph" w:styleId="TOC6">
    <w:name w:val="toc 6"/>
    <w:basedOn w:val="Normal"/>
    <w:next w:val="Normal"/>
    <w:autoRedefine/>
    <w:uiPriority w:val="39"/>
    <w:unhideWhenUsed/>
    <w:rsid w:val="00473786"/>
    <w:pPr>
      <w:spacing w:after="100" w:line="278" w:lineRule="auto"/>
      <w:ind w:left="1200"/>
    </w:pPr>
    <w:rPr>
      <w:rFonts w:eastAsiaTheme="minorEastAsia" w:cstheme="minorBidi"/>
      <w:kern w:val="2"/>
      <w:lang w:bidi="ar-SA"/>
      <w14:ligatures w14:val="standardContextual"/>
    </w:rPr>
  </w:style>
  <w:style w:type="paragraph" w:styleId="TOC7">
    <w:name w:val="toc 7"/>
    <w:basedOn w:val="Normal"/>
    <w:next w:val="Normal"/>
    <w:autoRedefine/>
    <w:uiPriority w:val="39"/>
    <w:unhideWhenUsed/>
    <w:rsid w:val="00473786"/>
    <w:pPr>
      <w:spacing w:after="100" w:line="278" w:lineRule="auto"/>
      <w:ind w:left="1440"/>
    </w:pPr>
    <w:rPr>
      <w:rFonts w:eastAsiaTheme="minorEastAsia" w:cstheme="minorBidi"/>
      <w:kern w:val="2"/>
      <w:lang w:bidi="ar-SA"/>
      <w14:ligatures w14:val="standardContextual"/>
    </w:rPr>
  </w:style>
  <w:style w:type="paragraph" w:styleId="TOC8">
    <w:name w:val="toc 8"/>
    <w:basedOn w:val="Normal"/>
    <w:next w:val="Normal"/>
    <w:autoRedefine/>
    <w:uiPriority w:val="39"/>
    <w:unhideWhenUsed/>
    <w:rsid w:val="00473786"/>
    <w:pPr>
      <w:spacing w:after="100" w:line="278" w:lineRule="auto"/>
      <w:ind w:left="1680"/>
    </w:pPr>
    <w:rPr>
      <w:rFonts w:eastAsiaTheme="minorEastAsia" w:cstheme="minorBidi"/>
      <w:kern w:val="2"/>
      <w:lang w:bidi="ar-SA"/>
      <w14:ligatures w14:val="standardContextual"/>
    </w:rPr>
  </w:style>
  <w:style w:type="paragraph" w:styleId="TOC9">
    <w:name w:val="toc 9"/>
    <w:basedOn w:val="Normal"/>
    <w:next w:val="Normal"/>
    <w:autoRedefine/>
    <w:uiPriority w:val="39"/>
    <w:unhideWhenUsed/>
    <w:rsid w:val="00473786"/>
    <w:pPr>
      <w:spacing w:after="100" w:line="278" w:lineRule="auto"/>
      <w:ind w:left="1920"/>
    </w:pPr>
    <w:rPr>
      <w:rFonts w:eastAsiaTheme="minorEastAsia" w:cstheme="minorBidi"/>
      <w:kern w:val="2"/>
      <w:lang w:bidi="ar-SA"/>
      <w14:ligatures w14:val="standardContextual"/>
    </w:rPr>
  </w:style>
  <w:style w:type="character" w:customStyle="1" w:styleId="UnresolvedMention2">
    <w:name w:val="Unresolved Mention2"/>
    <w:basedOn w:val="DefaultParagraphFont"/>
    <w:uiPriority w:val="99"/>
    <w:semiHidden/>
    <w:unhideWhenUsed/>
    <w:rsid w:val="00473786"/>
    <w:rPr>
      <w:color w:val="605E5C"/>
      <w:shd w:val="clear" w:color="auto" w:fill="E1DFDD"/>
    </w:rPr>
  </w:style>
  <w:style w:type="character" w:customStyle="1" w:styleId="normaltextrun">
    <w:name w:val="normaltextrun"/>
    <w:basedOn w:val="DefaultParagraphFont"/>
    <w:rsid w:val="004B2DE2"/>
  </w:style>
  <w:style w:type="character" w:customStyle="1" w:styleId="eop">
    <w:name w:val="eop"/>
    <w:basedOn w:val="DefaultParagraphFont"/>
    <w:rsid w:val="004B2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22525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tiff"/><Relationship Id="rId26" Type="http://schemas.openxmlformats.org/officeDocument/2006/relationships/image" Target="media/image15.jpeg"/><Relationship Id="rId39" Type="http://schemas.openxmlformats.org/officeDocument/2006/relationships/image" Target="media/image28.jpg"/><Relationship Id="rId21" Type="http://schemas.openxmlformats.org/officeDocument/2006/relationships/image" Target="media/image10.tiff"/><Relationship Id="rId34" Type="http://schemas.openxmlformats.org/officeDocument/2006/relationships/image" Target="media/image23.tiff"/><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tiff"/><Relationship Id="rId29" Type="http://schemas.openxmlformats.org/officeDocument/2006/relationships/image" Target="media/image18.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tiff"/><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tiff"/><Relationship Id="rId23" Type="http://schemas.openxmlformats.org/officeDocument/2006/relationships/image" Target="media/image12.tiff"/><Relationship Id="rId28" Type="http://schemas.openxmlformats.org/officeDocument/2006/relationships/image" Target="media/image17.tiff"/><Relationship Id="rId36" Type="http://schemas.openxmlformats.org/officeDocument/2006/relationships/image" Target="media/image25.tiff"/><Relationship Id="rId10" Type="http://schemas.openxmlformats.org/officeDocument/2006/relationships/endnotes" Target="endnotes.xml"/><Relationship Id="rId19" Type="http://schemas.openxmlformats.org/officeDocument/2006/relationships/image" Target="media/image8.tiff"/><Relationship Id="rId31" Type="http://schemas.openxmlformats.org/officeDocument/2006/relationships/image" Target="media/image20.tiff"/><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jpeg"/><Relationship Id="rId30" Type="http://schemas.openxmlformats.org/officeDocument/2006/relationships/image" Target="media/image19.tiff"/><Relationship Id="rId35" Type="http://schemas.openxmlformats.org/officeDocument/2006/relationships/image" Target="media/image24.tiff"/><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tiff"/><Relationship Id="rId25" Type="http://schemas.openxmlformats.org/officeDocument/2006/relationships/image" Target="media/image14.png"/><Relationship Id="rId33" Type="http://schemas.openxmlformats.org/officeDocument/2006/relationships/image" Target="media/image22.tiff"/><Relationship Id="rId38" Type="http://schemas.openxmlformats.org/officeDocument/2006/relationships/image" Target="media/image27.jpg"/><Relationship Id="rId20" Type="http://schemas.openxmlformats.org/officeDocument/2006/relationships/image" Target="media/image9.tiff"/><Relationship Id="rId41" Type="http://schemas.openxmlformats.org/officeDocument/2006/relationships/image" Target="media/image30.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8693B"/>
    <w:rsid w:val="000B1B7E"/>
    <w:rsid w:val="000D1421"/>
    <w:rsid w:val="000D27AA"/>
    <w:rsid w:val="000F2C76"/>
    <w:rsid w:val="0015246B"/>
    <w:rsid w:val="00190672"/>
    <w:rsid w:val="001A3F27"/>
    <w:rsid w:val="001B2B89"/>
    <w:rsid w:val="001D7CCF"/>
    <w:rsid w:val="001E1A0C"/>
    <w:rsid w:val="001E20D4"/>
    <w:rsid w:val="00242B91"/>
    <w:rsid w:val="00276951"/>
    <w:rsid w:val="00293081"/>
    <w:rsid w:val="003C5102"/>
    <w:rsid w:val="003C7656"/>
    <w:rsid w:val="003D3408"/>
    <w:rsid w:val="003F0AE2"/>
    <w:rsid w:val="003F6E3F"/>
    <w:rsid w:val="0042125D"/>
    <w:rsid w:val="0047590B"/>
    <w:rsid w:val="004950C2"/>
    <w:rsid w:val="004A2070"/>
    <w:rsid w:val="004E5957"/>
    <w:rsid w:val="00541CD1"/>
    <w:rsid w:val="00570E7C"/>
    <w:rsid w:val="00572AB3"/>
    <w:rsid w:val="00577619"/>
    <w:rsid w:val="005844EF"/>
    <w:rsid w:val="005902A4"/>
    <w:rsid w:val="005F38B0"/>
    <w:rsid w:val="00631351"/>
    <w:rsid w:val="00631809"/>
    <w:rsid w:val="006625ED"/>
    <w:rsid w:val="006867F7"/>
    <w:rsid w:val="006B53FA"/>
    <w:rsid w:val="007025E1"/>
    <w:rsid w:val="00715981"/>
    <w:rsid w:val="00721921"/>
    <w:rsid w:val="00725563"/>
    <w:rsid w:val="00787914"/>
    <w:rsid w:val="007A04BC"/>
    <w:rsid w:val="007A5225"/>
    <w:rsid w:val="007B55AC"/>
    <w:rsid w:val="007C473B"/>
    <w:rsid w:val="0082180D"/>
    <w:rsid w:val="00875ABD"/>
    <w:rsid w:val="008D4B9B"/>
    <w:rsid w:val="008D6524"/>
    <w:rsid w:val="008E77BA"/>
    <w:rsid w:val="0093609A"/>
    <w:rsid w:val="00941398"/>
    <w:rsid w:val="00A04AC5"/>
    <w:rsid w:val="00A343F1"/>
    <w:rsid w:val="00AF7A0F"/>
    <w:rsid w:val="00B11A3F"/>
    <w:rsid w:val="00B41819"/>
    <w:rsid w:val="00B46CD3"/>
    <w:rsid w:val="00B96B7C"/>
    <w:rsid w:val="00BA5D87"/>
    <w:rsid w:val="00BC0E12"/>
    <w:rsid w:val="00BD14CE"/>
    <w:rsid w:val="00BF24BE"/>
    <w:rsid w:val="00C074BA"/>
    <w:rsid w:val="00C4461D"/>
    <w:rsid w:val="00C738D6"/>
    <w:rsid w:val="00C76BAD"/>
    <w:rsid w:val="00C9427F"/>
    <w:rsid w:val="00CA39D2"/>
    <w:rsid w:val="00CA4D73"/>
    <w:rsid w:val="00CE49AC"/>
    <w:rsid w:val="00D25B65"/>
    <w:rsid w:val="00D77383"/>
    <w:rsid w:val="00DD6093"/>
    <w:rsid w:val="00E01EB4"/>
    <w:rsid w:val="00E144A3"/>
    <w:rsid w:val="00E66A51"/>
    <w:rsid w:val="00E70B4B"/>
    <w:rsid w:val="00ED06F4"/>
    <w:rsid w:val="00ED1ED9"/>
    <w:rsid w:val="00EF14E5"/>
    <w:rsid w:val="00F0688B"/>
    <w:rsid w:val="00F46368"/>
    <w:rsid w:val="00F62339"/>
    <w:rsid w:val="00F77442"/>
    <w:rsid w:val="00F80430"/>
    <w:rsid w:val="00FE7AC4"/>
    <w:rsid w:val="00FF3093"/>
    <w:rsid w:val="00FF64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10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7EC8D7C93170496D8C44606F111D3434">
    <w:name w:val="7EC8D7C93170496D8C44606F111D3434"/>
    <w:rsid w:val="00DD6093"/>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f199a5-c13f-4cdb-ae92-0db20c558a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7CD8AC94863149A9B5FA86AFBC62B9" ma:contentTypeVersion="18" ma:contentTypeDescription="Create a new document." ma:contentTypeScope="" ma:versionID="f63bb7c45d5c0425362da58cb94b08e6">
  <xsd:schema xmlns:xsd="http://www.w3.org/2001/XMLSchema" xmlns:xs="http://www.w3.org/2001/XMLSchema" xmlns:p="http://schemas.microsoft.com/office/2006/metadata/properties" xmlns:ns3="81f199a5-c13f-4cdb-ae92-0db20c558a9b" xmlns:ns4="1c0330fb-2573-43ce-9a42-008121db27da" targetNamespace="http://schemas.microsoft.com/office/2006/metadata/properties" ma:root="true" ma:fieldsID="4686f507d5015243892ba823470c6faf" ns3:_="" ns4:_="">
    <xsd:import namespace="81f199a5-c13f-4cdb-ae92-0db20c558a9b"/>
    <xsd:import namespace="1c0330fb-2573-43ce-9a42-008121db27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199a5-c13f-4cdb-ae92-0db20c558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330fb-2573-43ce-9a42-008121db27da"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BE2F0-2D9A-4339-9590-1BF941696263}">
  <ds:schemaRefs>
    <ds:schemaRef ds:uri="http://schemas.microsoft.com/office/2006/metadata/properties"/>
    <ds:schemaRef ds:uri="http://schemas.microsoft.com/office/infopath/2007/PartnerControls"/>
    <ds:schemaRef ds:uri="81f199a5-c13f-4cdb-ae92-0db20c558a9b"/>
  </ds:schemaRefs>
</ds:datastoreItem>
</file>

<file path=customXml/itemProps2.xml><?xml version="1.0" encoding="utf-8"?>
<ds:datastoreItem xmlns:ds="http://schemas.openxmlformats.org/officeDocument/2006/customXml" ds:itemID="{50215540-7E9B-41E8-8118-607A68F26CAB}">
  <ds:schemaRefs>
    <ds:schemaRef ds:uri="http://schemas.openxmlformats.org/officeDocument/2006/bibliography"/>
  </ds:schemaRefs>
</ds:datastoreItem>
</file>

<file path=customXml/itemProps3.xml><?xml version="1.0" encoding="utf-8"?>
<ds:datastoreItem xmlns:ds="http://schemas.openxmlformats.org/officeDocument/2006/customXml" ds:itemID="{03DF7A3B-5584-4C33-825B-4765BACFEA5C}">
  <ds:schemaRefs>
    <ds:schemaRef ds:uri="http://schemas.microsoft.com/sharepoint/v3/contenttype/forms"/>
  </ds:schemaRefs>
</ds:datastoreItem>
</file>

<file path=customXml/itemProps4.xml><?xml version="1.0" encoding="utf-8"?>
<ds:datastoreItem xmlns:ds="http://schemas.openxmlformats.org/officeDocument/2006/customXml" ds:itemID="{A8726A2F-3AB5-4A9F-B03D-FC3883D89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199a5-c13f-4cdb-ae92-0db20c558a9b"/>
    <ds:schemaRef ds:uri="1c0330fb-2573-43ce-9a42-008121db2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153</Pages>
  <Words>168373</Words>
  <Characters>991717</Characters>
  <Application>Microsoft Office Word</Application>
  <DocSecurity>0</DocSecurity>
  <Lines>24188</Lines>
  <Paragraphs>12474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1147616</CharactersWithSpaces>
  <SharedDoc>false</SharedDoc>
  <HLinks>
    <vt:vector size="690" baseType="variant">
      <vt:variant>
        <vt:i4>1507383</vt:i4>
      </vt:variant>
      <vt:variant>
        <vt:i4>692</vt:i4>
      </vt:variant>
      <vt:variant>
        <vt:i4>0</vt:i4>
      </vt:variant>
      <vt:variant>
        <vt:i4>5</vt:i4>
      </vt:variant>
      <vt:variant>
        <vt:lpwstr/>
      </vt:variant>
      <vt:variant>
        <vt:lpwstr>_Toc171976084</vt:lpwstr>
      </vt:variant>
      <vt:variant>
        <vt:i4>1507383</vt:i4>
      </vt:variant>
      <vt:variant>
        <vt:i4>686</vt:i4>
      </vt:variant>
      <vt:variant>
        <vt:i4>0</vt:i4>
      </vt:variant>
      <vt:variant>
        <vt:i4>5</vt:i4>
      </vt:variant>
      <vt:variant>
        <vt:lpwstr/>
      </vt:variant>
      <vt:variant>
        <vt:lpwstr>_Toc171976083</vt:lpwstr>
      </vt:variant>
      <vt:variant>
        <vt:i4>1507383</vt:i4>
      </vt:variant>
      <vt:variant>
        <vt:i4>680</vt:i4>
      </vt:variant>
      <vt:variant>
        <vt:i4>0</vt:i4>
      </vt:variant>
      <vt:variant>
        <vt:i4>5</vt:i4>
      </vt:variant>
      <vt:variant>
        <vt:lpwstr/>
      </vt:variant>
      <vt:variant>
        <vt:lpwstr>_Toc171976082</vt:lpwstr>
      </vt:variant>
      <vt:variant>
        <vt:i4>1507383</vt:i4>
      </vt:variant>
      <vt:variant>
        <vt:i4>674</vt:i4>
      </vt:variant>
      <vt:variant>
        <vt:i4>0</vt:i4>
      </vt:variant>
      <vt:variant>
        <vt:i4>5</vt:i4>
      </vt:variant>
      <vt:variant>
        <vt:lpwstr/>
      </vt:variant>
      <vt:variant>
        <vt:lpwstr>_Toc171976081</vt:lpwstr>
      </vt:variant>
      <vt:variant>
        <vt:i4>1507383</vt:i4>
      </vt:variant>
      <vt:variant>
        <vt:i4>668</vt:i4>
      </vt:variant>
      <vt:variant>
        <vt:i4>0</vt:i4>
      </vt:variant>
      <vt:variant>
        <vt:i4>5</vt:i4>
      </vt:variant>
      <vt:variant>
        <vt:lpwstr/>
      </vt:variant>
      <vt:variant>
        <vt:lpwstr>_Toc171976080</vt:lpwstr>
      </vt:variant>
      <vt:variant>
        <vt:i4>1572919</vt:i4>
      </vt:variant>
      <vt:variant>
        <vt:i4>662</vt:i4>
      </vt:variant>
      <vt:variant>
        <vt:i4>0</vt:i4>
      </vt:variant>
      <vt:variant>
        <vt:i4>5</vt:i4>
      </vt:variant>
      <vt:variant>
        <vt:lpwstr/>
      </vt:variant>
      <vt:variant>
        <vt:lpwstr>_Toc171976079</vt:lpwstr>
      </vt:variant>
      <vt:variant>
        <vt:i4>1572919</vt:i4>
      </vt:variant>
      <vt:variant>
        <vt:i4>656</vt:i4>
      </vt:variant>
      <vt:variant>
        <vt:i4>0</vt:i4>
      </vt:variant>
      <vt:variant>
        <vt:i4>5</vt:i4>
      </vt:variant>
      <vt:variant>
        <vt:lpwstr/>
      </vt:variant>
      <vt:variant>
        <vt:lpwstr>_Toc171976078</vt:lpwstr>
      </vt:variant>
      <vt:variant>
        <vt:i4>1572919</vt:i4>
      </vt:variant>
      <vt:variant>
        <vt:i4>650</vt:i4>
      </vt:variant>
      <vt:variant>
        <vt:i4>0</vt:i4>
      </vt:variant>
      <vt:variant>
        <vt:i4>5</vt:i4>
      </vt:variant>
      <vt:variant>
        <vt:lpwstr/>
      </vt:variant>
      <vt:variant>
        <vt:lpwstr>_Toc171976077</vt:lpwstr>
      </vt:variant>
      <vt:variant>
        <vt:i4>1572919</vt:i4>
      </vt:variant>
      <vt:variant>
        <vt:i4>644</vt:i4>
      </vt:variant>
      <vt:variant>
        <vt:i4>0</vt:i4>
      </vt:variant>
      <vt:variant>
        <vt:i4>5</vt:i4>
      </vt:variant>
      <vt:variant>
        <vt:lpwstr/>
      </vt:variant>
      <vt:variant>
        <vt:lpwstr>_Toc171976076</vt:lpwstr>
      </vt:variant>
      <vt:variant>
        <vt:i4>1572919</vt:i4>
      </vt:variant>
      <vt:variant>
        <vt:i4>638</vt:i4>
      </vt:variant>
      <vt:variant>
        <vt:i4>0</vt:i4>
      </vt:variant>
      <vt:variant>
        <vt:i4>5</vt:i4>
      </vt:variant>
      <vt:variant>
        <vt:lpwstr/>
      </vt:variant>
      <vt:variant>
        <vt:lpwstr>_Toc171976075</vt:lpwstr>
      </vt:variant>
      <vt:variant>
        <vt:i4>1572919</vt:i4>
      </vt:variant>
      <vt:variant>
        <vt:i4>632</vt:i4>
      </vt:variant>
      <vt:variant>
        <vt:i4>0</vt:i4>
      </vt:variant>
      <vt:variant>
        <vt:i4>5</vt:i4>
      </vt:variant>
      <vt:variant>
        <vt:lpwstr/>
      </vt:variant>
      <vt:variant>
        <vt:lpwstr>_Toc171976074</vt:lpwstr>
      </vt:variant>
      <vt:variant>
        <vt:i4>1572919</vt:i4>
      </vt:variant>
      <vt:variant>
        <vt:i4>626</vt:i4>
      </vt:variant>
      <vt:variant>
        <vt:i4>0</vt:i4>
      </vt:variant>
      <vt:variant>
        <vt:i4>5</vt:i4>
      </vt:variant>
      <vt:variant>
        <vt:lpwstr/>
      </vt:variant>
      <vt:variant>
        <vt:lpwstr>_Toc171976073</vt:lpwstr>
      </vt:variant>
      <vt:variant>
        <vt:i4>1572919</vt:i4>
      </vt:variant>
      <vt:variant>
        <vt:i4>620</vt:i4>
      </vt:variant>
      <vt:variant>
        <vt:i4>0</vt:i4>
      </vt:variant>
      <vt:variant>
        <vt:i4>5</vt:i4>
      </vt:variant>
      <vt:variant>
        <vt:lpwstr/>
      </vt:variant>
      <vt:variant>
        <vt:lpwstr>_Toc171976072</vt:lpwstr>
      </vt:variant>
      <vt:variant>
        <vt:i4>1572919</vt:i4>
      </vt:variant>
      <vt:variant>
        <vt:i4>614</vt:i4>
      </vt:variant>
      <vt:variant>
        <vt:i4>0</vt:i4>
      </vt:variant>
      <vt:variant>
        <vt:i4>5</vt:i4>
      </vt:variant>
      <vt:variant>
        <vt:lpwstr/>
      </vt:variant>
      <vt:variant>
        <vt:lpwstr>_Toc171976071</vt:lpwstr>
      </vt:variant>
      <vt:variant>
        <vt:i4>1572919</vt:i4>
      </vt:variant>
      <vt:variant>
        <vt:i4>608</vt:i4>
      </vt:variant>
      <vt:variant>
        <vt:i4>0</vt:i4>
      </vt:variant>
      <vt:variant>
        <vt:i4>5</vt:i4>
      </vt:variant>
      <vt:variant>
        <vt:lpwstr/>
      </vt:variant>
      <vt:variant>
        <vt:lpwstr>_Toc171976070</vt:lpwstr>
      </vt:variant>
      <vt:variant>
        <vt:i4>1638455</vt:i4>
      </vt:variant>
      <vt:variant>
        <vt:i4>602</vt:i4>
      </vt:variant>
      <vt:variant>
        <vt:i4>0</vt:i4>
      </vt:variant>
      <vt:variant>
        <vt:i4>5</vt:i4>
      </vt:variant>
      <vt:variant>
        <vt:lpwstr/>
      </vt:variant>
      <vt:variant>
        <vt:lpwstr>_Toc171976069</vt:lpwstr>
      </vt:variant>
      <vt:variant>
        <vt:i4>1638455</vt:i4>
      </vt:variant>
      <vt:variant>
        <vt:i4>596</vt:i4>
      </vt:variant>
      <vt:variant>
        <vt:i4>0</vt:i4>
      </vt:variant>
      <vt:variant>
        <vt:i4>5</vt:i4>
      </vt:variant>
      <vt:variant>
        <vt:lpwstr/>
      </vt:variant>
      <vt:variant>
        <vt:lpwstr>_Toc171976068</vt:lpwstr>
      </vt:variant>
      <vt:variant>
        <vt:i4>1638455</vt:i4>
      </vt:variant>
      <vt:variant>
        <vt:i4>590</vt:i4>
      </vt:variant>
      <vt:variant>
        <vt:i4>0</vt:i4>
      </vt:variant>
      <vt:variant>
        <vt:i4>5</vt:i4>
      </vt:variant>
      <vt:variant>
        <vt:lpwstr/>
      </vt:variant>
      <vt:variant>
        <vt:lpwstr>_Toc171976067</vt:lpwstr>
      </vt:variant>
      <vt:variant>
        <vt:i4>1638455</vt:i4>
      </vt:variant>
      <vt:variant>
        <vt:i4>584</vt:i4>
      </vt:variant>
      <vt:variant>
        <vt:i4>0</vt:i4>
      </vt:variant>
      <vt:variant>
        <vt:i4>5</vt:i4>
      </vt:variant>
      <vt:variant>
        <vt:lpwstr/>
      </vt:variant>
      <vt:variant>
        <vt:lpwstr>_Toc171976066</vt:lpwstr>
      </vt:variant>
      <vt:variant>
        <vt:i4>1900592</vt:i4>
      </vt:variant>
      <vt:variant>
        <vt:i4>575</vt:i4>
      </vt:variant>
      <vt:variant>
        <vt:i4>0</vt:i4>
      </vt:variant>
      <vt:variant>
        <vt:i4>5</vt:i4>
      </vt:variant>
      <vt:variant>
        <vt:lpwstr/>
      </vt:variant>
      <vt:variant>
        <vt:lpwstr>_Toc171975711</vt:lpwstr>
      </vt:variant>
      <vt:variant>
        <vt:i4>1900592</vt:i4>
      </vt:variant>
      <vt:variant>
        <vt:i4>569</vt:i4>
      </vt:variant>
      <vt:variant>
        <vt:i4>0</vt:i4>
      </vt:variant>
      <vt:variant>
        <vt:i4>5</vt:i4>
      </vt:variant>
      <vt:variant>
        <vt:lpwstr/>
      </vt:variant>
      <vt:variant>
        <vt:lpwstr>_Toc171975710</vt:lpwstr>
      </vt:variant>
      <vt:variant>
        <vt:i4>1835056</vt:i4>
      </vt:variant>
      <vt:variant>
        <vt:i4>563</vt:i4>
      </vt:variant>
      <vt:variant>
        <vt:i4>0</vt:i4>
      </vt:variant>
      <vt:variant>
        <vt:i4>5</vt:i4>
      </vt:variant>
      <vt:variant>
        <vt:lpwstr/>
      </vt:variant>
      <vt:variant>
        <vt:lpwstr>_Toc171975709</vt:lpwstr>
      </vt:variant>
      <vt:variant>
        <vt:i4>1835056</vt:i4>
      </vt:variant>
      <vt:variant>
        <vt:i4>557</vt:i4>
      </vt:variant>
      <vt:variant>
        <vt:i4>0</vt:i4>
      </vt:variant>
      <vt:variant>
        <vt:i4>5</vt:i4>
      </vt:variant>
      <vt:variant>
        <vt:lpwstr/>
      </vt:variant>
      <vt:variant>
        <vt:lpwstr>_Toc171975708</vt:lpwstr>
      </vt:variant>
      <vt:variant>
        <vt:i4>1835056</vt:i4>
      </vt:variant>
      <vt:variant>
        <vt:i4>551</vt:i4>
      </vt:variant>
      <vt:variant>
        <vt:i4>0</vt:i4>
      </vt:variant>
      <vt:variant>
        <vt:i4>5</vt:i4>
      </vt:variant>
      <vt:variant>
        <vt:lpwstr/>
      </vt:variant>
      <vt:variant>
        <vt:lpwstr>_Toc171975707</vt:lpwstr>
      </vt:variant>
      <vt:variant>
        <vt:i4>1835056</vt:i4>
      </vt:variant>
      <vt:variant>
        <vt:i4>545</vt:i4>
      </vt:variant>
      <vt:variant>
        <vt:i4>0</vt:i4>
      </vt:variant>
      <vt:variant>
        <vt:i4>5</vt:i4>
      </vt:variant>
      <vt:variant>
        <vt:lpwstr/>
      </vt:variant>
      <vt:variant>
        <vt:lpwstr>_Toc171975706</vt:lpwstr>
      </vt:variant>
      <vt:variant>
        <vt:i4>1835056</vt:i4>
      </vt:variant>
      <vt:variant>
        <vt:i4>539</vt:i4>
      </vt:variant>
      <vt:variant>
        <vt:i4>0</vt:i4>
      </vt:variant>
      <vt:variant>
        <vt:i4>5</vt:i4>
      </vt:variant>
      <vt:variant>
        <vt:lpwstr/>
      </vt:variant>
      <vt:variant>
        <vt:lpwstr>_Toc171975705</vt:lpwstr>
      </vt:variant>
      <vt:variant>
        <vt:i4>1835056</vt:i4>
      </vt:variant>
      <vt:variant>
        <vt:i4>533</vt:i4>
      </vt:variant>
      <vt:variant>
        <vt:i4>0</vt:i4>
      </vt:variant>
      <vt:variant>
        <vt:i4>5</vt:i4>
      </vt:variant>
      <vt:variant>
        <vt:lpwstr/>
      </vt:variant>
      <vt:variant>
        <vt:lpwstr>_Toc171975704</vt:lpwstr>
      </vt:variant>
      <vt:variant>
        <vt:i4>1835056</vt:i4>
      </vt:variant>
      <vt:variant>
        <vt:i4>527</vt:i4>
      </vt:variant>
      <vt:variant>
        <vt:i4>0</vt:i4>
      </vt:variant>
      <vt:variant>
        <vt:i4>5</vt:i4>
      </vt:variant>
      <vt:variant>
        <vt:lpwstr/>
      </vt:variant>
      <vt:variant>
        <vt:lpwstr>_Toc171975703</vt:lpwstr>
      </vt:variant>
      <vt:variant>
        <vt:i4>1835056</vt:i4>
      </vt:variant>
      <vt:variant>
        <vt:i4>521</vt:i4>
      </vt:variant>
      <vt:variant>
        <vt:i4>0</vt:i4>
      </vt:variant>
      <vt:variant>
        <vt:i4>5</vt:i4>
      </vt:variant>
      <vt:variant>
        <vt:lpwstr/>
      </vt:variant>
      <vt:variant>
        <vt:lpwstr>_Toc171975702</vt:lpwstr>
      </vt:variant>
      <vt:variant>
        <vt:i4>1835056</vt:i4>
      </vt:variant>
      <vt:variant>
        <vt:i4>515</vt:i4>
      </vt:variant>
      <vt:variant>
        <vt:i4>0</vt:i4>
      </vt:variant>
      <vt:variant>
        <vt:i4>5</vt:i4>
      </vt:variant>
      <vt:variant>
        <vt:lpwstr/>
      </vt:variant>
      <vt:variant>
        <vt:lpwstr>_Toc171975701</vt:lpwstr>
      </vt:variant>
      <vt:variant>
        <vt:i4>1769524</vt:i4>
      </vt:variant>
      <vt:variant>
        <vt:i4>506</vt:i4>
      </vt:variant>
      <vt:variant>
        <vt:i4>0</vt:i4>
      </vt:variant>
      <vt:variant>
        <vt:i4>5</vt:i4>
      </vt:variant>
      <vt:variant>
        <vt:lpwstr/>
      </vt:variant>
      <vt:variant>
        <vt:lpwstr>_Toc171947052</vt:lpwstr>
      </vt:variant>
      <vt:variant>
        <vt:i4>1769524</vt:i4>
      </vt:variant>
      <vt:variant>
        <vt:i4>500</vt:i4>
      </vt:variant>
      <vt:variant>
        <vt:i4>0</vt:i4>
      </vt:variant>
      <vt:variant>
        <vt:i4>5</vt:i4>
      </vt:variant>
      <vt:variant>
        <vt:lpwstr/>
      </vt:variant>
      <vt:variant>
        <vt:lpwstr>_Toc171947051</vt:lpwstr>
      </vt:variant>
      <vt:variant>
        <vt:i4>1769524</vt:i4>
      </vt:variant>
      <vt:variant>
        <vt:i4>494</vt:i4>
      </vt:variant>
      <vt:variant>
        <vt:i4>0</vt:i4>
      </vt:variant>
      <vt:variant>
        <vt:i4>5</vt:i4>
      </vt:variant>
      <vt:variant>
        <vt:lpwstr/>
      </vt:variant>
      <vt:variant>
        <vt:lpwstr>_Toc171947050</vt:lpwstr>
      </vt:variant>
      <vt:variant>
        <vt:i4>1703988</vt:i4>
      </vt:variant>
      <vt:variant>
        <vt:i4>488</vt:i4>
      </vt:variant>
      <vt:variant>
        <vt:i4>0</vt:i4>
      </vt:variant>
      <vt:variant>
        <vt:i4>5</vt:i4>
      </vt:variant>
      <vt:variant>
        <vt:lpwstr/>
      </vt:variant>
      <vt:variant>
        <vt:lpwstr>_Toc171947049</vt:lpwstr>
      </vt:variant>
      <vt:variant>
        <vt:i4>1703988</vt:i4>
      </vt:variant>
      <vt:variant>
        <vt:i4>482</vt:i4>
      </vt:variant>
      <vt:variant>
        <vt:i4>0</vt:i4>
      </vt:variant>
      <vt:variant>
        <vt:i4>5</vt:i4>
      </vt:variant>
      <vt:variant>
        <vt:lpwstr/>
      </vt:variant>
      <vt:variant>
        <vt:lpwstr>_Toc171947048</vt:lpwstr>
      </vt:variant>
      <vt:variant>
        <vt:i4>1703988</vt:i4>
      </vt:variant>
      <vt:variant>
        <vt:i4>476</vt:i4>
      </vt:variant>
      <vt:variant>
        <vt:i4>0</vt:i4>
      </vt:variant>
      <vt:variant>
        <vt:i4>5</vt:i4>
      </vt:variant>
      <vt:variant>
        <vt:lpwstr/>
      </vt:variant>
      <vt:variant>
        <vt:lpwstr>_Toc171947047</vt:lpwstr>
      </vt:variant>
      <vt:variant>
        <vt:i4>1703988</vt:i4>
      </vt:variant>
      <vt:variant>
        <vt:i4>470</vt:i4>
      </vt:variant>
      <vt:variant>
        <vt:i4>0</vt:i4>
      </vt:variant>
      <vt:variant>
        <vt:i4>5</vt:i4>
      </vt:variant>
      <vt:variant>
        <vt:lpwstr/>
      </vt:variant>
      <vt:variant>
        <vt:lpwstr>_Toc171947046</vt:lpwstr>
      </vt:variant>
      <vt:variant>
        <vt:i4>1703988</vt:i4>
      </vt:variant>
      <vt:variant>
        <vt:i4>464</vt:i4>
      </vt:variant>
      <vt:variant>
        <vt:i4>0</vt:i4>
      </vt:variant>
      <vt:variant>
        <vt:i4>5</vt:i4>
      </vt:variant>
      <vt:variant>
        <vt:lpwstr/>
      </vt:variant>
      <vt:variant>
        <vt:lpwstr>_Toc171947045</vt:lpwstr>
      </vt:variant>
      <vt:variant>
        <vt:i4>1703988</vt:i4>
      </vt:variant>
      <vt:variant>
        <vt:i4>458</vt:i4>
      </vt:variant>
      <vt:variant>
        <vt:i4>0</vt:i4>
      </vt:variant>
      <vt:variant>
        <vt:i4>5</vt:i4>
      </vt:variant>
      <vt:variant>
        <vt:lpwstr/>
      </vt:variant>
      <vt:variant>
        <vt:lpwstr>_Toc171947044</vt:lpwstr>
      </vt:variant>
      <vt:variant>
        <vt:i4>1703988</vt:i4>
      </vt:variant>
      <vt:variant>
        <vt:i4>452</vt:i4>
      </vt:variant>
      <vt:variant>
        <vt:i4>0</vt:i4>
      </vt:variant>
      <vt:variant>
        <vt:i4>5</vt:i4>
      </vt:variant>
      <vt:variant>
        <vt:lpwstr/>
      </vt:variant>
      <vt:variant>
        <vt:lpwstr>_Toc171947043</vt:lpwstr>
      </vt:variant>
      <vt:variant>
        <vt:i4>1703988</vt:i4>
      </vt:variant>
      <vt:variant>
        <vt:i4>446</vt:i4>
      </vt:variant>
      <vt:variant>
        <vt:i4>0</vt:i4>
      </vt:variant>
      <vt:variant>
        <vt:i4>5</vt:i4>
      </vt:variant>
      <vt:variant>
        <vt:lpwstr/>
      </vt:variant>
      <vt:variant>
        <vt:lpwstr>_Toc171947042</vt:lpwstr>
      </vt:variant>
      <vt:variant>
        <vt:i4>1703988</vt:i4>
      </vt:variant>
      <vt:variant>
        <vt:i4>440</vt:i4>
      </vt:variant>
      <vt:variant>
        <vt:i4>0</vt:i4>
      </vt:variant>
      <vt:variant>
        <vt:i4>5</vt:i4>
      </vt:variant>
      <vt:variant>
        <vt:lpwstr/>
      </vt:variant>
      <vt:variant>
        <vt:lpwstr>_Toc171947041</vt:lpwstr>
      </vt:variant>
      <vt:variant>
        <vt:i4>1703988</vt:i4>
      </vt:variant>
      <vt:variant>
        <vt:i4>434</vt:i4>
      </vt:variant>
      <vt:variant>
        <vt:i4>0</vt:i4>
      </vt:variant>
      <vt:variant>
        <vt:i4>5</vt:i4>
      </vt:variant>
      <vt:variant>
        <vt:lpwstr/>
      </vt:variant>
      <vt:variant>
        <vt:lpwstr>_Toc171947040</vt:lpwstr>
      </vt:variant>
      <vt:variant>
        <vt:i4>1900596</vt:i4>
      </vt:variant>
      <vt:variant>
        <vt:i4>428</vt:i4>
      </vt:variant>
      <vt:variant>
        <vt:i4>0</vt:i4>
      </vt:variant>
      <vt:variant>
        <vt:i4>5</vt:i4>
      </vt:variant>
      <vt:variant>
        <vt:lpwstr/>
      </vt:variant>
      <vt:variant>
        <vt:lpwstr>_Toc171947039</vt:lpwstr>
      </vt:variant>
      <vt:variant>
        <vt:i4>1900596</vt:i4>
      </vt:variant>
      <vt:variant>
        <vt:i4>422</vt:i4>
      </vt:variant>
      <vt:variant>
        <vt:i4>0</vt:i4>
      </vt:variant>
      <vt:variant>
        <vt:i4>5</vt:i4>
      </vt:variant>
      <vt:variant>
        <vt:lpwstr/>
      </vt:variant>
      <vt:variant>
        <vt:lpwstr>_Toc171947038</vt:lpwstr>
      </vt:variant>
      <vt:variant>
        <vt:i4>1900596</vt:i4>
      </vt:variant>
      <vt:variant>
        <vt:i4>416</vt:i4>
      </vt:variant>
      <vt:variant>
        <vt:i4>0</vt:i4>
      </vt:variant>
      <vt:variant>
        <vt:i4>5</vt:i4>
      </vt:variant>
      <vt:variant>
        <vt:lpwstr/>
      </vt:variant>
      <vt:variant>
        <vt:lpwstr>_Toc171947037</vt:lpwstr>
      </vt:variant>
      <vt:variant>
        <vt:i4>1900596</vt:i4>
      </vt:variant>
      <vt:variant>
        <vt:i4>410</vt:i4>
      </vt:variant>
      <vt:variant>
        <vt:i4>0</vt:i4>
      </vt:variant>
      <vt:variant>
        <vt:i4>5</vt:i4>
      </vt:variant>
      <vt:variant>
        <vt:lpwstr/>
      </vt:variant>
      <vt:variant>
        <vt:lpwstr>_Toc171947036</vt:lpwstr>
      </vt:variant>
      <vt:variant>
        <vt:i4>1900596</vt:i4>
      </vt:variant>
      <vt:variant>
        <vt:i4>404</vt:i4>
      </vt:variant>
      <vt:variant>
        <vt:i4>0</vt:i4>
      </vt:variant>
      <vt:variant>
        <vt:i4>5</vt:i4>
      </vt:variant>
      <vt:variant>
        <vt:lpwstr/>
      </vt:variant>
      <vt:variant>
        <vt:lpwstr>_Toc171947035</vt:lpwstr>
      </vt:variant>
      <vt:variant>
        <vt:i4>1900596</vt:i4>
      </vt:variant>
      <vt:variant>
        <vt:i4>398</vt:i4>
      </vt:variant>
      <vt:variant>
        <vt:i4>0</vt:i4>
      </vt:variant>
      <vt:variant>
        <vt:i4>5</vt:i4>
      </vt:variant>
      <vt:variant>
        <vt:lpwstr/>
      </vt:variant>
      <vt:variant>
        <vt:lpwstr>_Toc171947034</vt:lpwstr>
      </vt:variant>
      <vt:variant>
        <vt:i4>1900596</vt:i4>
      </vt:variant>
      <vt:variant>
        <vt:i4>392</vt:i4>
      </vt:variant>
      <vt:variant>
        <vt:i4>0</vt:i4>
      </vt:variant>
      <vt:variant>
        <vt:i4>5</vt:i4>
      </vt:variant>
      <vt:variant>
        <vt:lpwstr/>
      </vt:variant>
      <vt:variant>
        <vt:lpwstr>_Toc171947033</vt:lpwstr>
      </vt:variant>
      <vt:variant>
        <vt:i4>1900596</vt:i4>
      </vt:variant>
      <vt:variant>
        <vt:i4>386</vt:i4>
      </vt:variant>
      <vt:variant>
        <vt:i4>0</vt:i4>
      </vt:variant>
      <vt:variant>
        <vt:i4>5</vt:i4>
      </vt:variant>
      <vt:variant>
        <vt:lpwstr/>
      </vt:variant>
      <vt:variant>
        <vt:lpwstr>_Toc171947032</vt:lpwstr>
      </vt:variant>
      <vt:variant>
        <vt:i4>1900596</vt:i4>
      </vt:variant>
      <vt:variant>
        <vt:i4>380</vt:i4>
      </vt:variant>
      <vt:variant>
        <vt:i4>0</vt:i4>
      </vt:variant>
      <vt:variant>
        <vt:i4>5</vt:i4>
      </vt:variant>
      <vt:variant>
        <vt:lpwstr/>
      </vt:variant>
      <vt:variant>
        <vt:lpwstr>_Toc171947031</vt:lpwstr>
      </vt:variant>
      <vt:variant>
        <vt:i4>1900596</vt:i4>
      </vt:variant>
      <vt:variant>
        <vt:i4>374</vt:i4>
      </vt:variant>
      <vt:variant>
        <vt:i4>0</vt:i4>
      </vt:variant>
      <vt:variant>
        <vt:i4>5</vt:i4>
      </vt:variant>
      <vt:variant>
        <vt:lpwstr/>
      </vt:variant>
      <vt:variant>
        <vt:lpwstr>_Toc171947030</vt:lpwstr>
      </vt:variant>
      <vt:variant>
        <vt:i4>1835060</vt:i4>
      </vt:variant>
      <vt:variant>
        <vt:i4>368</vt:i4>
      </vt:variant>
      <vt:variant>
        <vt:i4>0</vt:i4>
      </vt:variant>
      <vt:variant>
        <vt:i4>5</vt:i4>
      </vt:variant>
      <vt:variant>
        <vt:lpwstr/>
      </vt:variant>
      <vt:variant>
        <vt:lpwstr>_Toc171947029</vt:lpwstr>
      </vt:variant>
      <vt:variant>
        <vt:i4>1835060</vt:i4>
      </vt:variant>
      <vt:variant>
        <vt:i4>362</vt:i4>
      </vt:variant>
      <vt:variant>
        <vt:i4>0</vt:i4>
      </vt:variant>
      <vt:variant>
        <vt:i4>5</vt:i4>
      </vt:variant>
      <vt:variant>
        <vt:lpwstr/>
      </vt:variant>
      <vt:variant>
        <vt:lpwstr>_Toc171947028</vt:lpwstr>
      </vt:variant>
      <vt:variant>
        <vt:i4>1835060</vt:i4>
      </vt:variant>
      <vt:variant>
        <vt:i4>356</vt:i4>
      </vt:variant>
      <vt:variant>
        <vt:i4>0</vt:i4>
      </vt:variant>
      <vt:variant>
        <vt:i4>5</vt:i4>
      </vt:variant>
      <vt:variant>
        <vt:lpwstr/>
      </vt:variant>
      <vt:variant>
        <vt:lpwstr>_Toc171947027</vt:lpwstr>
      </vt:variant>
      <vt:variant>
        <vt:i4>1835060</vt:i4>
      </vt:variant>
      <vt:variant>
        <vt:i4>350</vt:i4>
      </vt:variant>
      <vt:variant>
        <vt:i4>0</vt:i4>
      </vt:variant>
      <vt:variant>
        <vt:i4>5</vt:i4>
      </vt:variant>
      <vt:variant>
        <vt:lpwstr/>
      </vt:variant>
      <vt:variant>
        <vt:lpwstr>_Toc171947026</vt:lpwstr>
      </vt:variant>
      <vt:variant>
        <vt:i4>1835060</vt:i4>
      </vt:variant>
      <vt:variant>
        <vt:i4>344</vt:i4>
      </vt:variant>
      <vt:variant>
        <vt:i4>0</vt:i4>
      </vt:variant>
      <vt:variant>
        <vt:i4>5</vt:i4>
      </vt:variant>
      <vt:variant>
        <vt:lpwstr/>
      </vt:variant>
      <vt:variant>
        <vt:lpwstr>_Toc171947025</vt:lpwstr>
      </vt:variant>
      <vt:variant>
        <vt:i4>1835060</vt:i4>
      </vt:variant>
      <vt:variant>
        <vt:i4>338</vt:i4>
      </vt:variant>
      <vt:variant>
        <vt:i4>0</vt:i4>
      </vt:variant>
      <vt:variant>
        <vt:i4>5</vt:i4>
      </vt:variant>
      <vt:variant>
        <vt:lpwstr/>
      </vt:variant>
      <vt:variant>
        <vt:lpwstr>_Toc171947024</vt:lpwstr>
      </vt:variant>
      <vt:variant>
        <vt:i4>1835060</vt:i4>
      </vt:variant>
      <vt:variant>
        <vt:i4>332</vt:i4>
      </vt:variant>
      <vt:variant>
        <vt:i4>0</vt:i4>
      </vt:variant>
      <vt:variant>
        <vt:i4>5</vt:i4>
      </vt:variant>
      <vt:variant>
        <vt:lpwstr/>
      </vt:variant>
      <vt:variant>
        <vt:lpwstr>_Toc171947023</vt:lpwstr>
      </vt:variant>
      <vt:variant>
        <vt:i4>1835060</vt:i4>
      </vt:variant>
      <vt:variant>
        <vt:i4>326</vt:i4>
      </vt:variant>
      <vt:variant>
        <vt:i4>0</vt:i4>
      </vt:variant>
      <vt:variant>
        <vt:i4>5</vt:i4>
      </vt:variant>
      <vt:variant>
        <vt:lpwstr/>
      </vt:variant>
      <vt:variant>
        <vt:lpwstr>_Toc171947022</vt:lpwstr>
      </vt:variant>
      <vt:variant>
        <vt:i4>1835060</vt:i4>
      </vt:variant>
      <vt:variant>
        <vt:i4>320</vt:i4>
      </vt:variant>
      <vt:variant>
        <vt:i4>0</vt:i4>
      </vt:variant>
      <vt:variant>
        <vt:i4>5</vt:i4>
      </vt:variant>
      <vt:variant>
        <vt:lpwstr/>
      </vt:variant>
      <vt:variant>
        <vt:lpwstr>_Toc171947021</vt:lpwstr>
      </vt:variant>
      <vt:variant>
        <vt:i4>1835060</vt:i4>
      </vt:variant>
      <vt:variant>
        <vt:i4>314</vt:i4>
      </vt:variant>
      <vt:variant>
        <vt:i4>0</vt:i4>
      </vt:variant>
      <vt:variant>
        <vt:i4>5</vt:i4>
      </vt:variant>
      <vt:variant>
        <vt:lpwstr/>
      </vt:variant>
      <vt:variant>
        <vt:lpwstr>_Toc171947020</vt:lpwstr>
      </vt:variant>
      <vt:variant>
        <vt:i4>2031668</vt:i4>
      </vt:variant>
      <vt:variant>
        <vt:i4>308</vt:i4>
      </vt:variant>
      <vt:variant>
        <vt:i4>0</vt:i4>
      </vt:variant>
      <vt:variant>
        <vt:i4>5</vt:i4>
      </vt:variant>
      <vt:variant>
        <vt:lpwstr/>
      </vt:variant>
      <vt:variant>
        <vt:lpwstr>_Toc171947019</vt:lpwstr>
      </vt:variant>
      <vt:variant>
        <vt:i4>2031668</vt:i4>
      </vt:variant>
      <vt:variant>
        <vt:i4>302</vt:i4>
      </vt:variant>
      <vt:variant>
        <vt:i4>0</vt:i4>
      </vt:variant>
      <vt:variant>
        <vt:i4>5</vt:i4>
      </vt:variant>
      <vt:variant>
        <vt:lpwstr/>
      </vt:variant>
      <vt:variant>
        <vt:lpwstr>_Toc171947018</vt:lpwstr>
      </vt:variant>
      <vt:variant>
        <vt:i4>2031668</vt:i4>
      </vt:variant>
      <vt:variant>
        <vt:i4>296</vt:i4>
      </vt:variant>
      <vt:variant>
        <vt:i4>0</vt:i4>
      </vt:variant>
      <vt:variant>
        <vt:i4>5</vt:i4>
      </vt:variant>
      <vt:variant>
        <vt:lpwstr/>
      </vt:variant>
      <vt:variant>
        <vt:lpwstr>_Toc171947017</vt:lpwstr>
      </vt:variant>
      <vt:variant>
        <vt:i4>2031668</vt:i4>
      </vt:variant>
      <vt:variant>
        <vt:i4>290</vt:i4>
      </vt:variant>
      <vt:variant>
        <vt:i4>0</vt:i4>
      </vt:variant>
      <vt:variant>
        <vt:i4>5</vt:i4>
      </vt:variant>
      <vt:variant>
        <vt:lpwstr/>
      </vt:variant>
      <vt:variant>
        <vt:lpwstr>_Toc171947016</vt:lpwstr>
      </vt:variant>
      <vt:variant>
        <vt:i4>2031668</vt:i4>
      </vt:variant>
      <vt:variant>
        <vt:i4>284</vt:i4>
      </vt:variant>
      <vt:variant>
        <vt:i4>0</vt:i4>
      </vt:variant>
      <vt:variant>
        <vt:i4>5</vt:i4>
      </vt:variant>
      <vt:variant>
        <vt:lpwstr/>
      </vt:variant>
      <vt:variant>
        <vt:lpwstr>_Toc171947015</vt:lpwstr>
      </vt:variant>
      <vt:variant>
        <vt:i4>2031668</vt:i4>
      </vt:variant>
      <vt:variant>
        <vt:i4>278</vt:i4>
      </vt:variant>
      <vt:variant>
        <vt:i4>0</vt:i4>
      </vt:variant>
      <vt:variant>
        <vt:i4>5</vt:i4>
      </vt:variant>
      <vt:variant>
        <vt:lpwstr/>
      </vt:variant>
      <vt:variant>
        <vt:lpwstr>_Toc171947014</vt:lpwstr>
      </vt:variant>
      <vt:variant>
        <vt:i4>2031668</vt:i4>
      </vt:variant>
      <vt:variant>
        <vt:i4>272</vt:i4>
      </vt:variant>
      <vt:variant>
        <vt:i4>0</vt:i4>
      </vt:variant>
      <vt:variant>
        <vt:i4>5</vt:i4>
      </vt:variant>
      <vt:variant>
        <vt:lpwstr/>
      </vt:variant>
      <vt:variant>
        <vt:lpwstr>_Toc171947013</vt:lpwstr>
      </vt:variant>
      <vt:variant>
        <vt:i4>2031668</vt:i4>
      </vt:variant>
      <vt:variant>
        <vt:i4>266</vt:i4>
      </vt:variant>
      <vt:variant>
        <vt:i4>0</vt:i4>
      </vt:variant>
      <vt:variant>
        <vt:i4>5</vt:i4>
      </vt:variant>
      <vt:variant>
        <vt:lpwstr/>
      </vt:variant>
      <vt:variant>
        <vt:lpwstr>_Toc171947012</vt:lpwstr>
      </vt:variant>
      <vt:variant>
        <vt:i4>2031668</vt:i4>
      </vt:variant>
      <vt:variant>
        <vt:i4>260</vt:i4>
      </vt:variant>
      <vt:variant>
        <vt:i4>0</vt:i4>
      </vt:variant>
      <vt:variant>
        <vt:i4>5</vt:i4>
      </vt:variant>
      <vt:variant>
        <vt:lpwstr/>
      </vt:variant>
      <vt:variant>
        <vt:lpwstr>_Toc171947011</vt:lpwstr>
      </vt:variant>
      <vt:variant>
        <vt:i4>2031668</vt:i4>
      </vt:variant>
      <vt:variant>
        <vt:i4>254</vt:i4>
      </vt:variant>
      <vt:variant>
        <vt:i4>0</vt:i4>
      </vt:variant>
      <vt:variant>
        <vt:i4>5</vt:i4>
      </vt:variant>
      <vt:variant>
        <vt:lpwstr/>
      </vt:variant>
      <vt:variant>
        <vt:lpwstr>_Toc171947010</vt:lpwstr>
      </vt:variant>
      <vt:variant>
        <vt:i4>1966132</vt:i4>
      </vt:variant>
      <vt:variant>
        <vt:i4>248</vt:i4>
      </vt:variant>
      <vt:variant>
        <vt:i4>0</vt:i4>
      </vt:variant>
      <vt:variant>
        <vt:i4>5</vt:i4>
      </vt:variant>
      <vt:variant>
        <vt:lpwstr/>
      </vt:variant>
      <vt:variant>
        <vt:lpwstr>_Toc171947009</vt:lpwstr>
      </vt:variant>
      <vt:variant>
        <vt:i4>1966132</vt:i4>
      </vt:variant>
      <vt:variant>
        <vt:i4>242</vt:i4>
      </vt:variant>
      <vt:variant>
        <vt:i4>0</vt:i4>
      </vt:variant>
      <vt:variant>
        <vt:i4>5</vt:i4>
      </vt:variant>
      <vt:variant>
        <vt:lpwstr/>
      </vt:variant>
      <vt:variant>
        <vt:lpwstr>_Toc171947008</vt:lpwstr>
      </vt:variant>
      <vt:variant>
        <vt:i4>1966132</vt:i4>
      </vt:variant>
      <vt:variant>
        <vt:i4>236</vt:i4>
      </vt:variant>
      <vt:variant>
        <vt:i4>0</vt:i4>
      </vt:variant>
      <vt:variant>
        <vt:i4>5</vt:i4>
      </vt:variant>
      <vt:variant>
        <vt:lpwstr/>
      </vt:variant>
      <vt:variant>
        <vt:lpwstr>_Toc171947007</vt:lpwstr>
      </vt:variant>
      <vt:variant>
        <vt:i4>1966132</vt:i4>
      </vt:variant>
      <vt:variant>
        <vt:i4>230</vt:i4>
      </vt:variant>
      <vt:variant>
        <vt:i4>0</vt:i4>
      </vt:variant>
      <vt:variant>
        <vt:i4>5</vt:i4>
      </vt:variant>
      <vt:variant>
        <vt:lpwstr/>
      </vt:variant>
      <vt:variant>
        <vt:lpwstr>_Toc171947006</vt:lpwstr>
      </vt:variant>
      <vt:variant>
        <vt:i4>1966132</vt:i4>
      </vt:variant>
      <vt:variant>
        <vt:i4>224</vt:i4>
      </vt:variant>
      <vt:variant>
        <vt:i4>0</vt:i4>
      </vt:variant>
      <vt:variant>
        <vt:i4>5</vt:i4>
      </vt:variant>
      <vt:variant>
        <vt:lpwstr/>
      </vt:variant>
      <vt:variant>
        <vt:lpwstr>_Toc171947005</vt:lpwstr>
      </vt:variant>
      <vt:variant>
        <vt:i4>1966132</vt:i4>
      </vt:variant>
      <vt:variant>
        <vt:i4>218</vt:i4>
      </vt:variant>
      <vt:variant>
        <vt:i4>0</vt:i4>
      </vt:variant>
      <vt:variant>
        <vt:i4>5</vt:i4>
      </vt:variant>
      <vt:variant>
        <vt:lpwstr/>
      </vt:variant>
      <vt:variant>
        <vt:lpwstr>_Toc171947004</vt:lpwstr>
      </vt:variant>
      <vt:variant>
        <vt:i4>1966132</vt:i4>
      </vt:variant>
      <vt:variant>
        <vt:i4>212</vt:i4>
      </vt:variant>
      <vt:variant>
        <vt:i4>0</vt:i4>
      </vt:variant>
      <vt:variant>
        <vt:i4>5</vt:i4>
      </vt:variant>
      <vt:variant>
        <vt:lpwstr/>
      </vt:variant>
      <vt:variant>
        <vt:lpwstr>_Toc171947003</vt:lpwstr>
      </vt:variant>
      <vt:variant>
        <vt:i4>1966132</vt:i4>
      </vt:variant>
      <vt:variant>
        <vt:i4>206</vt:i4>
      </vt:variant>
      <vt:variant>
        <vt:i4>0</vt:i4>
      </vt:variant>
      <vt:variant>
        <vt:i4>5</vt:i4>
      </vt:variant>
      <vt:variant>
        <vt:lpwstr/>
      </vt:variant>
      <vt:variant>
        <vt:lpwstr>_Toc171947002</vt:lpwstr>
      </vt:variant>
      <vt:variant>
        <vt:i4>1966132</vt:i4>
      </vt:variant>
      <vt:variant>
        <vt:i4>200</vt:i4>
      </vt:variant>
      <vt:variant>
        <vt:i4>0</vt:i4>
      </vt:variant>
      <vt:variant>
        <vt:i4>5</vt:i4>
      </vt:variant>
      <vt:variant>
        <vt:lpwstr/>
      </vt:variant>
      <vt:variant>
        <vt:lpwstr>_Toc171947001</vt:lpwstr>
      </vt:variant>
      <vt:variant>
        <vt:i4>1966132</vt:i4>
      </vt:variant>
      <vt:variant>
        <vt:i4>194</vt:i4>
      </vt:variant>
      <vt:variant>
        <vt:i4>0</vt:i4>
      </vt:variant>
      <vt:variant>
        <vt:i4>5</vt:i4>
      </vt:variant>
      <vt:variant>
        <vt:lpwstr/>
      </vt:variant>
      <vt:variant>
        <vt:lpwstr>_Toc171947000</vt:lpwstr>
      </vt:variant>
      <vt:variant>
        <vt:i4>1441853</vt:i4>
      </vt:variant>
      <vt:variant>
        <vt:i4>188</vt:i4>
      </vt:variant>
      <vt:variant>
        <vt:i4>0</vt:i4>
      </vt:variant>
      <vt:variant>
        <vt:i4>5</vt:i4>
      </vt:variant>
      <vt:variant>
        <vt:lpwstr/>
      </vt:variant>
      <vt:variant>
        <vt:lpwstr>_Toc171946999</vt:lpwstr>
      </vt:variant>
      <vt:variant>
        <vt:i4>1441853</vt:i4>
      </vt:variant>
      <vt:variant>
        <vt:i4>182</vt:i4>
      </vt:variant>
      <vt:variant>
        <vt:i4>0</vt:i4>
      </vt:variant>
      <vt:variant>
        <vt:i4>5</vt:i4>
      </vt:variant>
      <vt:variant>
        <vt:lpwstr/>
      </vt:variant>
      <vt:variant>
        <vt:lpwstr>_Toc171946998</vt:lpwstr>
      </vt:variant>
      <vt:variant>
        <vt:i4>1441853</vt:i4>
      </vt:variant>
      <vt:variant>
        <vt:i4>176</vt:i4>
      </vt:variant>
      <vt:variant>
        <vt:i4>0</vt:i4>
      </vt:variant>
      <vt:variant>
        <vt:i4>5</vt:i4>
      </vt:variant>
      <vt:variant>
        <vt:lpwstr/>
      </vt:variant>
      <vt:variant>
        <vt:lpwstr>_Toc171946997</vt:lpwstr>
      </vt:variant>
      <vt:variant>
        <vt:i4>1441853</vt:i4>
      </vt:variant>
      <vt:variant>
        <vt:i4>170</vt:i4>
      </vt:variant>
      <vt:variant>
        <vt:i4>0</vt:i4>
      </vt:variant>
      <vt:variant>
        <vt:i4>5</vt:i4>
      </vt:variant>
      <vt:variant>
        <vt:lpwstr/>
      </vt:variant>
      <vt:variant>
        <vt:lpwstr>_Toc171946996</vt:lpwstr>
      </vt:variant>
      <vt:variant>
        <vt:i4>1441853</vt:i4>
      </vt:variant>
      <vt:variant>
        <vt:i4>164</vt:i4>
      </vt:variant>
      <vt:variant>
        <vt:i4>0</vt:i4>
      </vt:variant>
      <vt:variant>
        <vt:i4>5</vt:i4>
      </vt:variant>
      <vt:variant>
        <vt:lpwstr/>
      </vt:variant>
      <vt:variant>
        <vt:lpwstr>_Toc171946995</vt:lpwstr>
      </vt:variant>
      <vt:variant>
        <vt:i4>1441853</vt:i4>
      </vt:variant>
      <vt:variant>
        <vt:i4>158</vt:i4>
      </vt:variant>
      <vt:variant>
        <vt:i4>0</vt:i4>
      </vt:variant>
      <vt:variant>
        <vt:i4>5</vt:i4>
      </vt:variant>
      <vt:variant>
        <vt:lpwstr/>
      </vt:variant>
      <vt:variant>
        <vt:lpwstr>_Toc171946994</vt:lpwstr>
      </vt:variant>
      <vt:variant>
        <vt:i4>1441853</vt:i4>
      </vt:variant>
      <vt:variant>
        <vt:i4>152</vt:i4>
      </vt:variant>
      <vt:variant>
        <vt:i4>0</vt:i4>
      </vt:variant>
      <vt:variant>
        <vt:i4>5</vt:i4>
      </vt:variant>
      <vt:variant>
        <vt:lpwstr/>
      </vt:variant>
      <vt:variant>
        <vt:lpwstr>_Toc171946993</vt:lpwstr>
      </vt:variant>
      <vt:variant>
        <vt:i4>1441853</vt:i4>
      </vt:variant>
      <vt:variant>
        <vt:i4>146</vt:i4>
      </vt:variant>
      <vt:variant>
        <vt:i4>0</vt:i4>
      </vt:variant>
      <vt:variant>
        <vt:i4>5</vt:i4>
      </vt:variant>
      <vt:variant>
        <vt:lpwstr/>
      </vt:variant>
      <vt:variant>
        <vt:lpwstr>_Toc171946992</vt:lpwstr>
      </vt:variant>
      <vt:variant>
        <vt:i4>1441853</vt:i4>
      </vt:variant>
      <vt:variant>
        <vt:i4>140</vt:i4>
      </vt:variant>
      <vt:variant>
        <vt:i4>0</vt:i4>
      </vt:variant>
      <vt:variant>
        <vt:i4>5</vt:i4>
      </vt:variant>
      <vt:variant>
        <vt:lpwstr/>
      </vt:variant>
      <vt:variant>
        <vt:lpwstr>_Toc171946991</vt:lpwstr>
      </vt:variant>
      <vt:variant>
        <vt:i4>1441853</vt:i4>
      </vt:variant>
      <vt:variant>
        <vt:i4>134</vt:i4>
      </vt:variant>
      <vt:variant>
        <vt:i4>0</vt:i4>
      </vt:variant>
      <vt:variant>
        <vt:i4>5</vt:i4>
      </vt:variant>
      <vt:variant>
        <vt:lpwstr/>
      </vt:variant>
      <vt:variant>
        <vt:lpwstr>_Toc171946990</vt:lpwstr>
      </vt:variant>
      <vt:variant>
        <vt:i4>1507389</vt:i4>
      </vt:variant>
      <vt:variant>
        <vt:i4>128</vt:i4>
      </vt:variant>
      <vt:variant>
        <vt:i4>0</vt:i4>
      </vt:variant>
      <vt:variant>
        <vt:i4>5</vt:i4>
      </vt:variant>
      <vt:variant>
        <vt:lpwstr/>
      </vt:variant>
      <vt:variant>
        <vt:lpwstr>_Toc171946989</vt:lpwstr>
      </vt:variant>
      <vt:variant>
        <vt:i4>1507389</vt:i4>
      </vt:variant>
      <vt:variant>
        <vt:i4>122</vt:i4>
      </vt:variant>
      <vt:variant>
        <vt:i4>0</vt:i4>
      </vt:variant>
      <vt:variant>
        <vt:i4>5</vt:i4>
      </vt:variant>
      <vt:variant>
        <vt:lpwstr/>
      </vt:variant>
      <vt:variant>
        <vt:lpwstr>_Toc171946988</vt:lpwstr>
      </vt:variant>
      <vt:variant>
        <vt:i4>1507389</vt:i4>
      </vt:variant>
      <vt:variant>
        <vt:i4>116</vt:i4>
      </vt:variant>
      <vt:variant>
        <vt:i4>0</vt:i4>
      </vt:variant>
      <vt:variant>
        <vt:i4>5</vt:i4>
      </vt:variant>
      <vt:variant>
        <vt:lpwstr/>
      </vt:variant>
      <vt:variant>
        <vt:lpwstr>_Toc171946987</vt:lpwstr>
      </vt:variant>
      <vt:variant>
        <vt:i4>1507389</vt:i4>
      </vt:variant>
      <vt:variant>
        <vt:i4>110</vt:i4>
      </vt:variant>
      <vt:variant>
        <vt:i4>0</vt:i4>
      </vt:variant>
      <vt:variant>
        <vt:i4>5</vt:i4>
      </vt:variant>
      <vt:variant>
        <vt:lpwstr/>
      </vt:variant>
      <vt:variant>
        <vt:lpwstr>_Toc171946986</vt:lpwstr>
      </vt:variant>
      <vt:variant>
        <vt:i4>1507389</vt:i4>
      </vt:variant>
      <vt:variant>
        <vt:i4>104</vt:i4>
      </vt:variant>
      <vt:variant>
        <vt:i4>0</vt:i4>
      </vt:variant>
      <vt:variant>
        <vt:i4>5</vt:i4>
      </vt:variant>
      <vt:variant>
        <vt:lpwstr/>
      </vt:variant>
      <vt:variant>
        <vt:lpwstr>_Toc171946985</vt:lpwstr>
      </vt:variant>
      <vt:variant>
        <vt:i4>1507389</vt:i4>
      </vt:variant>
      <vt:variant>
        <vt:i4>98</vt:i4>
      </vt:variant>
      <vt:variant>
        <vt:i4>0</vt:i4>
      </vt:variant>
      <vt:variant>
        <vt:i4>5</vt:i4>
      </vt:variant>
      <vt:variant>
        <vt:lpwstr/>
      </vt:variant>
      <vt:variant>
        <vt:lpwstr>_Toc171946984</vt:lpwstr>
      </vt:variant>
      <vt:variant>
        <vt:i4>1507389</vt:i4>
      </vt:variant>
      <vt:variant>
        <vt:i4>92</vt:i4>
      </vt:variant>
      <vt:variant>
        <vt:i4>0</vt:i4>
      </vt:variant>
      <vt:variant>
        <vt:i4>5</vt:i4>
      </vt:variant>
      <vt:variant>
        <vt:lpwstr/>
      </vt:variant>
      <vt:variant>
        <vt:lpwstr>_Toc171946983</vt:lpwstr>
      </vt:variant>
      <vt:variant>
        <vt:i4>1507389</vt:i4>
      </vt:variant>
      <vt:variant>
        <vt:i4>86</vt:i4>
      </vt:variant>
      <vt:variant>
        <vt:i4>0</vt:i4>
      </vt:variant>
      <vt:variant>
        <vt:i4>5</vt:i4>
      </vt:variant>
      <vt:variant>
        <vt:lpwstr/>
      </vt:variant>
      <vt:variant>
        <vt:lpwstr>_Toc171946982</vt:lpwstr>
      </vt:variant>
      <vt:variant>
        <vt:i4>1507389</vt:i4>
      </vt:variant>
      <vt:variant>
        <vt:i4>80</vt:i4>
      </vt:variant>
      <vt:variant>
        <vt:i4>0</vt:i4>
      </vt:variant>
      <vt:variant>
        <vt:i4>5</vt:i4>
      </vt:variant>
      <vt:variant>
        <vt:lpwstr/>
      </vt:variant>
      <vt:variant>
        <vt:lpwstr>_Toc171946981</vt:lpwstr>
      </vt:variant>
      <vt:variant>
        <vt:i4>1507389</vt:i4>
      </vt:variant>
      <vt:variant>
        <vt:i4>74</vt:i4>
      </vt:variant>
      <vt:variant>
        <vt:i4>0</vt:i4>
      </vt:variant>
      <vt:variant>
        <vt:i4>5</vt:i4>
      </vt:variant>
      <vt:variant>
        <vt:lpwstr/>
      </vt:variant>
      <vt:variant>
        <vt:lpwstr>_Toc171946980</vt:lpwstr>
      </vt:variant>
      <vt:variant>
        <vt:i4>1572925</vt:i4>
      </vt:variant>
      <vt:variant>
        <vt:i4>68</vt:i4>
      </vt:variant>
      <vt:variant>
        <vt:i4>0</vt:i4>
      </vt:variant>
      <vt:variant>
        <vt:i4>5</vt:i4>
      </vt:variant>
      <vt:variant>
        <vt:lpwstr/>
      </vt:variant>
      <vt:variant>
        <vt:lpwstr>_Toc171946979</vt:lpwstr>
      </vt:variant>
      <vt:variant>
        <vt:i4>1572925</vt:i4>
      </vt:variant>
      <vt:variant>
        <vt:i4>62</vt:i4>
      </vt:variant>
      <vt:variant>
        <vt:i4>0</vt:i4>
      </vt:variant>
      <vt:variant>
        <vt:i4>5</vt:i4>
      </vt:variant>
      <vt:variant>
        <vt:lpwstr/>
      </vt:variant>
      <vt:variant>
        <vt:lpwstr>_Toc171946978</vt:lpwstr>
      </vt:variant>
      <vt:variant>
        <vt:i4>1572925</vt:i4>
      </vt:variant>
      <vt:variant>
        <vt:i4>56</vt:i4>
      </vt:variant>
      <vt:variant>
        <vt:i4>0</vt:i4>
      </vt:variant>
      <vt:variant>
        <vt:i4>5</vt:i4>
      </vt:variant>
      <vt:variant>
        <vt:lpwstr/>
      </vt:variant>
      <vt:variant>
        <vt:lpwstr>_Toc171946977</vt:lpwstr>
      </vt:variant>
      <vt:variant>
        <vt:i4>1572925</vt:i4>
      </vt:variant>
      <vt:variant>
        <vt:i4>50</vt:i4>
      </vt:variant>
      <vt:variant>
        <vt:i4>0</vt:i4>
      </vt:variant>
      <vt:variant>
        <vt:i4>5</vt:i4>
      </vt:variant>
      <vt:variant>
        <vt:lpwstr/>
      </vt:variant>
      <vt:variant>
        <vt:lpwstr>_Toc171946976</vt:lpwstr>
      </vt:variant>
      <vt:variant>
        <vt:i4>1572925</vt:i4>
      </vt:variant>
      <vt:variant>
        <vt:i4>44</vt:i4>
      </vt:variant>
      <vt:variant>
        <vt:i4>0</vt:i4>
      </vt:variant>
      <vt:variant>
        <vt:i4>5</vt:i4>
      </vt:variant>
      <vt:variant>
        <vt:lpwstr/>
      </vt:variant>
      <vt:variant>
        <vt:lpwstr>_Toc171946975</vt:lpwstr>
      </vt:variant>
      <vt:variant>
        <vt:i4>1572925</vt:i4>
      </vt:variant>
      <vt:variant>
        <vt:i4>38</vt:i4>
      </vt:variant>
      <vt:variant>
        <vt:i4>0</vt:i4>
      </vt:variant>
      <vt:variant>
        <vt:i4>5</vt:i4>
      </vt:variant>
      <vt:variant>
        <vt:lpwstr/>
      </vt:variant>
      <vt:variant>
        <vt:lpwstr>_Toc171946974</vt:lpwstr>
      </vt:variant>
      <vt:variant>
        <vt:i4>1572925</vt:i4>
      </vt:variant>
      <vt:variant>
        <vt:i4>32</vt:i4>
      </vt:variant>
      <vt:variant>
        <vt:i4>0</vt:i4>
      </vt:variant>
      <vt:variant>
        <vt:i4>5</vt:i4>
      </vt:variant>
      <vt:variant>
        <vt:lpwstr/>
      </vt:variant>
      <vt:variant>
        <vt:lpwstr>_Toc171946973</vt:lpwstr>
      </vt:variant>
      <vt:variant>
        <vt:i4>1572925</vt:i4>
      </vt:variant>
      <vt:variant>
        <vt:i4>26</vt:i4>
      </vt:variant>
      <vt:variant>
        <vt:i4>0</vt:i4>
      </vt:variant>
      <vt:variant>
        <vt:i4>5</vt:i4>
      </vt:variant>
      <vt:variant>
        <vt:lpwstr/>
      </vt:variant>
      <vt:variant>
        <vt:lpwstr>_Toc171946972</vt:lpwstr>
      </vt:variant>
      <vt:variant>
        <vt:i4>1572925</vt:i4>
      </vt:variant>
      <vt:variant>
        <vt:i4>20</vt:i4>
      </vt:variant>
      <vt:variant>
        <vt:i4>0</vt:i4>
      </vt:variant>
      <vt:variant>
        <vt:i4>5</vt:i4>
      </vt:variant>
      <vt:variant>
        <vt:lpwstr/>
      </vt:variant>
      <vt:variant>
        <vt:lpwstr>_Toc171946971</vt:lpwstr>
      </vt:variant>
      <vt:variant>
        <vt:i4>1572925</vt:i4>
      </vt:variant>
      <vt:variant>
        <vt:i4>14</vt:i4>
      </vt:variant>
      <vt:variant>
        <vt:i4>0</vt:i4>
      </vt:variant>
      <vt:variant>
        <vt:i4>5</vt:i4>
      </vt:variant>
      <vt:variant>
        <vt:lpwstr/>
      </vt:variant>
      <vt:variant>
        <vt:lpwstr>_Toc171946970</vt:lpwstr>
      </vt:variant>
      <vt:variant>
        <vt:i4>1638461</vt:i4>
      </vt:variant>
      <vt:variant>
        <vt:i4>8</vt:i4>
      </vt:variant>
      <vt:variant>
        <vt:i4>0</vt:i4>
      </vt:variant>
      <vt:variant>
        <vt:i4>5</vt:i4>
      </vt:variant>
      <vt:variant>
        <vt:lpwstr/>
      </vt:variant>
      <vt:variant>
        <vt:lpwstr>_Toc171946969</vt:lpwstr>
      </vt:variant>
      <vt:variant>
        <vt:i4>1638461</vt:i4>
      </vt:variant>
      <vt:variant>
        <vt:i4>2</vt:i4>
      </vt:variant>
      <vt:variant>
        <vt:i4>0</vt:i4>
      </vt:variant>
      <vt:variant>
        <vt:i4>5</vt:i4>
      </vt:variant>
      <vt:variant>
        <vt:lpwstr/>
      </vt:variant>
      <vt:variant>
        <vt:lpwstr>_Toc171946968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cp:lastModifiedBy>Korah, Andrews</cp:lastModifiedBy>
  <cp:revision>478</cp:revision>
  <cp:lastPrinted>2024-07-22T15:21:00Z</cp:lastPrinted>
  <dcterms:created xsi:type="dcterms:W3CDTF">2024-07-16T19:28:00Z</dcterms:created>
  <dcterms:modified xsi:type="dcterms:W3CDTF">2024-07-22T15:22:00Z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ad2cd49772b09e1be0a102530ad0567636e8baa9e888bd4f3dd02618515141f2</vt:lpwstr>
  </property>
  <property fmtid="{D5CDD505-2E9C-101B-9397-08002B2CF9AE}" pid="3" name="ContentTypeId">
    <vt:lpwstr>0x010100A17CD8AC94863149A9B5FA86AFBC62B9</vt:lpwstr>
  </property>
</Properties>
</file>