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60ECF" w14:textId="77777777" w:rsidR="004B4510" w:rsidRDefault="004B4510" w:rsidP="009E4FB8">
      <w:pPr>
        <w:pStyle w:val="paragraph"/>
        <w:spacing w:before="0" w:beforeAutospacing="0" w:after="0" w:afterAutospacing="0"/>
        <w:jc w:val="center"/>
        <w:textAlignment w:val="baseline"/>
        <w:rPr>
          <w:rStyle w:val="normaltextrun"/>
          <w:rFonts w:ascii="Times" w:hAnsi="Times"/>
          <w:color w:val="333333"/>
        </w:rPr>
      </w:pPr>
    </w:p>
    <w:p w14:paraId="1B01E7E4" w14:textId="17041854" w:rsidR="00CA56DF" w:rsidRPr="00CA56DF" w:rsidRDefault="00CA56DF" w:rsidP="009E4FB8">
      <w:pPr>
        <w:pStyle w:val="paragraph"/>
        <w:spacing w:before="0" w:beforeAutospacing="0" w:after="0" w:afterAutospacing="0"/>
        <w:jc w:val="center"/>
        <w:textAlignment w:val="baseline"/>
        <w:rPr>
          <w:rFonts w:ascii="Times" w:hAnsi="Times" w:cs="Segoe UI"/>
          <w:sz w:val="18"/>
          <w:szCs w:val="18"/>
        </w:rPr>
      </w:pPr>
      <w:r w:rsidRPr="00CA56DF">
        <w:rPr>
          <w:rStyle w:val="normaltextrun"/>
          <w:rFonts w:ascii="Times" w:hAnsi="Times"/>
          <w:color w:val="333333"/>
        </w:rPr>
        <w:t>UNIVERSITY OF OKLAHOMA</w:t>
      </w:r>
    </w:p>
    <w:p w14:paraId="3329E0FB" w14:textId="77777777" w:rsidR="00CA56DF" w:rsidRPr="00CA56DF" w:rsidRDefault="00CA56DF" w:rsidP="00CA56DF">
      <w:pPr>
        <w:pStyle w:val="paragraph"/>
        <w:spacing w:before="0" w:beforeAutospacing="0" w:after="0" w:afterAutospacing="0"/>
        <w:jc w:val="center"/>
        <w:textAlignment w:val="baseline"/>
        <w:rPr>
          <w:rStyle w:val="normaltextrun"/>
          <w:rFonts w:ascii="Times" w:hAnsi="Times"/>
          <w:color w:val="333333"/>
        </w:rPr>
      </w:pPr>
    </w:p>
    <w:p w14:paraId="68A8DE23" w14:textId="77777777" w:rsidR="00CA56DF" w:rsidRPr="00CA56DF" w:rsidRDefault="00CA56DF" w:rsidP="00CA56DF">
      <w:pPr>
        <w:pStyle w:val="paragraph"/>
        <w:spacing w:before="0" w:beforeAutospacing="0" w:after="0" w:afterAutospacing="0"/>
        <w:jc w:val="center"/>
        <w:textAlignment w:val="baseline"/>
        <w:rPr>
          <w:rFonts w:ascii="Times" w:hAnsi="Times" w:cs="Segoe UI"/>
          <w:sz w:val="18"/>
          <w:szCs w:val="18"/>
        </w:rPr>
      </w:pPr>
      <w:r w:rsidRPr="00CA56DF">
        <w:rPr>
          <w:rStyle w:val="normaltextrun"/>
          <w:rFonts w:ascii="Times" w:hAnsi="Times"/>
          <w:color w:val="333333"/>
        </w:rPr>
        <w:t>GRADUATE COLLEGE</w:t>
      </w:r>
      <w:r w:rsidRPr="00CA56DF">
        <w:rPr>
          <w:rStyle w:val="eop"/>
          <w:rFonts w:ascii="Times" w:hAnsi="Times"/>
          <w:color w:val="333333"/>
        </w:rPr>
        <w:t> </w:t>
      </w:r>
    </w:p>
    <w:p w14:paraId="315EE691" w14:textId="77777777" w:rsidR="00CA56DF" w:rsidRPr="00CA56DF" w:rsidRDefault="00CA56DF" w:rsidP="00CA56DF">
      <w:pPr>
        <w:pStyle w:val="paragraph"/>
        <w:spacing w:before="0" w:beforeAutospacing="0" w:after="0" w:afterAutospacing="0"/>
        <w:textAlignment w:val="baseline"/>
        <w:rPr>
          <w:rFonts w:ascii="Times" w:hAnsi="Times" w:cs="Segoe UI"/>
          <w:sz w:val="18"/>
          <w:szCs w:val="18"/>
        </w:rPr>
      </w:pPr>
      <w:r w:rsidRPr="00CA56DF">
        <w:rPr>
          <w:rStyle w:val="eop"/>
          <w:rFonts w:ascii="Times" w:hAnsi="Times"/>
          <w:color w:val="333333"/>
        </w:rPr>
        <w:t> </w:t>
      </w:r>
    </w:p>
    <w:p w14:paraId="20C01A33" w14:textId="77777777" w:rsidR="00CA56DF" w:rsidRPr="00CA56DF" w:rsidRDefault="00CA56DF" w:rsidP="00CA56DF">
      <w:pPr>
        <w:pStyle w:val="paragraph"/>
        <w:spacing w:before="0" w:beforeAutospacing="0" w:after="0" w:afterAutospacing="0"/>
        <w:jc w:val="center"/>
        <w:textAlignment w:val="baseline"/>
        <w:rPr>
          <w:rStyle w:val="normaltextrun"/>
          <w:rFonts w:ascii="Times" w:hAnsi="Times"/>
          <w:color w:val="333333"/>
        </w:rPr>
      </w:pPr>
    </w:p>
    <w:p w14:paraId="04B9E1FC" w14:textId="77777777" w:rsidR="00CA56DF" w:rsidRPr="00CA56DF" w:rsidRDefault="00CA56DF" w:rsidP="00CA56DF">
      <w:pPr>
        <w:pStyle w:val="paragraph"/>
        <w:spacing w:before="0" w:beforeAutospacing="0" w:after="0" w:afterAutospacing="0"/>
        <w:jc w:val="center"/>
        <w:textAlignment w:val="baseline"/>
        <w:rPr>
          <w:rStyle w:val="normaltextrun"/>
          <w:rFonts w:ascii="Times" w:hAnsi="Times"/>
          <w:color w:val="333333"/>
        </w:rPr>
      </w:pPr>
    </w:p>
    <w:p w14:paraId="6A1F30A6" w14:textId="77777777" w:rsidR="00CA56DF" w:rsidRPr="00CA56DF" w:rsidRDefault="00CA56DF" w:rsidP="00CA56DF">
      <w:pPr>
        <w:pStyle w:val="paragraph"/>
        <w:spacing w:before="0" w:beforeAutospacing="0" w:after="0" w:afterAutospacing="0"/>
        <w:jc w:val="center"/>
        <w:textAlignment w:val="baseline"/>
        <w:rPr>
          <w:rStyle w:val="normaltextrun"/>
          <w:rFonts w:ascii="Times" w:hAnsi="Times"/>
          <w:color w:val="333333"/>
        </w:rPr>
      </w:pPr>
    </w:p>
    <w:p w14:paraId="499A41AC" w14:textId="77777777" w:rsidR="00CA56DF" w:rsidRPr="00CA56DF" w:rsidRDefault="00CA56DF" w:rsidP="00CA56DF">
      <w:pPr>
        <w:pStyle w:val="paragraph"/>
        <w:spacing w:before="0" w:beforeAutospacing="0" w:after="0" w:afterAutospacing="0"/>
        <w:jc w:val="center"/>
        <w:textAlignment w:val="baseline"/>
        <w:rPr>
          <w:rStyle w:val="normaltextrun"/>
          <w:rFonts w:ascii="Times" w:hAnsi="Times"/>
          <w:color w:val="333333"/>
        </w:rPr>
      </w:pPr>
    </w:p>
    <w:p w14:paraId="3DD63681" w14:textId="1929C6B4"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bookmarkStart w:id="0" w:name="_Hlk132645177"/>
      <w:r w:rsidRPr="00CA56DF">
        <w:rPr>
          <w:rStyle w:val="normaltextrun"/>
          <w:rFonts w:ascii="Times" w:hAnsi="Times"/>
          <w:color w:val="333333"/>
        </w:rPr>
        <w:t xml:space="preserve">DIFFERENCES IN PREDICTED </w:t>
      </w:r>
      <w:r>
        <w:rPr>
          <w:rStyle w:val="normaltextrun"/>
          <w:rFonts w:ascii="Times" w:hAnsi="Times"/>
          <w:color w:val="333333"/>
        </w:rPr>
        <w:t xml:space="preserve">EXTERNAL </w:t>
      </w:r>
      <w:r w:rsidRPr="00CA56DF">
        <w:rPr>
          <w:rStyle w:val="normaltextrun"/>
          <w:rFonts w:ascii="Times" w:hAnsi="Times"/>
          <w:color w:val="333333"/>
        </w:rPr>
        <w:t>TRAINING LOAD VALUES ACROSS AN NCAA DIVISION I MEN’S BASKETBALL SEASON</w:t>
      </w:r>
    </w:p>
    <w:bookmarkEnd w:id="0"/>
    <w:p w14:paraId="5DF5D697" w14:textId="77777777" w:rsidR="00CA56DF" w:rsidRPr="00CA56DF" w:rsidRDefault="00CA56DF" w:rsidP="00CA56DF">
      <w:pPr>
        <w:pStyle w:val="paragraph"/>
        <w:spacing w:before="0" w:beforeAutospacing="0" w:after="0" w:afterAutospacing="0"/>
        <w:jc w:val="center"/>
        <w:textAlignment w:val="baseline"/>
        <w:rPr>
          <w:rFonts w:ascii="Times" w:hAnsi="Times" w:cs="Segoe UI"/>
          <w:sz w:val="18"/>
          <w:szCs w:val="18"/>
        </w:rPr>
      </w:pPr>
    </w:p>
    <w:p w14:paraId="3B3655FE" w14:textId="77777777" w:rsidR="00CA56DF" w:rsidRPr="00CA56DF" w:rsidRDefault="00CA56DF" w:rsidP="00CA56DF">
      <w:pPr>
        <w:pStyle w:val="paragraph"/>
        <w:spacing w:before="0" w:beforeAutospacing="0" w:after="0" w:afterAutospacing="0"/>
        <w:jc w:val="center"/>
        <w:textAlignment w:val="baseline"/>
        <w:rPr>
          <w:rStyle w:val="normaltextrun"/>
          <w:rFonts w:ascii="Times" w:hAnsi="Times"/>
          <w:color w:val="333333"/>
        </w:rPr>
      </w:pPr>
    </w:p>
    <w:p w14:paraId="2E8DC3C5" w14:textId="77777777" w:rsidR="00CA56DF" w:rsidRPr="00CA56DF" w:rsidRDefault="00CA56DF" w:rsidP="00CA56DF">
      <w:pPr>
        <w:pStyle w:val="paragraph"/>
        <w:spacing w:before="0" w:beforeAutospacing="0" w:after="0" w:afterAutospacing="0"/>
        <w:jc w:val="center"/>
        <w:textAlignment w:val="baseline"/>
        <w:rPr>
          <w:rStyle w:val="normaltextrun"/>
          <w:rFonts w:ascii="Times" w:hAnsi="Times"/>
          <w:color w:val="333333"/>
        </w:rPr>
      </w:pPr>
    </w:p>
    <w:p w14:paraId="0F9C35E2" w14:textId="77777777" w:rsidR="00CA56DF" w:rsidRPr="00CA56DF" w:rsidRDefault="00CA56DF" w:rsidP="00CA56DF">
      <w:pPr>
        <w:pStyle w:val="paragraph"/>
        <w:spacing w:before="0" w:beforeAutospacing="0" w:after="0" w:afterAutospacing="0"/>
        <w:jc w:val="center"/>
        <w:textAlignment w:val="baseline"/>
        <w:rPr>
          <w:rStyle w:val="normaltextrun"/>
          <w:rFonts w:ascii="Times" w:hAnsi="Times"/>
          <w:color w:val="333333"/>
        </w:rPr>
      </w:pPr>
    </w:p>
    <w:p w14:paraId="76CBE65B" w14:textId="77777777" w:rsidR="00CA56DF" w:rsidRPr="00CA56DF" w:rsidRDefault="00CA56DF" w:rsidP="00CA56DF">
      <w:pPr>
        <w:pStyle w:val="paragraph"/>
        <w:spacing w:before="0" w:beforeAutospacing="0" w:after="0" w:afterAutospacing="0"/>
        <w:jc w:val="center"/>
        <w:textAlignment w:val="baseline"/>
        <w:rPr>
          <w:rStyle w:val="normaltextrun"/>
          <w:rFonts w:ascii="Times" w:hAnsi="Times"/>
          <w:color w:val="333333"/>
        </w:rPr>
      </w:pPr>
    </w:p>
    <w:p w14:paraId="0751274D" w14:textId="77777777" w:rsidR="00CA56DF" w:rsidRPr="00CA56DF" w:rsidRDefault="00CA56DF" w:rsidP="00CA56DF">
      <w:pPr>
        <w:pStyle w:val="paragraph"/>
        <w:spacing w:before="0" w:beforeAutospacing="0" w:after="0" w:afterAutospacing="0"/>
        <w:jc w:val="center"/>
        <w:textAlignment w:val="baseline"/>
        <w:rPr>
          <w:rStyle w:val="normaltextrun"/>
          <w:rFonts w:ascii="Times" w:hAnsi="Times"/>
          <w:color w:val="333333"/>
        </w:rPr>
      </w:pPr>
    </w:p>
    <w:p w14:paraId="4F5D5A5C" w14:textId="77777777" w:rsidR="00CA56DF" w:rsidRPr="00CA56DF" w:rsidRDefault="00CA56DF" w:rsidP="00CA56DF">
      <w:pPr>
        <w:pStyle w:val="paragraph"/>
        <w:spacing w:before="0" w:beforeAutospacing="0" w:after="0" w:afterAutospacing="0"/>
        <w:jc w:val="center"/>
        <w:textAlignment w:val="baseline"/>
        <w:rPr>
          <w:rFonts w:ascii="Times" w:hAnsi="Times" w:cs="Segoe UI"/>
          <w:sz w:val="18"/>
          <w:szCs w:val="18"/>
        </w:rPr>
      </w:pPr>
      <w:r w:rsidRPr="00CA56DF">
        <w:rPr>
          <w:rStyle w:val="normaltextrun"/>
          <w:rFonts w:ascii="Times" w:hAnsi="Times"/>
          <w:color w:val="333333"/>
        </w:rPr>
        <w:t>A THESIS</w:t>
      </w:r>
      <w:r w:rsidRPr="00CA56DF">
        <w:rPr>
          <w:rStyle w:val="eop"/>
          <w:rFonts w:ascii="Times" w:hAnsi="Times"/>
          <w:color w:val="333333"/>
        </w:rPr>
        <w:t> </w:t>
      </w:r>
    </w:p>
    <w:p w14:paraId="4B606DC3" w14:textId="77777777" w:rsidR="00CA56DF" w:rsidRPr="00CA56DF" w:rsidRDefault="00CA56DF" w:rsidP="00CA56DF">
      <w:pPr>
        <w:pStyle w:val="paragraph"/>
        <w:spacing w:before="0" w:beforeAutospacing="0" w:after="0" w:afterAutospacing="0" w:line="480" w:lineRule="auto"/>
        <w:jc w:val="center"/>
        <w:textAlignment w:val="baseline"/>
        <w:rPr>
          <w:rStyle w:val="normaltextrun"/>
          <w:rFonts w:ascii="Times" w:hAnsi="Times"/>
          <w:color w:val="333333"/>
        </w:rPr>
      </w:pPr>
    </w:p>
    <w:p w14:paraId="4D5FB2B9"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normaltextrun"/>
          <w:rFonts w:ascii="Times" w:hAnsi="Times"/>
          <w:color w:val="333333"/>
        </w:rPr>
        <w:t>SUBMITTED TO THE GRADUATE FACULTY</w:t>
      </w:r>
      <w:r w:rsidRPr="00CA56DF">
        <w:rPr>
          <w:rStyle w:val="eop"/>
          <w:rFonts w:ascii="Times" w:hAnsi="Times"/>
          <w:color w:val="333333"/>
        </w:rPr>
        <w:t> </w:t>
      </w:r>
    </w:p>
    <w:p w14:paraId="6B5837B9"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normaltextrun"/>
          <w:rFonts w:ascii="Times" w:hAnsi="Times"/>
          <w:color w:val="333333"/>
        </w:rPr>
        <w:t>in partial fulfillment of requirements for the</w:t>
      </w:r>
      <w:r w:rsidRPr="00CA56DF">
        <w:rPr>
          <w:rStyle w:val="eop"/>
          <w:rFonts w:ascii="Times" w:hAnsi="Times"/>
          <w:color w:val="333333"/>
        </w:rPr>
        <w:t> </w:t>
      </w:r>
    </w:p>
    <w:p w14:paraId="325EB037"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normaltextrun"/>
          <w:rFonts w:ascii="Times" w:hAnsi="Times"/>
          <w:color w:val="333333"/>
        </w:rPr>
        <w:t>Degree of </w:t>
      </w:r>
      <w:r w:rsidRPr="00CA56DF">
        <w:rPr>
          <w:rStyle w:val="eop"/>
          <w:rFonts w:ascii="Times" w:hAnsi="Times"/>
          <w:color w:val="333333"/>
        </w:rPr>
        <w:t> </w:t>
      </w:r>
    </w:p>
    <w:p w14:paraId="759AF921" w14:textId="2CE8B164" w:rsidR="00CA56DF" w:rsidRPr="00CA56DF" w:rsidRDefault="006D2D0B" w:rsidP="00CA56DF">
      <w:pPr>
        <w:pStyle w:val="paragraph"/>
        <w:spacing w:before="0" w:beforeAutospacing="0" w:after="0" w:afterAutospacing="0" w:line="480" w:lineRule="auto"/>
        <w:jc w:val="center"/>
        <w:textAlignment w:val="baseline"/>
        <w:rPr>
          <w:rFonts w:ascii="Times" w:hAnsi="Times" w:cs="Segoe UI"/>
          <w:sz w:val="18"/>
          <w:szCs w:val="18"/>
        </w:rPr>
      </w:pPr>
      <w:r>
        <w:rPr>
          <w:rStyle w:val="normaltextrun"/>
          <w:rFonts w:ascii="Times" w:hAnsi="Times"/>
          <w:color w:val="333333"/>
        </w:rPr>
        <w:t>MASTER OF SCIENCE</w:t>
      </w:r>
    </w:p>
    <w:p w14:paraId="55546E4F" w14:textId="77777777" w:rsidR="00CA56DF" w:rsidRPr="00CA56DF" w:rsidRDefault="00CA56DF" w:rsidP="00CA56DF">
      <w:pPr>
        <w:pStyle w:val="paragraph"/>
        <w:spacing w:before="0" w:beforeAutospacing="0" w:after="0" w:afterAutospacing="0" w:line="480" w:lineRule="auto"/>
        <w:textAlignment w:val="baseline"/>
        <w:rPr>
          <w:rFonts w:ascii="Times" w:hAnsi="Times" w:cs="Segoe UI"/>
          <w:sz w:val="18"/>
          <w:szCs w:val="18"/>
        </w:rPr>
      </w:pPr>
      <w:r w:rsidRPr="00CA56DF">
        <w:rPr>
          <w:rStyle w:val="eop"/>
          <w:rFonts w:ascii="Times" w:hAnsi="Times"/>
          <w:color w:val="333333"/>
        </w:rPr>
        <w:t> </w:t>
      </w:r>
    </w:p>
    <w:p w14:paraId="2318A857"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eop"/>
          <w:rFonts w:ascii="Times" w:hAnsi="Times"/>
          <w:color w:val="333333"/>
        </w:rPr>
        <w:t> </w:t>
      </w:r>
    </w:p>
    <w:p w14:paraId="03FECAB4"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normaltextrun"/>
          <w:rFonts w:ascii="Times" w:hAnsi="Times"/>
          <w:color w:val="333333"/>
        </w:rPr>
        <w:t>By</w:t>
      </w:r>
      <w:r w:rsidRPr="00CA56DF">
        <w:rPr>
          <w:rStyle w:val="eop"/>
          <w:rFonts w:ascii="Times" w:hAnsi="Times"/>
          <w:color w:val="333333"/>
        </w:rPr>
        <w:t> </w:t>
      </w:r>
    </w:p>
    <w:p w14:paraId="60B31E9A" w14:textId="47228536" w:rsidR="00CA56DF" w:rsidRPr="00CA56DF" w:rsidRDefault="00CA56DF" w:rsidP="00CA56DF">
      <w:pPr>
        <w:pStyle w:val="paragraph"/>
        <w:spacing w:before="0" w:beforeAutospacing="0" w:after="0" w:afterAutospacing="0" w:line="480" w:lineRule="auto"/>
        <w:jc w:val="center"/>
        <w:textAlignment w:val="baseline"/>
        <w:rPr>
          <w:rStyle w:val="normaltextrun"/>
          <w:rFonts w:ascii="Times" w:hAnsi="Times"/>
          <w:color w:val="333333"/>
        </w:rPr>
      </w:pPr>
      <w:r w:rsidRPr="00CA56DF">
        <w:rPr>
          <w:rStyle w:val="normaltextrun"/>
          <w:rFonts w:ascii="Times" w:hAnsi="Times"/>
          <w:color w:val="333333"/>
        </w:rPr>
        <w:t>CONSTANTINE WILLIAM KUTSON</w:t>
      </w:r>
    </w:p>
    <w:p w14:paraId="52A9D129"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normaltextrun"/>
          <w:rFonts w:ascii="Times" w:hAnsi="Times"/>
          <w:color w:val="333333"/>
        </w:rPr>
        <w:t>Norman, Oklahoma </w:t>
      </w:r>
      <w:r w:rsidRPr="00CA56DF">
        <w:rPr>
          <w:rStyle w:val="eop"/>
          <w:rFonts w:ascii="Times" w:hAnsi="Times"/>
          <w:color w:val="333333"/>
        </w:rPr>
        <w:t> </w:t>
      </w:r>
    </w:p>
    <w:p w14:paraId="57C9FC37"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normaltextrun"/>
          <w:rFonts w:ascii="Times" w:hAnsi="Times"/>
          <w:color w:val="333333"/>
        </w:rPr>
        <w:t>2023</w:t>
      </w:r>
      <w:r w:rsidRPr="00CA56DF">
        <w:rPr>
          <w:rStyle w:val="eop"/>
          <w:rFonts w:ascii="Times" w:hAnsi="Times"/>
          <w:color w:val="333333"/>
        </w:rPr>
        <w:t> </w:t>
      </w:r>
    </w:p>
    <w:p w14:paraId="31E80654" w14:textId="77777777" w:rsidR="00F32051" w:rsidRPr="00CA56DF" w:rsidRDefault="00F32051" w:rsidP="00E661DE">
      <w:pPr>
        <w:pStyle w:val="Title"/>
        <w:jc w:val="center"/>
        <w:rPr>
          <w:rStyle w:val="Strong"/>
          <w:rFonts w:ascii="Times" w:hAnsi="Times" w:cs="Times New Roman"/>
          <w:b w:val="0"/>
          <w:bCs w:val="0"/>
          <w:color w:val="000000" w:themeColor="text1"/>
          <w:sz w:val="44"/>
          <w:szCs w:val="44"/>
        </w:rPr>
      </w:pPr>
    </w:p>
    <w:p w14:paraId="3374BAAB" w14:textId="77777777" w:rsidR="00F32051" w:rsidRPr="00CA56DF" w:rsidRDefault="00F32051" w:rsidP="00E661DE">
      <w:pPr>
        <w:pStyle w:val="Title"/>
        <w:jc w:val="center"/>
        <w:rPr>
          <w:rStyle w:val="Strong"/>
          <w:rFonts w:ascii="Times" w:hAnsi="Times" w:cs="Times New Roman"/>
          <w:b w:val="0"/>
          <w:bCs w:val="0"/>
          <w:color w:val="000000" w:themeColor="text1"/>
          <w:sz w:val="44"/>
          <w:szCs w:val="44"/>
        </w:rPr>
      </w:pPr>
    </w:p>
    <w:p w14:paraId="1DAAA70C" w14:textId="77777777" w:rsidR="00F32051" w:rsidRPr="00CA56DF" w:rsidRDefault="00F32051" w:rsidP="00E661DE">
      <w:pPr>
        <w:pStyle w:val="Title"/>
        <w:jc w:val="center"/>
        <w:rPr>
          <w:rStyle w:val="Strong"/>
          <w:rFonts w:ascii="Times" w:hAnsi="Times" w:cs="Times New Roman"/>
          <w:b w:val="0"/>
          <w:bCs w:val="0"/>
          <w:color w:val="000000" w:themeColor="text1"/>
          <w:sz w:val="44"/>
          <w:szCs w:val="44"/>
        </w:rPr>
      </w:pPr>
    </w:p>
    <w:p w14:paraId="08322A96"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eop"/>
          <w:rFonts w:ascii="Times" w:hAnsi="Times"/>
          <w:color w:val="333333"/>
        </w:rPr>
        <w:t> </w:t>
      </w:r>
    </w:p>
    <w:p w14:paraId="2FF47E7E"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normaltextrun"/>
          <w:rFonts w:ascii="Times" w:hAnsi="Times"/>
          <w:color w:val="333333"/>
        </w:rPr>
        <w:t xml:space="preserve">DIFFERENCES IN PREDICTED </w:t>
      </w:r>
      <w:r>
        <w:rPr>
          <w:rStyle w:val="normaltextrun"/>
          <w:rFonts w:ascii="Times" w:hAnsi="Times"/>
          <w:color w:val="333333"/>
        </w:rPr>
        <w:t xml:space="preserve">EXTERNAL </w:t>
      </w:r>
      <w:r w:rsidRPr="00CA56DF">
        <w:rPr>
          <w:rStyle w:val="normaltextrun"/>
          <w:rFonts w:ascii="Times" w:hAnsi="Times"/>
          <w:color w:val="333333"/>
        </w:rPr>
        <w:t>TRAINING LOAD VALUES ACROSS AN NCAA DIVISION I MEN’S BASKETBALL SEASON</w:t>
      </w:r>
    </w:p>
    <w:p w14:paraId="7BE187B9" w14:textId="77777777" w:rsidR="00CA56DF" w:rsidRPr="00CA56DF" w:rsidRDefault="00CA56DF" w:rsidP="00CA56DF">
      <w:pPr>
        <w:pStyle w:val="paragraph"/>
        <w:spacing w:before="0" w:beforeAutospacing="0" w:after="0" w:afterAutospacing="0" w:line="480" w:lineRule="auto"/>
        <w:textAlignment w:val="baseline"/>
        <w:rPr>
          <w:rFonts w:ascii="Times" w:hAnsi="Times" w:cs="Segoe UI"/>
          <w:sz w:val="18"/>
          <w:szCs w:val="18"/>
        </w:rPr>
      </w:pPr>
      <w:r w:rsidRPr="00CA56DF">
        <w:rPr>
          <w:rStyle w:val="eop"/>
          <w:rFonts w:ascii="Times" w:hAnsi="Times"/>
          <w:color w:val="333333"/>
        </w:rPr>
        <w:t> </w:t>
      </w:r>
    </w:p>
    <w:p w14:paraId="1620B9B3"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normaltextrun"/>
          <w:rFonts w:ascii="Times" w:hAnsi="Times"/>
          <w:color w:val="333333"/>
        </w:rPr>
        <w:t>A THESIS APPROVED FOR THE</w:t>
      </w:r>
    </w:p>
    <w:p w14:paraId="0080B450"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normaltextrun"/>
          <w:rFonts w:ascii="Times" w:hAnsi="Times"/>
          <w:color w:val="333333"/>
        </w:rPr>
        <w:t>DEPARTMENT OF HEALTH AND EXERCISE SCIENCE</w:t>
      </w:r>
      <w:r w:rsidRPr="00CA56DF">
        <w:rPr>
          <w:rStyle w:val="eop"/>
          <w:rFonts w:ascii="Times" w:hAnsi="Times"/>
          <w:color w:val="333333"/>
        </w:rPr>
        <w:t> </w:t>
      </w:r>
    </w:p>
    <w:p w14:paraId="649221F3"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eop"/>
          <w:rFonts w:ascii="Times" w:hAnsi="Times"/>
          <w:color w:val="333333"/>
        </w:rPr>
        <w:t> </w:t>
      </w:r>
    </w:p>
    <w:p w14:paraId="552D4CA8"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eop"/>
          <w:rFonts w:ascii="Times" w:hAnsi="Times"/>
          <w:color w:val="333333"/>
        </w:rPr>
        <w:t> </w:t>
      </w:r>
    </w:p>
    <w:p w14:paraId="45E2A51E"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eop"/>
          <w:rFonts w:ascii="Times" w:hAnsi="Times"/>
          <w:color w:val="333333"/>
        </w:rPr>
        <w:t> </w:t>
      </w:r>
      <w:r w:rsidRPr="00CA56DF">
        <w:rPr>
          <w:rStyle w:val="normaltextrun"/>
          <w:rFonts w:ascii="Times" w:hAnsi="Times"/>
          <w:color w:val="333333"/>
        </w:rPr>
        <w:t>BY THE COMMITTEE CONSISTING OF</w:t>
      </w:r>
      <w:r w:rsidRPr="00CA56DF">
        <w:rPr>
          <w:rStyle w:val="eop"/>
          <w:rFonts w:ascii="Times" w:hAnsi="Times"/>
          <w:color w:val="333333"/>
        </w:rPr>
        <w:t> </w:t>
      </w:r>
    </w:p>
    <w:p w14:paraId="22E552CE"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eop"/>
          <w:rFonts w:ascii="Times" w:hAnsi="Times"/>
          <w:color w:val="333333"/>
        </w:rPr>
        <w:t> </w:t>
      </w:r>
    </w:p>
    <w:p w14:paraId="52A679AF"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eop"/>
          <w:rFonts w:ascii="Times" w:hAnsi="Times"/>
          <w:color w:val="333333"/>
        </w:rPr>
        <w:t> </w:t>
      </w:r>
    </w:p>
    <w:p w14:paraId="5797080A"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eop"/>
          <w:rFonts w:ascii="Times" w:hAnsi="Times"/>
          <w:color w:val="333333"/>
        </w:rPr>
        <w:t> </w:t>
      </w:r>
    </w:p>
    <w:p w14:paraId="581C3CD3"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eop"/>
          <w:rFonts w:ascii="Times" w:hAnsi="Times"/>
          <w:color w:val="333333"/>
        </w:rPr>
        <w:t> </w:t>
      </w:r>
    </w:p>
    <w:p w14:paraId="4E5658A6" w14:textId="77777777" w:rsidR="00CA56DF" w:rsidRPr="00CA56DF" w:rsidRDefault="00CA56DF" w:rsidP="00CA56DF">
      <w:pPr>
        <w:pStyle w:val="paragraph"/>
        <w:spacing w:before="0" w:beforeAutospacing="0" w:after="0" w:afterAutospacing="0" w:line="480" w:lineRule="auto"/>
        <w:jc w:val="center"/>
        <w:textAlignment w:val="baseline"/>
        <w:rPr>
          <w:rFonts w:ascii="Times" w:hAnsi="Times" w:cs="Segoe UI"/>
          <w:sz w:val="18"/>
          <w:szCs w:val="18"/>
        </w:rPr>
      </w:pPr>
      <w:r w:rsidRPr="00CA56DF">
        <w:rPr>
          <w:rStyle w:val="eop"/>
          <w:rFonts w:ascii="Times" w:hAnsi="Times"/>
          <w:color w:val="333333"/>
        </w:rPr>
        <w:t> </w:t>
      </w:r>
    </w:p>
    <w:p w14:paraId="6193A4A8" w14:textId="77777777" w:rsidR="00CA56DF" w:rsidRPr="00CA56DF" w:rsidRDefault="00CA56DF" w:rsidP="00CA56DF">
      <w:pPr>
        <w:pStyle w:val="paragraph"/>
        <w:spacing w:before="0" w:beforeAutospacing="0" w:after="0" w:afterAutospacing="0" w:line="480" w:lineRule="auto"/>
        <w:jc w:val="right"/>
        <w:textAlignment w:val="baseline"/>
        <w:rPr>
          <w:rFonts w:ascii="Times" w:hAnsi="Times" w:cs="Segoe UI"/>
          <w:color w:val="000000" w:themeColor="text1"/>
          <w:sz w:val="18"/>
          <w:szCs w:val="18"/>
        </w:rPr>
      </w:pPr>
      <w:r w:rsidRPr="00CA56DF">
        <w:rPr>
          <w:rStyle w:val="eop"/>
          <w:rFonts w:ascii="Times" w:hAnsi="Times"/>
          <w:color w:val="333333"/>
        </w:rPr>
        <w:t> </w:t>
      </w:r>
      <w:r w:rsidRPr="00CA56DF">
        <w:rPr>
          <w:rStyle w:val="normaltextrun"/>
          <w:rFonts w:ascii="Times" w:hAnsi="Times"/>
          <w:color w:val="000000" w:themeColor="text1"/>
        </w:rPr>
        <w:t>Dr. Rebecca D. Larson, Chair</w:t>
      </w:r>
      <w:r w:rsidRPr="00CA56DF">
        <w:rPr>
          <w:rStyle w:val="eop"/>
          <w:rFonts w:ascii="Times" w:hAnsi="Times"/>
          <w:color w:val="000000" w:themeColor="text1"/>
        </w:rPr>
        <w:t> </w:t>
      </w:r>
    </w:p>
    <w:p w14:paraId="78209E64" w14:textId="77777777" w:rsidR="00CA56DF" w:rsidRPr="00CA56DF" w:rsidRDefault="00CA56DF" w:rsidP="00CA56DF">
      <w:pPr>
        <w:pStyle w:val="paragraph"/>
        <w:spacing w:before="0" w:beforeAutospacing="0" w:after="0" w:afterAutospacing="0" w:line="480" w:lineRule="auto"/>
        <w:jc w:val="right"/>
        <w:textAlignment w:val="baseline"/>
        <w:rPr>
          <w:rFonts w:ascii="Times" w:hAnsi="Times" w:cs="Segoe UI"/>
          <w:color w:val="000000" w:themeColor="text1"/>
          <w:sz w:val="18"/>
          <w:szCs w:val="18"/>
        </w:rPr>
      </w:pPr>
      <w:r w:rsidRPr="00CA56DF">
        <w:rPr>
          <w:rStyle w:val="eop"/>
          <w:rFonts w:ascii="Times" w:hAnsi="Times"/>
          <w:color w:val="000000" w:themeColor="text1"/>
        </w:rPr>
        <w:t> </w:t>
      </w:r>
    </w:p>
    <w:p w14:paraId="1669489C" w14:textId="27B2D2C7" w:rsidR="00CA56DF" w:rsidRPr="00CA56DF" w:rsidRDefault="00CA56DF" w:rsidP="00CA56DF">
      <w:pPr>
        <w:pStyle w:val="paragraph"/>
        <w:spacing w:before="0" w:beforeAutospacing="0" w:after="0" w:afterAutospacing="0" w:line="480" w:lineRule="auto"/>
        <w:jc w:val="right"/>
        <w:textAlignment w:val="baseline"/>
        <w:rPr>
          <w:rFonts w:ascii="Times" w:hAnsi="Times" w:cs="Segoe UI"/>
          <w:color w:val="000000" w:themeColor="text1"/>
          <w:sz w:val="18"/>
          <w:szCs w:val="18"/>
        </w:rPr>
      </w:pPr>
      <w:r w:rsidRPr="00CA56DF">
        <w:rPr>
          <w:rStyle w:val="normaltextrun"/>
          <w:rFonts w:ascii="Times" w:hAnsi="Times"/>
          <w:color w:val="000000" w:themeColor="text1"/>
        </w:rPr>
        <w:t xml:space="preserve">Dr. </w:t>
      </w:r>
      <w:r>
        <w:rPr>
          <w:rStyle w:val="normaltextrun"/>
          <w:rFonts w:ascii="Times" w:hAnsi="Times"/>
          <w:color w:val="000000" w:themeColor="text1"/>
        </w:rPr>
        <w:t>Daniel J Larson</w:t>
      </w:r>
      <w:r w:rsidRPr="00CA56DF">
        <w:rPr>
          <w:rStyle w:val="eop"/>
          <w:rFonts w:ascii="Times" w:hAnsi="Times"/>
          <w:color w:val="000000" w:themeColor="text1"/>
        </w:rPr>
        <w:t> </w:t>
      </w:r>
    </w:p>
    <w:p w14:paraId="601339E6" w14:textId="77777777" w:rsidR="00CA56DF" w:rsidRPr="00CA56DF" w:rsidRDefault="00CA56DF" w:rsidP="00CA56DF">
      <w:pPr>
        <w:pStyle w:val="paragraph"/>
        <w:spacing w:before="0" w:beforeAutospacing="0" w:after="0" w:afterAutospacing="0" w:line="480" w:lineRule="auto"/>
        <w:jc w:val="right"/>
        <w:textAlignment w:val="baseline"/>
        <w:rPr>
          <w:rFonts w:ascii="Times" w:hAnsi="Times" w:cs="Segoe UI"/>
          <w:color w:val="000000" w:themeColor="text1"/>
          <w:sz w:val="18"/>
          <w:szCs w:val="18"/>
        </w:rPr>
      </w:pPr>
      <w:r w:rsidRPr="00CA56DF">
        <w:rPr>
          <w:rStyle w:val="eop"/>
          <w:rFonts w:ascii="Times" w:hAnsi="Times"/>
          <w:color w:val="000000" w:themeColor="text1"/>
        </w:rPr>
        <w:t> </w:t>
      </w:r>
    </w:p>
    <w:p w14:paraId="5CA1135B" w14:textId="323F3EAF" w:rsidR="00CA56DF" w:rsidRPr="00CA56DF" w:rsidRDefault="00CA56DF" w:rsidP="00CA56DF">
      <w:pPr>
        <w:pStyle w:val="paragraph"/>
        <w:spacing w:before="0" w:beforeAutospacing="0" w:after="0" w:afterAutospacing="0" w:line="480" w:lineRule="auto"/>
        <w:jc w:val="right"/>
        <w:textAlignment w:val="baseline"/>
        <w:rPr>
          <w:rFonts w:ascii="Times" w:hAnsi="Times" w:cs="Segoe UI"/>
          <w:sz w:val="18"/>
          <w:szCs w:val="18"/>
        </w:rPr>
      </w:pPr>
      <w:r w:rsidRPr="00CA56DF">
        <w:rPr>
          <w:rStyle w:val="normaltextrun"/>
          <w:rFonts w:ascii="Times" w:hAnsi="Times"/>
          <w:color w:val="000000" w:themeColor="text1"/>
        </w:rPr>
        <w:t xml:space="preserve">Dr. </w:t>
      </w:r>
      <w:r>
        <w:rPr>
          <w:rStyle w:val="normaltextrun"/>
          <w:rFonts w:ascii="Times" w:hAnsi="Times"/>
          <w:color w:val="000000" w:themeColor="text1"/>
        </w:rPr>
        <w:t>Blake D McLean</w:t>
      </w:r>
    </w:p>
    <w:p w14:paraId="2A706BFE" w14:textId="77777777" w:rsidR="00CA56DF" w:rsidRPr="00CA56DF" w:rsidRDefault="00CA56DF" w:rsidP="00CA56DF">
      <w:pPr>
        <w:pStyle w:val="paragraph"/>
        <w:spacing w:before="0" w:beforeAutospacing="0" w:after="0" w:afterAutospacing="0" w:line="480" w:lineRule="auto"/>
        <w:textAlignment w:val="baseline"/>
        <w:rPr>
          <w:rFonts w:ascii="Times" w:hAnsi="Times" w:cs="Segoe UI"/>
          <w:sz w:val="18"/>
          <w:szCs w:val="18"/>
        </w:rPr>
      </w:pPr>
      <w:r w:rsidRPr="00CA56DF">
        <w:rPr>
          <w:rStyle w:val="pagebreaktextspan"/>
          <w:rFonts w:ascii="Times" w:hAnsi="Times" w:cs="Segoe UI"/>
          <w:color w:val="666666"/>
          <w:sz w:val="18"/>
          <w:szCs w:val="18"/>
          <w:shd w:val="clear" w:color="auto" w:fill="FFFFFF"/>
        </w:rPr>
        <w:t> </w:t>
      </w:r>
      <w:r w:rsidRPr="00CA56DF">
        <w:rPr>
          <w:rStyle w:val="eop"/>
          <w:rFonts w:ascii="Times" w:hAnsi="Times"/>
          <w:color w:val="333333"/>
        </w:rPr>
        <w:t> </w:t>
      </w:r>
    </w:p>
    <w:p w14:paraId="1888652A" w14:textId="77777777" w:rsidR="00F32051" w:rsidRDefault="00F32051" w:rsidP="00E661DE">
      <w:pPr>
        <w:pStyle w:val="Title"/>
        <w:jc w:val="center"/>
        <w:rPr>
          <w:rStyle w:val="Strong"/>
          <w:rFonts w:ascii="Times" w:hAnsi="Times" w:cs="Times New Roman"/>
          <w:b w:val="0"/>
          <w:bCs w:val="0"/>
          <w:color w:val="000000" w:themeColor="text1"/>
          <w:sz w:val="44"/>
          <w:szCs w:val="44"/>
        </w:rPr>
      </w:pPr>
    </w:p>
    <w:p w14:paraId="20C28039" w14:textId="77777777" w:rsidR="00F32051" w:rsidRDefault="00F32051" w:rsidP="00E661DE">
      <w:pPr>
        <w:pStyle w:val="Title"/>
        <w:jc w:val="center"/>
        <w:rPr>
          <w:rStyle w:val="Strong"/>
          <w:rFonts w:ascii="Times" w:hAnsi="Times" w:cs="Times New Roman"/>
          <w:b w:val="0"/>
          <w:bCs w:val="0"/>
          <w:color w:val="000000" w:themeColor="text1"/>
          <w:sz w:val="44"/>
          <w:szCs w:val="44"/>
        </w:rPr>
      </w:pPr>
    </w:p>
    <w:p w14:paraId="01C4F805" w14:textId="77777777" w:rsidR="00F32051" w:rsidRDefault="00F32051" w:rsidP="00CA56DF">
      <w:pPr>
        <w:pStyle w:val="Title"/>
        <w:rPr>
          <w:rStyle w:val="Strong"/>
          <w:rFonts w:ascii="Times" w:hAnsi="Times" w:cs="Times New Roman"/>
          <w:b w:val="0"/>
          <w:bCs w:val="0"/>
          <w:color w:val="000000" w:themeColor="text1"/>
          <w:sz w:val="44"/>
          <w:szCs w:val="44"/>
        </w:rPr>
      </w:pPr>
    </w:p>
    <w:p w14:paraId="34C95D94"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2C17C777"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274BEBC3"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26A04EEA"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6F002DE3"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74ED5738"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503805FD"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104AA47D"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1A950044"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6137F4A9"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3AB1EDEF"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5701AAF0"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76078D1B"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1ABD2F6F"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66D17B15"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0D6BB298"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77AF1C26"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13D7E115" w14:textId="77777777" w:rsidR="00CA56DF" w:rsidRDefault="00CA56DF" w:rsidP="00CA56DF">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5BE29F18" w14:textId="225CA483" w:rsidR="00CA56DF" w:rsidRPr="00284590" w:rsidRDefault="00CA56DF" w:rsidP="00CA56DF">
      <w:pPr>
        <w:pStyle w:val="paragraph"/>
        <w:spacing w:before="0" w:beforeAutospacing="0" w:after="0" w:afterAutospacing="0" w:line="480" w:lineRule="auto"/>
        <w:jc w:val="center"/>
        <w:textAlignment w:val="baseline"/>
        <w:rPr>
          <w:color w:val="333333"/>
        </w:rPr>
      </w:pPr>
      <w:r w:rsidRPr="00284590">
        <w:rPr>
          <w:color w:val="333333"/>
        </w:rPr>
        <w:t xml:space="preserve">© Copyright by </w:t>
      </w:r>
      <w:r>
        <w:rPr>
          <w:color w:val="333333"/>
        </w:rPr>
        <w:t>CONSTANTINE WILLIAM KUTSON 2023</w:t>
      </w:r>
    </w:p>
    <w:p w14:paraId="0B1BADC4" w14:textId="68DE5549" w:rsidR="00BF5EAB" w:rsidRDefault="005D230B" w:rsidP="005D230B">
      <w:pPr>
        <w:jc w:val="center"/>
      </w:pPr>
      <w:r>
        <w:t>All Rights Reserved</w:t>
      </w:r>
    </w:p>
    <w:p w14:paraId="5E526269" w14:textId="19963169" w:rsidR="005D230B" w:rsidRDefault="005D230B" w:rsidP="00BF5EAB"/>
    <w:p w14:paraId="31F245C3" w14:textId="366B21A8" w:rsidR="005D230B" w:rsidRDefault="005D230B" w:rsidP="00BF5EAB"/>
    <w:p w14:paraId="46F6FF60" w14:textId="0CAFDB72" w:rsidR="005D230B" w:rsidRDefault="005D230B" w:rsidP="00BF5EAB"/>
    <w:p w14:paraId="51826886" w14:textId="12F0BACB" w:rsidR="005D230B" w:rsidRDefault="005D230B" w:rsidP="00BF5EAB"/>
    <w:p w14:paraId="383AB69E" w14:textId="6FF2CC04" w:rsidR="005D230B" w:rsidRDefault="005D230B" w:rsidP="00BF5EAB"/>
    <w:p w14:paraId="6B1DC046" w14:textId="77777777" w:rsidR="004B4510" w:rsidRDefault="004B4510" w:rsidP="00BF5EAB">
      <w:pPr>
        <w:sectPr w:rsidR="004B4510" w:rsidSect="004B4510">
          <w:footerReference w:type="even" r:id="rId8"/>
          <w:footerReference w:type="default" r:id="rId9"/>
          <w:type w:val="continuous"/>
          <w:pgSz w:w="12240" w:h="15840"/>
          <w:pgMar w:top="1440" w:right="1440" w:bottom="1440" w:left="1440" w:header="720" w:footer="720" w:gutter="0"/>
          <w:cols w:space="720"/>
          <w:docGrid w:linePitch="360"/>
        </w:sectPr>
      </w:pPr>
    </w:p>
    <w:p w14:paraId="136CA1F9" w14:textId="5D499674" w:rsidR="004B4510" w:rsidRDefault="004B4510" w:rsidP="00BF5EAB"/>
    <w:sdt>
      <w:sdtPr>
        <w:rPr>
          <w:rFonts w:ascii="Times New Roman" w:eastAsiaTheme="minorEastAsia" w:hAnsi="Times New Roman" w:cs="Times New Roman"/>
          <w:b w:val="0"/>
          <w:bCs w:val="0"/>
          <w:color w:val="auto"/>
          <w:kern w:val="2"/>
          <w:sz w:val="24"/>
          <w:szCs w:val="24"/>
          <w:lang w:eastAsia="ja-JP"/>
        </w:rPr>
        <w:id w:val="275882412"/>
        <w:docPartObj>
          <w:docPartGallery w:val="Table of Contents"/>
          <w:docPartUnique/>
        </w:docPartObj>
      </w:sdtPr>
      <w:sdtEndPr>
        <w:rPr>
          <w:rFonts w:eastAsia="Times New Roman"/>
          <w:bCs/>
          <w:kern w:val="0"/>
          <w:lang w:eastAsia="en-US"/>
        </w:rPr>
      </w:sdtEndPr>
      <w:sdtContent>
        <w:p w14:paraId="05FEC827" w14:textId="31D129CE" w:rsidR="00D45A90" w:rsidRPr="005C6CF3" w:rsidRDefault="00D45A90" w:rsidP="00BE6377">
          <w:pPr>
            <w:pStyle w:val="TOCHeading"/>
            <w:jc w:val="center"/>
            <w:rPr>
              <w:rFonts w:ascii="Times New Roman" w:hAnsi="Times New Roman" w:cs="Times New Roman"/>
              <w:color w:val="000000" w:themeColor="text1"/>
              <w:sz w:val="40"/>
              <w:szCs w:val="40"/>
            </w:rPr>
          </w:pPr>
          <w:r w:rsidRPr="005C6CF3">
            <w:rPr>
              <w:rFonts w:ascii="Times New Roman" w:hAnsi="Times New Roman" w:cs="Times New Roman"/>
              <w:color w:val="000000" w:themeColor="text1"/>
              <w:sz w:val="40"/>
              <w:szCs w:val="40"/>
            </w:rPr>
            <w:t>Table of Contents</w:t>
          </w:r>
        </w:p>
        <w:p w14:paraId="3785FE0F" w14:textId="3DB3E3E7" w:rsidR="00D45A90" w:rsidRPr="005C6CF3" w:rsidRDefault="00D45A90" w:rsidP="006D1DCD">
          <w:pPr>
            <w:pStyle w:val="TOC1"/>
            <w:tabs>
              <w:tab w:val="right" w:pos="8828"/>
            </w:tabs>
            <w:rPr>
              <w:rFonts w:ascii="Times New Roman" w:hAnsi="Times New Roman"/>
              <w:noProof/>
            </w:rPr>
          </w:pPr>
          <w:r w:rsidRPr="005C6CF3">
            <w:rPr>
              <w:rFonts w:ascii="Times New Roman" w:hAnsi="Times New Roman"/>
            </w:rPr>
            <w:t>Introduction</w:t>
          </w:r>
          <w:r w:rsidRPr="005C6CF3">
            <w:rPr>
              <w:rFonts w:ascii="Times New Roman" w:hAnsi="Times New Roman"/>
              <w:noProof/>
            </w:rPr>
            <w:tab/>
          </w:r>
          <w:r w:rsidRPr="005C6CF3">
            <w:rPr>
              <w:rFonts w:ascii="Times New Roman" w:hAnsi="Times New Roman"/>
            </w:rPr>
            <w:t>1</w:t>
          </w:r>
        </w:p>
        <w:p w14:paraId="66A97AEA" w14:textId="59D01814" w:rsidR="00D45A90" w:rsidRPr="005C6CF3" w:rsidRDefault="00D45A90" w:rsidP="006D1DCD">
          <w:pPr>
            <w:pStyle w:val="TOC2"/>
            <w:tabs>
              <w:tab w:val="right" w:pos="8828"/>
            </w:tabs>
            <w:rPr>
              <w:rFonts w:ascii="Times New Roman" w:hAnsi="Times New Roman"/>
            </w:rPr>
          </w:pPr>
          <w:r w:rsidRPr="005C6CF3">
            <w:rPr>
              <w:rFonts w:ascii="Times New Roman" w:hAnsi="Times New Roman"/>
            </w:rPr>
            <w:t>Purpose</w:t>
          </w:r>
          <w:r w:rsidR="005869A9" w:rsidRPr="005C6CF3">
            <w:rPr>
              <w:rFonts w:ascii="Times New Roman" w:hAnsi="Times New Roman"/>
            </w:rPr>
            <w:tab/>
            <w:t>4</w:t>
          </w:r>
        </w:p>
        <w:p w14:paraId="6F46184E" w14:textId="1F389740" w:rsidR="00D45A90" w:rsidRPr="005C6CF3" w:rsidRDefault="00D45A90" w:rsidP="006D1DCD">
          <w:pPr>
            <w:pStyle w:val="TOC2"/>
            <w:tabs>
              <w:tab w:val="right" w:pos="8828"/>
            </w:tabs>
            <w:rPr>
              <w:rFonts w:ascii="Times New Roman" w:hAnsi="Times New Roman"/>
            </w:rPr>
          </w:pPr>
          <w:r w:rsidRPr="005C6CF3">
            <w:rPr>
              <w:rFonts w:ascii="Times New Roman" w:hAnsi="Times New Roman"/>
            </w:rPr>
            <w:t>Significance</w:t>
          </w:r>
          <w:r w:rsidRPr="005C6CF3">
            <w:rPr>
              <w:rFonts w:ascii="Times New Roman" w:hAnsi="Times New Roman"/>
            </w:rPr>
            <w:tab/>
          </w:r>
          <w:r w:rsidR="005869A9" w:rsidRPr="005C6CF3">
            <w:rPr>
              <w:rFonts w:ascii="Times New Roman" w:hAnsi="Times New Roman"/>
            </w:rPr>
            <w:t>4</w:t>
          </w:r>
        </w:p>
        <w:p w14:paraId="4C4496CA" w14:textId="3912551C" w:rsidR="00D45A90" w:rsidRPr="005C6CF3" w:rsidRDefault="00D45A90" w:rsidP="006D1DCD">
          <w:pPr>
            <w:pStyle w:val="TOC2"/>
            <w:tabs>
              <w:tab w:val="right" w:pos="8828"/>
            </w:tabs>
            <w:rPr>
              <w:rFonts w:ascii="Times New Roman" w:hAnsi="Times New Roman"/>
            </w:rPr>
          </w:pPr>
          <w:r w:rsidRPr="005C6CF3">
            <w:rPr>
              <w:rFonts w:ascii="Times New Roman" w:hAnsi="Times New Roman"/>
            </w:rPr>
            <w:t>Research Questions</w:t>
          </w:r>
          <w:r w:rsidR="005869A9" w:rsidRPr="005C6CF3">
            <w:rPr>
              <w:rFonts w:ascii="Times New Roman" w:hAnsi="Times New Roman"/>
            </w:rPr>
            <w:tab/>
            <w:t>5</w:t>
          </w:r>
        </w:p>
        <w:p w14:paraId="0C0106C9" w14:textId="38499F00" w:rsidR="00D45A90" w:rsidRPr="005C6CF3" w:rsidRDefault="00D45A90" w:rsidP="006D1DCD">
          <w:pPr>
            <w:pStyle w:val="TOC2"/>
            <w:tabs>
              <w:tab w:val="right" w:pos="8828"/>
            </w:tabs>
            <w:rPr>
              <w:rFonts w:ascii="Times New Roman" w:hAnsi="Times New Roman"/>
            </w:rPr>
          </w:pPr>
          <w:r w:rsidRPr="005C6CF3">
            <w:rPr>
              <w:rFonts w:ascii="Times New Roman" w:hAnsi="Times New Roman"/>
            </w:rPr>
            <w:t>Hypothesis</w:t>
          </w:r>
          <w:r w:rsidR="005869A9" w:rsidRPr="005C6CF3">
            <w:rPr>
              <w:rFonts w:ascii="Times New Roman" w:hAnsi="Times New Roman"/>
            </w:rPr>
            <w:tab/>
            <w:t>5</w:t>
          </w:r>
        </w:p>
        <w:p w14:paraId="0E77F991" w14:textId="01EBB08D" w:rsidR="00D45A90" w:rsidRPr="005C6CF3" w:rsidRDefault="00D45A90" w:rsidP="006D1DCD">
          <w:pPr>
            <w:pStyle w:val="TOC2"/>
            <w:tabs>
              <w:tab w:val="right" w:pos="8828"/>
            </w:tabs>
            <w:rPr>
              <w:rFonts w:ascii="Times New Roman" w:hAnsi="Times New Roman"/>
            </w:rPr>
          </w:pPr>
          <w:r w:rsidRPr="005C6CF3">
            <w:rPr>
              <w:rFonts w:ascii="Times New Roman" w:hAnsi="Times New Roman"/>
            </w:rPr>
            <w:t>Delimitations</w:t>
          </w:r>
          <w:r w:rsidR="005869A9" w:rsidRPr="005C6CF3">
            <w:rPr>
              <w:rFonts w:ascii="Times New Roman" w:hAnsi="Times New Roman"/>
            </w:rPr>
            <w:tab/>
            <w:t>6</w:t>
          </w:r>
        </w:p>
        <w:p w14:paraId="59E74325" w14:textId="503449B3" w:rsidR="00D45A90" w:rsidRPr="005C6CF3" w:rsidRDefault="00D45A90" w:rsidP="006D1DCD">
          <w:pPr>
            <w:pStyle w:val="TOC2"/>
            <w:tabs>
              <w:tab w:val="right" w:pos="8828"/>
            </w:tabs>
            <w:rPr>
              <w:rFonts w:ascii="Times New Roman" w:hAnsi="Times New Roman"/>
            </w:rPr>
          </w:pPr>
          <w:r w:rsidRPr="005C6CF3">
            <w:rPr>
              <w:rFonts w:ascii="Times New Roman" w:hAnsi="Times New Roman"/>
            </w:rPr>
            <w:t>Limitations</w:t>
          </w:r>
          <w:r w:rsidR="005869A9" w:rsidRPr="005C6CF3">
            <w:rPr>
              <w:rFonts w:ascii="Times New Roman" w:hAnsi="Times New Roman"/>
            </w:rPr>
            <w:tab/>
            <w:t>6</w:t>
          </w:r>
        </w:p>
        <w:p w14:paraId="38F6C896" w14:textId="66CCBAE9" w:rsidR="00D45A90" w:rsidRPr="005C6CF3" w:rsidRDefault="00D45A90" w:rsidP="006D1DCD">
          <w:pPr>
            <w:pStyle w:val="TOC2"/>
            <w:tabs>
              <w:tab w:val="right" w:pos="8828"/>
            </w:tabs>
            <w:rPr>
              <w:rFonts w:ascii="Times New Roman" w:hAnsi="Times New Roman"/>
            </w:rPr>
          </w:pPr>
          <w:r w:rsidRPr="005C6CF3">
            <w:rPr>
              <w:rFonts w:ascii="Times New Roman" w:hAnsi="Times New Roman"/>
            </w:rPr>
            <w:t>Assumptions</w:t>
          </w:r>
          <w:r w:rsidR="005869A9" w:rsidRPr="005C6CF3">
            <w:rPr>
              <w:rFonts w:ascii="Times New Roman" w:hAnsi="Times New Roman"/>
            </w:rPr>
            <w:tab/>
            <w:t>7</w:t>
          </w:r>
        </w:p>
        <w:p w14:paraId="3249BF79" w14:textId="3A6A0D95" w:rsidR="00D45A90" w:rsidRPr="005C6CF3" w:rsidRDefault="00D45A90" w:rsidP="00D45A90">
          <w:pPr>
            <w:pStyle w:val="TOC2"/>
            <w:tabs>
              <w:tab w:val="right" w:pos="8828"/>
            </w:tabs>
            <w:rPr>
              <w:rFonts w:ascii="Times New Roman" w:hAnsi="Times New Roman"/>
              <w:noProof/>
            </w:rPr>
          </w:pPr>
          <w:r w:rsidRPr="005C6CF3">
            <w:rPr>
              <w:rFonts w:ascii="Times New Roman" w:hAnsi="Times New Roman"/>
            </w:rPr>
            <w:t>Operational Definition</w:t>
          </w:r>
          <w:r w:rsidRPr="005C6CF3">
            <w:rPr>
              <w:rFonts w:ascii="Times New Roman" w:hAnsi="Times New Roman"/>
              <w:noProof/>
            </w:rPr>
            <w:tab/>
          </w:r>
          <w:r w:rsidR="005869A9" w:rsidRPr="005C6CF3">
            <w:rPr>
              <w:rFonts w:ascii="Times New Roman" w:hAnsi="Times New Roman"/>
            </w:rPr>
            <w:t>7</w:t>
          </w:r>
        </w:p>
        <w:p w14:paraId="52434CD0" w14:textId="08656DB9" w:rsidR="00D45A90" w:rsidRPr="005C6CF3" w:rsidRDefault="00D45A90" w:rsidP="006D1DCD">
          <w:pPr>
            <w:pStyle w:val="TOC1"/>
            <w:tabs>
              <w:tab w:val="right" w:pos="8828"/>
            </w:tabs>
            <w:rPr>
              <w:rFonts w:ascii="Times New Roman" w:hAnsi="Times New Roman"/>
              <w:noProof/>
            </w:rPr>
          </w:pPr>
          <w:r w:rsidRPr="005C6CF3">
            <w:rPr>
              <w:rFonts w:ascii="Times New Roman" w:hAnsi="Times New Roman"/>
            </w:rPr>
            <w:t>Literature Review</w:t>
          </w:r>
          <w:r w:rsidRPr="005C6CF3">
            <w:rPr>
              <w:rFonts w:ascii="Times New Roman" w:hAnsi="Times New Roman"/>
              <w:noProof/>
            </w:rPr>
            <w:tab/>
          </w:r>
          <w:r w:rsidR="005869A9" w:rsidRPr="005C6CF3">
            <w:rPr>
              <w:rFonts w:ascii="Times New Roman" w:hAnsi="Times New Roman"/>
            </w:rPr>
            <w:t>8</w:t>
          </w:r>
        </w:p>
        <w:p w14:paraId="7AE6A8D1" w14:textId="441F6613" w:rsidR="00D45A90" w:rsidRPr="005C6CF3" w:rsidRDefault="00D45A90" w:rsidP="006D1DCD">
          <w:pPr>
            <w:pStyle w:val="TOC2"/>
            <w:tabs>
              <w:tab w:val="right" w:pos="8828"/>
            </w:tabs>
            <w:rPr>
              <w:rFonts w:ascii="Times New Roman" w:hAnsi="Times New Roman"/>
              <w:noProof/>
            </w:rPr>
          </w:pPr>
          <w:r w:rsidRPr="005C6CF3">
            <w:rPr>
              <w:rFonts w:ascii="Times New Roman" w:hAnsi="Times New Roman"/>
            </w:rPr>
            <w:t>Related Literature</w:t>
          </w:r>
          <w:r w:rsidRPr="005C6CF3">
            <w:rPr>
              <w:rFonts w:ascii="Times New Roman" w:hAnsi="Times New Roman"/>
              <w:noProof/>
            </w:rPr>
            <w:tab/>
          </w:r>
          <w:r w:rsidR="005869A9" w:rsidRPr="005C6CF3">
            <w:rPr>
              <w:rFonts w:ascii="Times New Roman" w:hAnsi="Times New Roman"/>
            </w:rPr>
            <w:t>9</w:t>
          </w:r>
        </w:p>
        <w:p w14:paraId="1CC5810C" w14:textId="0A1E409D" w:rsidR="00D45A90" w:rsidRPr="005C6CF3" w:rsidRDefault="00D45A90" w:rsidP="00D45A90">
          <w:pPr>
            <w:pStyle w:val="TOC3"/>
            <w:tabs>
              <w:tab w:val="right" w:pos="8828"/>
            </w:tabs>
            <w:rPr>
              <w:rFonts w:ascii="Times New Roman" w:hAnsi="Times New Roman"/>
              <w:noProof/>
            </w:rPr>
          </w:pPr>
          <w:r w:rsidRPr="005C6CF3">
            <w:rPr>
              <w:rFonts w:ascii="Times New Roman" w:hAnsi="Times New Roman"/>
              <w:noProof/>
            </w:rPr>
            <w:t>Importance of Load Monitoring</w:t>
          </w:r>
          <w:r w:rsidR="005869A9" w:rsidRPr="005C6CF3">
            <w:rPr>
              <w:rFonts w:ascii="Times New Roman" w:hAnsi="Times New Roman"/>
              <w:noProof/>
            </w:rPr>
            <w:tab/>
            <w:t>9</w:t>
          </w:r>
        </w:p>
        <w:p w14:paraId="15689AAA" w14:textId="0DFB5027" w:rsidR="00D45A90" w:rsidRPr="005C6CF3" w:rsidRDefault="00D45A90" w:rsidP="00D45A90">
          <w:pPr>
            <w:pStyle w:val="TOC3"/>
            <w:tabs>
              <w:tab w:val="right" w:pos="8828"/>
            </w:tabs>
            <w:rPr>
              <w:rFonts w:ascii="Times New Roman" w:hAnsi="Times New Roman"/>
              <w:noProof/>
            </w:rPr>
          </w:pPr>
          <w:r w:rsidRPr="005C6CF3">
            <w:rPr>
              <w:rFonts w:ascii="Times New Roman" w:hAnsi="Times New Roman"/>
              <w:noProof/>
            </w:rPr>
            <w:t>External Load Monitoring</w:t>
          </w:r>
          <w:r w:rsidR="005869A9" w:rsidRPr="005C6CF3">
            <w:rPr>
              <w:rFonts w:ascii="Times New Roman" w:hAnsi="Times New Roman"/>
              <w:noProof/>
            </w:rPr>
            <w:tab/>
            <w:t>10</w:t>
          </w:r>
        </w:p>
        <w:p w14:paraId="08D0EEE4" w14:textId="5BDE2FA2" w:rsidR="00D45A90" w:rsidRPr="005C6CF3" w:rsidRDefault="00D45A90" w:rsidP="00D45A90">
          <w:pPr>
            <w:pStyle w:val="TOC3"/>
            <w:tabs>
              <w:tab w:val="right" w:pos="8828"/>
            </w:tabs>
            <w:rPr>
              <w:rFonts w:ascii="Times New Roman" w:hAnsi="Times New Roman"/>
              <w:noProof/>
            </w:rPr>
          </w:pPr>
          <w:r w:rsidRPr="005C6CF3">
            <w:rPr>
              <w:rFonts w:ascii="Times New Roman" w:hAnsi="Times New Roman"/>
              <w:noProof/>
            </w:rPr>
            <w:t>Load Demands of Male College Basketball Players</w:t>
          </w:r>
          <w:r w:rsidR="005869A9" w:rsidRPr="005C6CF3">
            <w:rPr>
              <w:rFonts w:ascii="Times New Roman" w:hAnsi="Times New Roman"/>
              <w:noProof/>
            </w:rPr>
            <w:tab/>
            <w:t>12</w:t>
          </w:r>
        </w:p>
        <w:p w14:paraId="3F5D50A4" w14:textId="7F29CC68" w:rsidR="00D45A90" w:rsidRPr="005C6CF3" w:rsidRDefault="00D45A90" w:rsidP="00D45A90">
          <w:pPr>
            <w:pStyle w:val="TOC3"/>
            <w:tabs>
              <w:tab w:val="right" w:pos="8828"/>
            </w:tabs>
            <w:rPr>
              <w:rFonts w:ascii="Times New Roman" w:hAnsi="Times New Roman"/>
              <w:noProof/>
            </w:rPr>
          </w:pPr>
          <w:r w:rsidRPr="005C6CF3">
            <w:rPr>
              <w:rFonts w:ascii="Times New Roman" w:hAnsi="Times New Roman"/>
              <w:noProof/>
            </w:rPr>
            <w:t>Differences in practice vs competition in basketball</w:t>
          </w:r>
          <w:r w:rsidRPr="005C6CF3">
            <w:rPr>
              <w:rFonts w:ascii="Times New Roman" w:hAnsi="Times New Roman"/>
              <w:noProof/>
            </w:rPr>
            <w:tab/>
          </w:r>
          <w:r w:rsidR="005869A9" w:rsidRPr="005C6CF3">
            <w:rPr>
              <w:rFonts w:ascii="Times New Roman" w:hAnsi="Times New Roman"/>
            </w:rPr>
            <w:t>14</w:t>
          </w:r>
        </w:p>
        <w:p w14:paraId="32778DE7" w14:textId="73FAD8EE" w:rsidR="00D45A90" w:rsidRPr="005C6CF3" w:rsidRDefault="00D45A90" w:rsidP="00BE6377">
          <w:pPr>
            <w:pStyle w:val="TOC2"/>
            <w:tabs>
              <w:tab w:val="right" w:pos="8828"/>
            </w:tabs>
            <w:rPr>
              <w:rFonts w:ascii="Times New Roman" w:hAnsi="Times New Roman"/>
            </w:rPr>
          </w:pPr>
          <w:r w:rsidRPr="005C6CF3">
            <w:rPr>
              <w:rFonts w:ascii="Times New Roman" w:hAnsi="Times New Roman"/>
            </w:rPr>
            <w:t>Summary</w:t>
          </w:r>
          <w:r w:rsidR="005869A9" w:rsidRPr="005C6CF3">
            <w:rPr>
              <w:rFonts w:ascii="Times New Roman" w:hAnsi="Times New Roman"/>
            </w:rPr>
            <w:tab/>
            <w:t>16</w:t>
          </w:r>
        </w:p>
        <w:p w14:paraId="25965ED1" w14:textId="0ECB4568" w:rsidR="00D45A90" w:rsidRPr="005C6CF3" w:rsidRDefault="00D45A90" w:rsidP="00D45A90">
          <w:pPr>
            <w:pStyle w:val="TOC1"/>
            <w:tabs>
              <w:tab w:val="right" w:pos="8828"/>
            </w:tabs>
            <w:rPr>
              <w:rFonts w:ascii="Times New Roman" w:hAnsi="Times New Roman"/>
              <w:noProof/>
            </w:rPr>
          </w:pPr>
          <w:r w:rsidRPr="005C6CF3">
            <w:rPr>
              <w:rFonts w:ascii="Times New Roman" w:hAnsi="Times New Roman"/>
            </w:rPr>
            <w:t>Methodology</w:t>
          </w:r>
          <w:r w:rsidRPr="005C6CF3">
            <w:rPr>
              <w:rFonts w:ascii="Times New Roman" w:hAnsi="Times New Roman"/>
              <w:noProof/>
            </w:rPr>
            <w:tab/>
          </w:r>
          <w:r w:rsidR="005869A9" w:rsidRPr="005C6CF3">
            <w:rPr>
              <w:rFonts w:ascii="Times New Roman" w:hAnsi="Times New Roman"/>
            </w:rPr>
            <w:t>16</w:t>
          </w:r>
        </w:p>
        <w:p w14:paraId="602FA106" w14:textId="2AD43F68" w:rsidR="00BE6377" w:rsidRPr="005C6CF3" w:rsidRDefault="00BE6377" w:rsidP="00D45A90">
          <w:pPr>
            <w:pStyle w:val="TOC2"/>
            <w:tabs>
              <w:tab w:val="right" w:pos="8828"/>
            </w:tabs>
            <w:rPr>
              <w:rFonts w:ascii="Times New Roman" w:hAnsi="Times New Roman"/>
            </w:rPr>
          </w:pPr>
          <w:r w:rsidRPr="005C6CF3">
            <w:rPr>
              <w:rFonts w:ascii="Times New Roman" w:hAnsi="Times New Roman"/>
            </w:rPr>
            <w:t>Population and Sampling</w:t>
          </w:r>
          <w:r w:rsidR="005869A9" w:rsidRPr="005C6CF3">
            <w:rPr>
              <w:rFonts w:ascii="Times New Roman" w:hAnsi="Times New Roman"/>
            </w:rPr>
            <w:tab/>
            <w:t>17</w:t>
          </w:r>
        </w:p>
        <w:p w14:paraId="5715359E" w14:textId="7933A72D" w:rsidR="00BE6377" w:rsidRPr="005C6CF3" w:rsidRDefault="00BE6377" w:rsidP="00D45A90">
          <w:pPr>
            <w:pStyle w:val="TOC2"/>
            <w:tabs>
              <w:tab w:val="right" w:pos="8828"/>
            </w:tabs>
            <w:rPr>
              <w:rFonts w:ascii="Times New Roman" w:hAnsi="Times New Roman"/>
            </w:rPr>
          </w:pPr>
          <w:r w:rsidRPr="005C6CF3">
            <w:rPr>
              <w:rFonts w:ascii="Times New Roman" w:hAnsi="Times New Roman"/>
            </w:rPr>
            <w:t>Research Design</w:t>
          </w:r>
          <w:r w:rsidR="005869A9" w:rsidRPr="005C6CF3">
            <w:rPr>
              <w:rFonts w:ascii="Times New Roman" w:hAnsi="Times New Roman"/>
            </w:rPr>
            <w:tab/>
            <w:t>17</w:t>
          </w:r>
        </w:p>
        <w:p w14:paraId="14F25AAF" w14:textId="2363B4A2" w:rsidR="00BE6377" w:rsidRPr="005C6CF3" w:rsidRDefault="00BE6377" w:rsidP="00D45A90">
          <w:pPr>
            <w:pStyle w:val="TOC2"/>
            <w:tabs>
              <w:tab w:val="right" w:pos="8828"/>
            </w:tabs>
            <w:rPr>
              <w:rFonts w:ascii="Times New Roman" w:hAnsi="Times New Roman"/>
            </w:rPr>
          </w:pPr>
          <w:r w:rsidRPr="005C6CF3">
            <w:rPr>
              <w:rFonts w:ascii="Times New Roman" w:hAnsi="Times New Roman"/>
            </w:rPr>
            <w:t>Measurement Protocols</w:t>
          </w:r>
          <w:r w:rsidR="005869A9" w:rsidRPr="005C6CF3">
            <w:rPr>
              <w:rFonts w:ascii="Times New Roman" w:hAnsi="Times New Roman"/>
            </w:rPr>
            <w:tab/>
            <w:t>18</w:t>
          </w:r>
        </w:p>
        <w:p w14:paraId="41DE9E42" w14:textId="6215A7BE" w:rsidR="00BE6377" w:rsidRPr="005C6CF3" w:rsidRDefault="00BE6377" w:rsidP="00D45A90">
          <w:pPr>
            <w:pStyle w:val="TOC2"/>
            <w:tabs>
              <w:tab w:val="right" w:pos="8828"/>
            </w:tabs>
            <w:rPr>
              <w:rFonts w:ascii="Times New Roman" w:hAnsi="Times New Roman"/>
            </w:rPr>
          </w:pPr>
          <w:r w:rsidRPr="005C6CF3">
            <w:rPr>
              <w:rFonts w:ascii="Times New Roman" w:hAnsi="Times New Roman"/>
            </w:rPr>
            <w:t>Data Collection Procedures</w:t>
          </w:r>
          <w:r w:rsidR="005869A9" w:rsidRPr="005C6CF3">
            <w:rPr>
              <w:rFonts w:ascii="Times New Roman" w:hAnsi="Times New Roman"/>
            </w:rPr>
            <w:tab/>
            <w:t>18</w:t>
          </w:r>
        </w:p>
        <w:p w14:paraId="2590EFC2" w14:textId="54C37DF5" w:rsidR="00BE6377" w:rsidRPr="005C6CF3" w:rsidRDefault="00BE6377" w:rsidP="00D45A90">
          <w:pPr>
            <w:pStyle w:val="TOC2"/>
            <w:tabs>
              <w:tab w:val="right" w:pos="8828"/>
            </w:tabs>
            <w:rPr>
              <w:rFonts w:ascii="Times New Roman" w:hAnsi="Times New Roman"/>
            </w:rPr>
          </w:pPr>
          <w:r w:rsidRPr="005C6CF3">
            <w:rPr>
              <w:rFonts w:ascii="Times New Roman" w:hAnsi="Times New Roman"/>
            </w:rPr>
            <w:t>Data Cleaning and Storage</w:t>
          </w:r>
          <w:r w:rsidR="005869A9" w:rsidRPr="005C6CF3">
            <w:rPr>
              <w:rFonts w:ascii="Times New Roman" w:hAnsi="Times New Roman"/>
            </w:rPr>
            <w:tab/>
            <w:t>20</w:t>
          </w:r>
        </w:p>
        <w:p w14:paraId="77155BB0" w14:textId="71190DAD" w:rsidR="00D45A90" w:rsidRPr="005C6CF3" w:rsidRDefault="00BE6377" w:rsidP="00BE6377">
          <w:pPr>
            <w:pStyle w:val="TOC2"/>
            <w:tabs>
              <w:tab w:val="right" w:pos="8828"/>
            </w:tabs>
            <w:rPr>
              <w:rFonts w:ascii="Times New Roman" w:hAnsi="Times New Roman"/>
              <w:noProof/>
            </w:rPr>
          </w:pPr>
          <w:r w:rsidRPr="005C6CF3">
            <w:rPr>
              <w:rFonts w:ascii="Times New Roman" w:hAnsi="Times New Roman"/>
            </w:rPr>
            <w:t>Statistical Methods for Data Analysis and Prediction</w:t>
          </w:r>
          <w:r w:rsidR="00D45A90" w:rsidRPr="005C6CF3">
            <w:rPr>
              <w:rFonts w:ascii="Times New Roman" w:hAnsi="Times New Roman"/>
              <w:noProof/>
            </w:rPr>
            <w:tab/>
          </w:r>
          <w:r w:rsidR="005869A9" w:rsidRPr="005C6CF3">
            <w:rPr>
              <w:rFonts w:ascii="Times New Roman" w:hAnsi="Times New Roman"/>
            </w:rPr>
            <w:t>21</w:t>
          </w:r>
        </w:p>
        <w:p w14:paraId="58234B6C" w14:textId="55F1E3B1" w:rsidR="00D45A90" w:rsidRPr="005C6CF3" w:rsidRDefault="00BE6377" w:rsidP="00BE6377">
          <w:pPr>
            <w:pStyle w:val="TOC1"/>
            <w:tabs>
              <w:tab w:val="right" w:pos="8828"/>
            </w:tabs>
            <w:rPr>
              <w:rFonts w:ascii="Times New Roman" w:hAnsi="Times New Roman"/>
              <w:noProof/>
            </w:rPr>
          </w:pPr>
          <w:r w:rsidRPr="005C6CF3">
            <w:rPr>
              <w:rFonts w:ascii="Times New Roman" w:hAnsi="Times New Roman"/>
            </w:rPr>
            <w:t>Results</w:t>
          </w:r>
          <w:r w:rsidR="00D45A90" w:rsidRPr="005C6CF3">
            <w:rPr>
              <w:rFonts w:ascii="Times New Roman" w:hAnsi="Times New Roman"/>
              <w:noProof/>
            </w:rPr>
            <w:tab/>
          </w:r>
          <w:r w:rsidR="005869A9" w:rsidRPr="005C6CF3">
            <w:rPr>
              <w:rFonts w:ascii="Times New Roman" w:hAnsi="Times New Roman"/>
            </w:rPr>
            <w:t>23</w:t>
          </w:r>
        </w:p>
        <w:p w14:paraId="0CAEFB4E" w14:textId="434CFBDB" w:rsidR="00D45A90" w:rsidRPr="005C6CF3" w:rsidRDefault="00BE6377" w:rsidP="00BE6377">
          <w:pPr>
            <w:pStyle w:val="TOC1"/>
            <w:tabs>
              <w:tab w:val="right" w:pos="8828"/>
            </w:tabs>
            <w:rPr>
              <w:rFonts w:ascii="Times New Roman" w:hAnsi="Times New Roman"/>
              <w:noProof/>
            </w:rPr>
          </w:pPr>
          <w:r w:rsidRPr="005C6CF3">
            <w:rPr>
              <w:rFonts w:ascii="Times New Roman" w:hAnsi="Times New Roman"/>
            </w:rPr>
            <w:t>Discussion</w:t>
          </w:r>
          <w:r w:rsidR="00D45A90" w:rsidRPr="005C6CF3">
            <w:rPr>
              <w:rFonts w:ascii="Times New Roman" w:hAnsi="Times New Roman"/>
              <w:noProof/>
            </w:rPr>
            <w:tab/>
          </w:r>
          <w:r w:rsidR="005869A9" w:rsidRPr="005C6CF3">
            <w:rPr>
              <w:rFonts w:ascii="Times New Roman" w:hAnsi="Times New Roman"/>
            </w:rPr>
            <w:t>34</w:t>
          </w:r>
          <w:r w:rsidR="00D45A90" w:rsidRPr="005C6CF3">
            <w:rPr>
              <w:rFonts w:ascii="Times New Roman" w:hAnsi="Times New Roman"/>
              <w:noProof/>
            </w:rPr>
            <w:tab/>
          </w:r>
        </w:p>
        <w:p w14:paraId="39B6DAB8" w14:textId="2A95DFBE" w:rsidR="00D45A90" w:rsidRPr="005C6CF3" w:rsidRDefault="00BE6377" w:rsidP="00D45A90">
          <w:pPr>
            <w:pStyle w:val="TOC1"/>
            <w:tabs>
              <w:tab w:val="right" w:pos="8828"/>
            </w:tabs>
            <w:rPr>
              <w:rFonts w:ascii="Times New Roman" w:hAnsi="Times New Roman"/>
              <w:noProof/>
            </w:rPr>
          </w:pPr>
          <w:r w:rsidRPr="005C6CF3">
            <w:rPr>
              <w:rFonts w:ascii="Times New Roman" w:hAnsi="Times New Roman"/>
            </w:rPr>
            <w:t>Conclusions</w:t>
          </w:r>
          <w:r w:rsidR="00D45A90" w:rsidRPr="005C6CF3">
            <w:rPr>
              <w:rFonts w:ascii="Times New Roman" w:hAnsi="Times New Roman"/>
              <w:noProof/>
            </w:rPr>
            <w:tab/>
          </w:r>
          <w:r w:rsidR="005869A9" w:rsidRPr="005C6CF3">
            <w:rPr>
              <w:rFonts w:ascii="Times New Roman" w:hAnsi="Times New Roman"/>
            </w:rPr>
            <w:t>3</w:t>
          </w:r>
          <w:r w:rsidR="003108FC" w:rsidRPr="005C6CF3">
            <w:rPr>
              <w:rFonts w:ascii="Times New Roman" w:hAnsi="Times New Roman"/>
            </w:rPr>
            <w:t>9</w:t>
          </w:r>
        </w:p>
        <w:p w14:paraId="3CE162DD" w14:textId="5C9F254C" w:rsidR="00BE6377" w:rsidRPr="005C6CF3" w:rsidRDefault="00BE6377" w:rsidP="00D45A90">
          <w:pPr>
            <w:pStyle w:val="TOC2"/>
            <w:tabs>
              <w:tab w:val="right" w:pos="8828"/>
            </w:tabs>
            <w:rPr>
              <w:rFonts w:ascii="Times New Roman" w:hAnsi="Times New Roman"/>
            </w:rPr>
          </w:pPr>
          <w:r w:rsidRPr="005C6CF3">
            <w:rPr>
              <w:rFonts w:ascii="Times New Roman" w:hAnsi="Times New Roman"/>
            </w:rPr>
            <w:t>Research Questions</w:t>
          </w:r>
          <w:r w:rsidR="005869A9" w:rsidRPr="005C6CF3">
            <w:rPr>
              <w:rFonts w:ascii="Times New Roman" w:hAnsi="Times New Roman"/>
            </w:rPr>
            <w:tab/>
            <w:t>39</w:t>
          </w:r>
        </w:p>
        <w:p w14:paraId="59FA28C2" w14:textId="417D39EB" w:rsidR="00BE6377" w:rsidRPr="005C6CF3" w:rsidRDefault="00BE6377" w:rsidP="00D45A90">
          <w:pPr>
            <w:pStyle w:val="TOC2"/>
            <w:tabs>
              <w:tab w:val="right" w:pos="8828"/>
            </w:tabs>
            <w:rPr>
              <w:rFonts w:ascii="Times New Roman" w:hAnsi="Times New Roman"/>
            </w:rPr>
          </w:pPr>
          <w:r w:rsidRPr="005C6CF3">
            <w:rPr>
              <w:rFonts w:ascii="Times New Roman" w:hAnsi="Times New Roman"/>
            </w:rPr>
            <w:t xml:space="preserve">Practical </w:t>
          </w:r>
          <w:r w:rsidR="005869A9" w:rsidRPr="005C6CF3">
            <w:rPr>
              <w:rFonts w:ascii="Times New Roman" w:hAnsi="Times New Roman"/>
            </w:rPr>
            <w:t>Significance</w:t>
          </w:r>
          <w:r w:rsidR="005869A9" w:rsidRPr="005C6CF3">
            <w:rPr>
              <w:rFonts w:ascii="Times New Roman" w:hAnsi="Times New Roman"/>
            </w:rPr>
            <w:tab/>
            <w:t>39</w:t>
          </w:r>
        </w:p>
        <w:p w14:paraId="2D6CE844" w14:textId="2D209A6F" w:rsidR="00D45A90" w:rsidRPr="005C6CF3" w:rsidRDefault="00BE6377" w:rsidP="00BE6377">
          <w:pPr>
            <w:pStyle w:val="TOC2"/>
            <w:tabs>
              <w:tab w:val="right" w:pos="8828"/>
            </w:tabs>
            <w:rPr>
              <w:rFonts w:ascii="Times New Roman" w:hAnsi="Times New Roman"/>
            </w:rPr>
          </w:pPr>
          <w:r w:rsidRPr="005C6CF3">
            <w:rPr>
              <w:rFonts w:ascii="Times New Roman" w:hAnsi="Times New Roman"/>
            </w:rPr>
            <w:t>Suggestions for Future Research</w:t>
          </w:r>
          <w:r w:rsidR="00D45A90" w:rsidRPr="005C6CF3">
            <w:rPr>
              <w:rFonts w:ascii="Times New Roman" w:hAnsi="Times New Roman"/>
              <w:noProof/>
            </w:rPr>
            <w:tab/>
          </w:r>
          <w:r w:rsidR="005869A9" w:rsidRPr="005C6CF3">
            <w:rPr>
              <w:rFonts w:ascii="Times New Roman" w:hAnsi="Times New Roman"/>
            </w:rPr>
            <w:t>40</w:t>
          </w:r>
        </w:p>
        <w:p w14:paraId="6495DDF8" w14:textId="647161B0" w:rsidR="00BE6377" w:rsidRPr="005C6CF3" w:rsidRDefault="00BE6377" w:rsidP="00BE6377"/>
        <w:p w14:paraId="6CBD91AC" w14:textId="3A78B1C5" w:rsidR="00BE6377" w:rsidRPr="005C6CF3" w:rsidRDefault="00BE6377" w:rsidP="00BE6377">
          <w:pPr>
            <w:rPr>
              <w:b/>
              <w:bCs/>
              <w:sz w:val="20"/>
              <w:szCs w:val="20"/>
            </w:rPr>
          </w:pPr>
          <w:r w:rsidRPr="005C6CF3">
            <w:rPr>
              <w:b/>
              <w:bCs/>
              <w:sz w:val="20"/>
              <w:szCs w:val="20"/>
            </w:rPr>
            <w:t>References</w:t>
          </w:r>
          <w:r w:rsidR="005869A9" w:rsidRPr="005C6CF3">
            <w:rPr>
              <w:b/>
              <w:bCs/>
              <w:sz w:val="20"/>
              <w:szCs w:val="20"/>
            </w:rPr>
            <w:tab/>
          </w:r>
          <w:r w:rsidR="005869A9" w:rsidRPr="005C6CF3">
            <w:rPr>
              <w:b/>
              <w:bCs/>
              <w:sz w:val="20"/>
              <w:szCs w:val="20"/>
            </w:rPr>
            <w:tab/>
          </w:r>
          <w:r w:rsidR="005869A9" w:rsidRPr="005C6CF3">
            <w:rPr>
              <w:b/>
              <w:bCs/>
              <w:sz w:val="20"/>
              <w:szCs w:val="20"/>
            </w:rPr>
            <w:tab/>
          </w:r>
          <w:r w:rsidR="005869A9" w:rsidRPr="005C6CF3">
            <w:rPr>
              <w:b/>
              <w:bCs/>
              <w:sz w:val="20"/>
              <w:szCs w:val="20"/>
            </w:rPr>
            <w:tab/>
          </w:r>
          <w:r w:rsidR="005869A9" w:rsidRPr="005C6CF3">
            <w:rPr>
              <w:b/>
              <w:bCs/>
              <w:sz w:val="20"/>
              <w:szCs w:val="20"/>
            </w:rPr>
            <w:tab/>
          </w:r>
          <w:r w:rsidR="005869A9" w:rsidRPr="005C6CF3">
            <w:rPr>
              <w:b/>
              <w:bCs/>
              <w:sz w:val="20"/>
              <w:szCs w:val="20"/>
            </w:rPr>
            <w:tab/>
          </w:r>
          <w:r w:rsidR="005869A9" w:rsidRPr="005C6CF3">
            <w:rPr>
              <w:b/>
              <w:bCs/>
              <w:sz w:val="20"/>
              <w:szCs w:val="20"/>
            </w:rPr>
            <w:tab/>
          </w:r>
          <w:r w:rsidR="005869A9" w:rsidRPr="005C6CF3">
            <w:rPr>
              <w:b/>
              <w:bCs/>
              <w:sz w:val="20"/>
              <w:szCs w:val="20"/>
            </w:rPr>
            <w:tab/>
          </w:r>
          <w:r w:rsidR="005869A9" w:rsidRPr="005C6CF3">
            <w:rPr>
              <w:b/>
              <w:bCs/>
              <w:sz w:val="20"/>
              <w:szCs w:val="20"/>
            </w:rPr>
            <w:tab/>
          </w:r>
          <w:r w:rsidR="005869A9" w:rsidRPr="005C6CF3">
            <w:rPr>
              <w:b/>
              <w:bCs/>
              <w:sz w:val="20"/>
              <w:szCs w:val="20"/>
            </w:rPr>
            <w:tab/>
          </w:r>
          <w:r w:rsidR="005869A9" w:rsidRPr="005C6CF3">
            <w:rPr>
              <w:b/>
              <w:bCs/>
              <w:sz w:val="20"/>
              <w:szCs w:val="20"/>
            </w:rPr>
            <w:tab/>
            <w:t>41</w:t>
          </w:r>
        </w:p>
        <w:p w14:paraId="5D3DEE84" w14:textId="77777777" w:rsidR="00953542" w:rsidRDefault="00953542" w:rsidP="00953542"/>
        <w:p w14:paraId="0E17C4BA" w14:textId="27B4C6DE" w:rsidR="00D45A90" w:rsidRPr="00953542" w:rsidRDefault="006D2D0B" w:rsidP="00953542"/>
      </w:sdtContent>
    </w:sdt>
    <w:p w14:paraId="02D5BAFE" w14:textId="67283F78" w:rsidR="00E371D2" w:rsidRPr="00E371D2" w:rsidRDefault="00E371D2" w:rsidP="00E371D2">
      <w:pPr>
        <w:rPr>
          <w:rFonts w:ascii="Times" w:hAnsi="Times"/>
          <w:sz w:val="32"/>
          <w:szCs w:val="32"/>
        </w:rPr>
      </w:pPr>
      <w:r>
        <w:rPr>
          <w:rFonts w:ascii="Times" w:hAnsi="Times"/>
          <w:sz w:val="32"/>
          <w:szCs w:val="32"/>
        </w:rPr>
        <w:lastRenderedPageBreak/>
        <w:t>Abstract</w:t>
      </w:r>
    </w:p>
    <w:p w14:paraId="3C8A1D52" w14:textId="19939E2B" w:rsidR="00BF5EAB" w:rsidRDefault="00BF5EAB" w:rsidP="00BF5EAB"/>
    <w:p w14:paraId="4F27A71F" w14:textId="3F431F63" w:rsidR="00BF5EAB" w:rsidRDefault="00BF5EAB" w:rsidP="00BF5EAB"/>
    <w:p w14:paraId="37E8D156" w14:textId="18B8575B" w:rsidR="00082ACA" w:rsidRDefault="00B13798" w:rsidP="00082ACA">
      <w:pPr>
        <w:spacing w:line="480" w:lineRule="auto"/>
        <w:ind w:firstLine="720"/>
        <w:rPr>
          <w:rFonts w:ascii="Times" w:eastAsiaTheme="minorEastAsia" w:hAnsi="Times"/>
        </w:rPr>
      </w:pPr>
      <w:r>
        <w:t>Tracking and monitoring of external load is an important consideration for sport performance practitioners. Despite its relative importance, there is very little research surrounding the external load demands of NCAA Division I Men’s Basketball athletes. Therefore, the purpose of this study was to examine the demands encountered by student-athletes across a season. External training load was measure during practice sessions using Catapult T6 inertial sensors from one NCAA DI Men’s Basketball team over the course of the 2021-2022 NCAA basketball season. Game external training load data was unable to be recorded, and was predicted utilizing fixed-effects panel regression, a linear regression variant in order to have an entire season of data. Players were split into Starters</w:t>
      </w:r>
      <w:r w:rsidR="00082ACA">
        <w:t xml:space="preserve"> (N = 5)</w:t>
      </w:r>
      <w:r>
        <w:t>, Rotation</w:t>
      </w:r>
      <w:r w:rsidR="00082ACA">
        <w:t xml:space="preserve"> (N = 5)</w:t>
      </w:r>
      <w:r>
        <w:t>, and Bench</w:t>
      </w:r>
      <w:r w:rsidR="00082ACA">
        <w:t xml:space="preserve"> (N = 5)</w:t>
      </w:r>
      <w:r>
        <w:t xml:space="preserve"> players based on average minutes per game. After players were categorized, one-way ANOVA tests with Tukey’s HSD post-hoc analysis was conducted</w:t>
      </w:r>
      <w:r w:rsidR="00082ACA">
        <w:t xml:space="preserve"> to determine differences in external load values among playing groups. The results indicated that Starters experienced statistically significant differences in external load </w:t>
      </w:r>
      <w:r w:rsidR="00082ACA">
        <w:rPr>
          <w:rFonts w:ascii="Times" w:eastAsiaTheme="minorEastAsia" w:hAnsi="Times"/>
        </w:rPr>
        <w:t xml:space="preserve">with starters averaging 4177 ± 2451 AU per month, Rotation players averaging 2949 ± 1927 AU per month, and Bench players averaging 2510 ± 1826 AU per month. Practitioners should be aware that NCAA DI Men’s basketball players experience highly stratified loads across a </w:t>
      </w:r>
      <w:proofErr w:type="gramStart"/>
      <w:r w:rsidR="00082ACA">
        <w:rPr>
          <w:rFonts w:ascii="Times" w:eastAsiaTheme="minorEastAsia" w:hAnsi="Times"/>
        </w:rPr>
        <w:t>team, and</w:t>
      </w:r>
      <w:proofErr w:type="gramEnd"/>
      <w:r w:rsidR="00082ACA">
        <w:rPr>
          <w:rFonts w:ascii="Times" w:eastAsiaTheme="minorEastAsia" w:hAnsi="Times"/>
        </w:rPr>
        <w:t xml:space="preserve"> should utilize this information appropriately to plan and periodize training to reduce injury risk and optimize skill development and physical preparation. </w:t>
      </w:r>
    </w:p>
    <w:p w14:paraId="1F2E911D" w14:textId="79B3964C" w:rsidR="00BF5EAB" w:rsidRDefault="00BF5EAB" w:rsidP="00082ACA">
      <w:pPr>
        <w:spacing w:line="480" w:lineRule="auto"/>
      </w:pPr>
    </w:p>
    <w:p w14:paraId="0801A775" w14:textId="4281EEB3" w:rsidR="00BF5EAB" w:rsidRDefault="00BF5EAB" w:rsidP="00BF5EAB"/>
    <w:p w14:paraId="0DAF0F8A" w14:textId="0FF3D1B1" w:rsidR="00BF5EAB" w:rsidRDefault="00BF5EAB" w:rsidP="00BF5EAB"/>
    <w:p w14:paraId="17C01B64" w14:textId="3FE7859F" w:rsidR="00BF5EAB" w:rsidRDefault="00BF5EAB" w:rsidP="00BF5EAB"/>
    <w:p w14:paraId="2FFE0ABE" w14:textId="3FEED6AB" w:rsidR="00BF5EAB" w:rsidRDefault="00BF5EAB" w:rsidP="00BF5EAB"/>
    <w:p w14:paraId="0EB58189" w14:textId="77777777" w:rsidR="004B4510" w:rsidRDefault="004B4510" w:rsidP="00BF5EAB">
      <w:pPr>
        <w:sectPr w:rsidR="004B4510" w:rsidSect="004B4510">
          <w:footerReference w:type="default" r:id="rId10"/>
          <w:pgSz w:w="12240" w:h="15840"/>
          <w:pgMar w:top="1440" w:right="1440" w:bottom="1440" w:left="1440" w:header="720" w:footer="720" w:gutter="0"/>
          <w:pgNumType w:fmt="lowerRoman" w:start="4"/>
          <w:cols w:space="720"/>
          <w:docGrid w:linePitch="360"/>
        </w:sectPr>
      </w:pPr>
    </w:p>
    <w:p w14:paraId="5EB2A45A" w14:textId="77777777" w:rsidR="005D230B" w:rsidRDefault="005D230B" w:rsidP="005D230B"/>
    <w:p w14:paraId="5865D2C5" w14:textId="2CA3B783" w:rsidR="00E661DE" w:rsidRPr="00214302" w:rsidRDefault="00E661DE" w:rsidP="00E661DE">
      <w:pPr>
        <w:pStyle w:val="Title"/>
        <w:jc w:val="center"/>
        <w:rPr>
          <w:rStyle w:val="Strong"/>
          <w:rFonts w:ascii="Times" w:hAnsi="Times" w:cs="Times New Roman"/>
          <w:b w:val="0"/>
          <w:bCs w:val="0"/>
          <w:color w:val="000000" w:themeColor="text1"/>
          <w:sz w:val="32"/>
          <w:szCs w:val="32"/>
        </w:rPr>
      </w:pPr>
      <w:r w:rsidRPr="00214302">
        <w:rPr>
          <w:rStyle w:val="Strong"/>
          <w:rFonts w:ascii="Times" w:hAnsi="Times" w:cs="Times New Roman"/>
          <w:b w:val="0"/>
          <w:bCs w:val="0"/>
          <w:color w:val="000000" w:themeColor="text1"/>
          <w:sz w:val="32"/>
          <w:szCs w:val="32"/>
        </w:rPr>
        <w:t>Chapter 1: Introduction</w:t>
      </w:r>
    </w:p>
    <w:p w14:paraId="5553A608" w14:textId="77777777" w:rsidR="00E661DE" w:rsidRPr="00DA5FAE" w:rsidRDefault="00E661DE" w:rsidP="00E661DE">
      <w:pPr>
        <w:rPr>
          <w:rFonts w:ascii="Times" w:hAnsi="Times"/>
          <w:color w:val="000000" w:themeColor="text1"/>
        </w:rPr>
      </w:pPr>
    </w:p>
    <w:p w14:paraId="05157247" w14:textId="7E9FC7E2"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rPr>
        <w:tab/>
        <w:t>In recent years, there has been a notable increase in the use of technolog</w:t>
      </w:r>
      <w:r>
        <w:rPr>
          <w:rFonts w:ascii="Times" w:hAnsi="Times"/>
          <w:color w:val="000000" w:themeColor="text1"/>
        </w:rPr>
        <w:t>y</w:t>
      </w:r>
      <w:r w:rsidRPr="00DA5FAE">
        <w:rPr>
          <w:rFonts w:ascii="Times" w:hAnsi="Times"/>
          <w:color w:val="000000" w:themeColor="text1"/>
        </w:rPr>
        <w:t xml:space="preserve"> in team sport </w:t>
      </w:r>
      <w:r w:rsidR="00FB1E13">
        <w:rPr>
          <w:rFonts w:ascii="Times" w:hAnsi="Times"/>
          <w:color w:val="000000" w:themeColor="text1"/>
        </w:rPr>
        <w:t>with the purpose of</w:t>
      </w:r>
      <w:r w:rsidRPr="00DA5FAE">
        <w:rPr>
          <w:rFonts w:ascii="Times" w:hAnsi="Times"/>
          <w:color w:val="000000" w:themeColor="text1"/>
        </w:rPr>
        <w:t xml:space="preserve"> gain</w:t>
      </w:r>
      <w:r w:rsidR="00FB1E13">
        <w:rPr>
          <w:rFonts w:ascii="Times" w:hAnsi="Times"/>
          <w:color w:val="000000" w:themeColor="text1"/>
        </w:rPr>
        <w:t>ing</w:t>
      </w:r>
      <w:r w:rsidRPr="00DA5FAE">
        <w:rPr>
          <w:rFonts w:ascii="Times" w:hAnsi="Times"/>
          <w:color w:val="000000" w:themeColor="text1"/>
        </w:rPr>
        <w:t xml:space="preserve"> an understanding of the physiological status of athletes</w:t>
      </w:r>
      <w:r>
        <w:rPr>
          <w:rFonts w:ascii="Times" w:hAnsi="Times"/>
          <w:color w:val="000000" w:themeColor="text1"/>
        </w:rPr>
        <w:t xml:space="preserve"> during competitive seasons</w:t>
      </w:r>
      <w:r w:rsidR="00CC5252">
        <w:rPr>
          <w:rFonts w:ascii="Times" w:hAnsi="Times"/>
          <w:color w:val="000000" w:themeColor="text1"/>
        </w:rPr>
        <w:t xml:space="preserve"> and training</w:t>
      </w:r>
      <w:r w:rsidRPr="00DA5FAE">
        <w:rPr>
          <w:rFonts w:ascii="Times" w:hAnsi="Times"/>
          <w:color w:val="000000" w:themeColor="text1"/>
        </w:rPr>
        <w:t>. Sport performance practitioners</w:t>
      </w:r>
      <w:r w:rsidR="00FB1E13">
        <w:rPr>
          <w:rFonts w:ascii="Times" w:hAnsi="Times"/>
          <w:color w:val="000000" w:themeColor="text1"/>
        </w:rPr>
        <w:t xml:space="preserve"> across all levels of sport are tasked with </w:t>
      </w:r>
      <w:r w:rsidRPr="00DA5FAE">
        <w:rPr>
          <w:rFonts w:ascii="Times" w:hAnsi="Times"/>
          <w:color w:val="000000" w:themeColor="text1"/>
        </w:rPr>
        <w:t xml:space="preserve">optimally preparing their athletes for competition through the use of periodized training programs, be it sport specific (practices, skill acquisition drills, etc.) or more generalized physical training through resistance or cardiovascular training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{"citationID":"RF7ah12z","properties":{"formattedCitation":"(G. Gregory Haff &amp; N. Travis Triplett, 2016)","plainCitation":"(G. Gregory Haff &amp; N. Travis Triplett, 2016)","noteIndex":0},"citationItems":[{"id":247,"uris":["http://zotero.org/users/5493924/items/HNICZVGZ"],"itemData":{"id":247,"type":"book","edition":"4","publisher":"Human Kinetics","title":"Essentials of Strength Training and Conditioning","author":[{"literal":"G. Gregory Haff"},{"literal":"N. Travis Triplett"}],"issued":{"date-parts":[["2016"]]}}}],"schema":"https://github.com/citation-style-language/schema/raw/master/csl-citation.json"}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(G. Gregory Haff &amp; N. Travis Triplett, 2016)</w:t>
      </w:r>
      <w:r w:rsidRPr="00DA5FAE">
        <w:rPr>
          <w:rFonts w:ascii="Times" w:hAnsi="Times"/>
          <w:color w:val="000000" w:themeColor="text1"/>
        </w:rPr>
        <w:fldChar w:fldCharType="end"/>
      </w:r>
      <w:r w:rsidRPr="00DA5FAE">
        <w:rPr>
          <w:rFonts w:ascii="Times" w:hAnsi="Times"/>
          <w:color w:val="000000" w:themeColor="text1"/>
        </w:rPr>
        <w:t xml:space="preserve">. However, in order to properly prepare athletes for the demands of competition, practitioners must have a </w:t>
      </w:r>
      <w:r>
        <w:rPr>
          <w:rFonts w:ascii="Times" w:hAnsi="Times"/>
          <w:color w:val="000000" w:themeColor="text1"/>
        </w:rPr>
        <w:t>detailed</w:t>
      </w:r>
      <w:r w:rsidRPr="00DA5FAE">
        <w:rPr>
          <w:rFonts w:ascii="Times" w:hAnsi="Times"/>
          <w:color w:val="000000" w:themeColor="text1"/>
        </w:rPr>
        <w:t xml:space="preserve"> understanding of the physiological demands of their sport, as well as the current physiological state of their athletes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{"citationID":"kLEB75pB","properties":{"formattedCitation":"(Schelling &amp; Torres-Ronda, 2013)","plainCitation":"(Schelling &amp; Torres-Ronda, 2013)","noteIndex":0},"citationItems":[{"id":218,"uris":["http://zotero.org/users/5493924/items/HNLEMZ4T"],"itemData":{"id":218,"type":"article-journal","abstract":"THE PURPOSE OF THIS PAPER IS TO FILL THE GAP ON THIS TOPIC PROPOSING A TRAINING METHODOLOGY FOR BASKETBALL CONDITIONING. THE METHODOLOGY IS BASED ON SPECIFIC PROGRESSION ACCORDING TO TASK ORIENTATION, APPROACHING LEVELS, AND PLAYER’S INDIVIDUAL NEEDS AND DEMANDS OF THE APPROACHING LEVELS. THIS INCLUDES TRAINING ORGANIZATION, CONTENT PROGRESSION (GENERIC ENDURANCE TRAINING, HIGH-INTENSITY INTERVAL TRAINING, REPEATED-SPRINT TRAINING, WITH OR WITHOUT CHANGES OF DIRECTION, SMALL-SIDED GAMES, AND ACTUAL BASKETBALL), AND GENERAL RECOMMENDATIONS FOR CONDITIONING TRAINING FOR BASKETBALL. THE PROPOSED METHODOLOGY IS BASED ON THE LATEST SCIENTIFIC EVIDENCE AND THE AUTHORS’ PRACTICAL EXPERIENCE WITH ELITE PLAYERS. FOR A VIDEO ABSTRACT OF THIS ARTICLE, SEE VIDEO SUPPLEMENTAL DIGITAL CONTENT 1, HTTP:// LINKS.LWW.COM/SCJ/A128.","container-title":"Strength &amp; Conditioning Journal","DOI":"10.1519/SSC.0000000000000018","ISSN":"1524-1602","issue":"6","language":"en","page":"89-94","source":"DOI.org (Crossref)","title":"Conditioning for Basketball: Quality and Quantity of Training","title-short":"Conditioning for Basketball","volume":"35","author":[{"family":"Schelling","given":"Xavi"},{"family":"Torres-Ronda","given":"Lorena"}],"issued":{"date-parts":[["2013",12]]}}}],"schema":"https://github.com/citation-style-language/schema/raw/master/csl-citation.json"}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(Schelling &amp; Torres-Ronda, 2013)</w:t>
      </w:r>
      <w:r w:rsidRPr="00DA5FAE">
        <w:rPr>
          <w:rFonts w:ascii="Times" w:hAnsi="Times"/>
          <w:color w:val="000000" w:themeColor="text1"/>
        </w:rPr>
        <w:fldChar w:fldCharType="end"/>
      </w:r>
      <w:r w:rsidRPr="00DA5FAE">
        <w:rPr>
          <w:rFonts w:ascii="Times" w:hAnsi="Times"/>
          <w:color w:val="000000" w:themeColor="text1"/>
        </w:rPr>
        <w:t xml:space="preserve">. This information is </w:t>
      </w:r>
      <w:r w:rsidR="002A155D">
        <w:rPr>
          <w:rFonts w:ascii="Times" w:hAnsi="Times"/>
          <w:color w:val="000000" w:themeColor="text1"/>
        </w:rPr>
        <w:t>critically</w:t>
      </w:r>
      <w:r w:rsidRPr="00DA5FAE">
        <w:rPr>
          <w:rFonts w:ascii="Times" w:hAnsi="Times"/>
          <w:color w:val="000000" w:themeColor="text1"/>
        </w:rPr>
        <w:t xml:space="preserve"> important to be able to modify variables in a training program to prepare athletes for competition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{"citationID":"6LqvNefW","properties":{"formattedCitation":"(Halson, 2014)","plainCitation":"(Halson, 2014)","noteIndex":0},"citationItems":[{"id":6,"uris":["http://zotero.org/users/5493924/items/3VL2EUHJ"],"itemData":{"id":6,"type":"article-journal","container-title":"Sports Medicine","DOI":"10.1007/s40279-014-0253-z","ISSN":"0112-1642, 1179-2035","issue":"S2","language":"en","page":"139-147","source":"Crossref","title":"Monitoring Training Load to Understand Fatigue in Athletes","volume":"44","author":[{"family":"Halson","given":"Shona L."}],"issued":{"date-parts":[["2014",11]]}}}],"schema":"https://github.com/citation-style-language/schema/raw/master/csl-citation.json"}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(Halson, 2014)</w:t>
      </w:r>
      <w:r w:rsidRPr="00DA5FAE">
        <w:rPr>
          <w:rFonts w:ascii="Times" w:hAnsi="Times"/>
          <w:color w:val="000000" w:themeColor="text1"/>
        </w:rPr>
        <w:fldChar w:fldCharType="end"/>
      </w:r>
      <w:r w:rsidRPr="00DA5FAE">
        <w:rPr>
          <w:rFonts w:ascii="Times" w:hAnsi="Times"/>
          <w:color w:val="000000" w:themeColor="text1"/>
        </w:rPr>
        <w:t>. When attempting to quantify the physiological demands of competition or training, the term “training load” has come to define a set of physiological variables that can be measured to determine the overall status of an athlete</w:t>
      </w:r>
      <w:r>
        <w:rPr>
          <w:rFonts w:ascii="Times" w:hAnsi="Times"/>
          <w:color w:val="000000" w:themeColor="text1"/>
        </w:rPr>
        <w:t xml:space="preserve"> </w:t>
      </w:r>
      <w:r>
        <w:rPr>
          <w:rFonts w:ascii="Times" w:hAnsi="Times"/>
          <w:color w:val="000000" w:themeColor="text1"/>
        </w:rPr>
        <w:fldChar w:fldCharType="begin"/>
      </w:r>
      <w:r>
        <w:rPr>
          <w:rFonts w:ascii="Times" w:hAnsi="Times"/>
          <w:color w:val="000000" w:themeColor="text1"/>
        </w:rPr>
        <w:instrText xml:space="preserve"> ADDIN ZOTERO_ITEM CSL_CITATION {"citationID":"LwbN8mTG","properties":{"formattedCitation":"(Halson, 2014)","plainCitation":"(Halson, 2014)","noteIndex":0},"citationItems":[{"id":6,"uris":["http://zotero.org/users/5493924/items/3VL2EUHJ"],"itemData":{"id":6,"type":"article-journal","container-title":"Sports Medicine","DOI":"10.1007/s40279-014-0253-z","ISSN":"0112-1642, 1179-2035","issue":"S2","language":"en","page":"139-147","source":"Crossref","title":"Monitoring Training Load to Understand Fatigue in Athletes","volume":"44","author":[{"family":"Halson","given":"Shona L."}],"issued":{"date-parts":[["2014",11]]}}}],"schema":"https://github.com/citation-style-language/schema/raw/master/csl-citation.json"}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(Halson, 2014)</w:t>
      </w:r>
      <w:r>
        <w:rPr>
          <w:rFonts w:ascii="Times" w:hAnsi="Times"/>
          <w:color w:val="000000" w:themeColor="text1"/>
        </w:rPr>
        <w:fldChar w:fldCharType="end"/>
      </w:r>
      <w:r w:rsidRPr="00DA5FAE">
        <w:rPr>
          <w:rFonts w:ascii="Times" w:hAnsi="Times"/>
          <w:color w:val="000000" w:themeColor="text1"/>
        </w:rPr>
        <w:t xml:space="preserve">. Within this umbrella term </w:t>
      </w:r>
      <w:r w:rsidR="002A155D">
        <w:rPr>
          <w:rFonts w:ascii="Times" w:hAnsi="Times"/>
          <w:color w:val="000000" w:themeColor="text1"/>
        </w:rPr>
        <w:t xml:space="preserve">there </w:t>
      </w:r>
      <w:r w:rsidRPr="00DA5FAE">
        <w:rPr>
          <w:rFonts w:ascii="Times" w:hAnsi="Times"/>
          <w:color w:val="000000" w:themeColor="text1"/>
        </w:rPr>
        <w:t>are two separate but related terms that can be used to quantify training load</w:t>
      </w:r>
      <w:r w:rsidR="00FB1E13">
        <w:rPr>
          <w:rFonts w:ascii="Times" w:hAnsi="Times"/>
          <w:color w:val="000000" w:themeColor="text1"/>
        </w:rPr>
        <w:t xml:space="preserve">: </w:t>
      </w:r>
      <w:r>
        <w:rPr>
          <w:rFonts w:ascii="Times" w:hAnsi="Times"/>
          <w:color w:val="000000" w:themeColor="text1"/>
        </w:rPr>
        <w:t xml:space="preserve">internal and external load </w:t>
      </w:r>
      <w:r>
        <w:rPr>
          <w:rFonts w:ascii="Times" w:hAnsi="Times"/>
          <w:color w:val="000000" w:themeColor="text1"/>
        </w:rPr>
        <w:fldChar w:fldCharType="begin"/>
      </w:r>
      <w:r>
        <w:rPr>
          <w:rFonts w:ascii="Times" w:hAnsi="Times"/>
          <w:color w:val="000000" w:themeColor="text1"/>
        </w:rPr>
        <w:instrText xml:space="preserve"> ADDIN ZOTERO_ITEM CSL_CITATION {"citationID":"AhTE9fcU","properties":{"formattedCitation":"(Halson, 2014)","plainCitation":"(Halson, 2014)","noteIndex":0},"citationItems":[{"id":6,"uris":["http://zotero.org/users/5493924/items/3VL2EUHJ"],"itemData":{"id":6,"type":"article-journal","container-title":"Sports Medicine","DOI":"10.1007/s40279-014-0253-z","ISSN":"0112-1642, 1179-2035","issue":"S2","language":"en","page":"139-147","source":"Crossref","title":"Monitoring Training Load to Understand Fatigue in Athletes","volume":"44","author":[{"family":"Halson","given":"Shona L."}],"issued":{"date-parts":[["2014",11]]}}}],"schema":"https://github.com/citation-style-language/schema/raw/master/csl-citation.json"}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(Halson, 2014)</w:t>
      </w:r>
      <w:r>
        <w:rPr>
          <w:rFonts w:ascii="Times" w:hAnsi="Times"/>
          <w:color w:val="000000" w:themeColor="text1"/>
        </w:rPr>
        <w:fldChar w:fldCharType="end"/>
      </w:r>
      <w:r w:rsidRPr="00DA5FAE">
        <w:rPr>
          <w:rFonts w:ascii="Times" w:hAnsi="Times"/>
          <w:color w:val="000000" w:themeColor="text1"/>
        </w:rPr>
        <w:t xml:space="preserve">.  Internal load is defined as the biological or physiological factors that are affected by training competition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{"citationID":"JyxLdO1k","properties":{"formattedCitation":"(Halson, 2014)","plainCitation":"(Halson, 2014)","noteIndex":0},"citationItems":[{"id":6,"uris":["http://zotero.org/users/5493924/items/3VL2EUHJ"],"itemData":{"id":6,"type":"article-journal","container-title":"Sports Medicine","DOI":"10.1007/s40279-014-0253-z","ISSN":"0112-1642, 1179-2035","issue":"S2","language":"en","page":"139-147","source":"Crossref","title":"Monitoring Training Load to Understand Fatigue in Athletes","volume":"44","author":[{"family":"Halson","given":"Shona L."}],"issued":{"date-parts":[["2014",11]]}}}],"schema":"https://github.com/citation-style-language/schema/raw/master/csl-citation.json"}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(Halson, 2014)</w:t>
      </w:r>
      <w:r w:rsidRPr="00DA5FAE">
        <w:rPr>
          <w:rFonts w:ascii="Times" w:hAnsi="Times"/>
          <w:color w:val="000000" w:themeColor="text1"/>
        </w:rPr>
        <w:fldChar w:fldCharType="end"/>
      </w:r>
      <w:r w:rsidRPr="00DA5FAE">
        <w:rPr>
          <w:rFonts w:ascii="Times" w:hAnsi="Times"/>
          <w:color w:val="000000" w:themeColor="text1"/>
        </w:rPr>
        <w:t xml:space="preserve">, while external load is defined as the work or activities performed by an athlete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{"citationID":"tuLWwgBK","properties":{"formattedCitation":"(Torres-Ronda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Pr>
          <w:rFonts w:ascii="Cambria Math" w:hAnsi="Cambria Math" w:cs="Cambria Math"/>
          <w:color w:val="000000" w:themeColor="text1"/>
        </w:rPr>
        <w:instrText>‑</w:instrText>
      </w:r>
      <w:r>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Pr>
          <w:rFonts w:ascii="Cambria Math" w:hAnsi="Cambria Math" w:cs="Cambria Math"/>
          <w:color w:val="000000" w:themeColor="text1"/>
        </w:rPr>
        <w:instrText>‑</w:instrText>
      </w:r>
      <w:r>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(Torres-Ronda et al., 2022)</w:t>
      </w:r>
      <w:r w:rsidRPr="00DA5FAE">
        <w:rPr>
          <w:rFonts w:ascii="Times" w:hAnsi="Times"/>
          <w:color w:val="000000" w:themeColor="text1"/>
        </w:rPr>
        <w:fldChar w:fldCharType="end"/>
      </w:r>
      <w:r w:rsidRPr="00DA5FAE">
        <w:rPr>
          <w:rFonts w:ascii="Times" w:hAnsi="Times"/>
          <w:color w:val="000000" w:themeColor="text1"/>
        </w:rPr>
        <w:t>. In addition to the numerous technologies that are used to measure internal load such heart rate monitors, blood</w:t>
      </w:r>
      <w:r>
        <w:rPr>
          <w:rFonts w:ascii="Times" w:hAnsi="Times"/>
          <w:color w:val="000000" w:themeColor="text1"/>
        </w:rPr>
        <w:t>/</w:t>
      </w:r>
      <w:r w:rsidRPr="00DA5FAE">
        <w:rPr>
          <w:rFonts w:ascii="Times" w:hAnsi="Times"/>
          <w:color w:val="000000" w:themeColor="text1"/>
        </w:rPr>
        <w:t>hormonal profiling, or rate of perceived exertion</w:t>
      </w:r>
      <w:r w:rsidR="00FB1E13">
        <w:rPr>
          <w:rFonts w:ascii="Times" w:hAnsi="Times"/>
          <w:color w:val="000000" w:themeColor="text1"/>
        </w:rPr>
        <w:t xml:space="preserve"> scales</w:t>
      </w:r>
      <w:r w:rsidR="002A155D">
        <w:rPr>
          <w:rFonts w:ascii="Times" w:hAnsi="Times"/>
          <w:color w:val="000000" w:themeColor="text1"/>
        </w:rPr>
        <w:t xml:space="preserve"> (RPE)</w:t>
      </w:r>
      <w:r>
        <w:rPr>
          <w:rFonts w:ascii="Times" w:hAnsi="Times"/>
          <w:color w:val="000000" w:themeColor="text1"/>
        </w:rPr>
        <w:t xml:space="preserve"> </w:t>
      </w:r>
      <w:r>
        <w:rPr>
          <w:rFonts w:ascii="Times" w:hAnsi="Times"/>
          <w:color w:val="000000" w:themeColor="text1"/>
        </w:rPr>
        <w:fldChar w:fldCharType="begin"/>
      </w:r>
      <w:r>
        <w:rPr>
          <w:rFonts w:ascii="Times" w:hAnsi="Times"/>
          <w:color w:val="000000" w:themeColor="text1"/>
        </w:rPr>
        <w:instrText xml:space="preserve"> ADDIN ZOTERO_ITEM CSL_CITATION {"citationID":"wYdHZaE1","properties":{"formattedCitation":"(Impellizzeri et al., 2019)","plainCitation":"(Impellizzeri et al., 2019)","noteIndex":0},"citationItems":[{"id":299,"uris":["http://zotero.org/users/5493924/items/J8KYHFR5"],"itemData":{"id":299,"type":"article-journal","abstract":"Exercise is a stressor that induces various psychophysiological responses, which mediate cellular adaptations in many organ systems. To maximize this adaptive response, coaches and scientists need to control the stress applied to the athlete at the individual level. To achieve this, precise control and manipulation of the training load are required. In 2003, the authors introduced a theoretical framework to deﬁne and conceptualize the measurable constructs of the training process. They described training load as having 2 measurable components: internal and external load. The aim of this commentary is to extend, clarify, and reﬁne both the theoretical framework and the deﬁnitions of internal and external training load to avoid misinterpretation of this concept.","container-title":"International Journal of Sports Physiology and Performance","DOI":"10.1123/ijspp.2018-0935","ISSN":"1555-0265, 1555-0273","issue":"2","journalAbbreviation":"Int J Sports Physiol Perform","language":"en","page":"270-273","source":"DOI.org (Crossref)","title":"Internal and external training load: 15 years on","title-short":"Internal and External Training Load","volume":"14","author":[{"family":"Impellizzeri","given":"Franco M."},{"family":"Marcora","given":"Samuele M."},{"family":"Coutts","given":"Aaron J."}],"issued":{"date-parts":[["2019",2]]}}}],"schema":"https://github.com/citation-style-language/schema/raw/master/csl-citation.json"}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(Impellizzeri et al., 2019)</w:t>
      </w:r>
      <w:r>
        <w:rPr>
          <w:rFonts w:ascii="Times" w:hAnsi="Times"/>
          <w:color w:val="000000" w:themeColor="text1"/>
        </w:rPr>
        <w:fldChar w:fldCharType="end"/>
      </w:r>
      <w:r w:rsidRPr="00DA5FAE">
        <w:rPr>
          <w:rFonts w:ascii="Times" w:hAnsi="Times"/>
          <w:color w:val="000000" w:themeColor="text1"/>
        </w:rPr>
        <w:t xml:space="preserve">, the use of athlete tracking systems </w:t>
      </w:r>
      <w:r w:rsidR="002A155D">
        <w:rPr>
          <w:rFonts w:ascii="Times" w:hAnsi="Times"/>
          <w:color w:val="000000" w:themeColor="text1"/>
        </w:rPr>
        <w:t xml:space="preserve">such as GPS or accelerometer based devices </w:t>
      </w:r>
      <w:r w:rsidRPr="00DA5FAE">
        <w:rPr>
          <w:rFonts w:ascii="Times" w:hAnsi="Times"/>
          <w:color w:val="000000" w:themeColor="text1"/>
        </w:rPr>
        <w:t xml:space="preserve">has become commonplace as a means to measure external load </w:t>
      </w:r>
      <w:r w:rsidR="00FB1E13">
        <w:rPr>
          <w:rFonts w:ascii="Times" w:hAnsi="Times"/>
          <w:color w:val="000000" w:themeColor="text1"/>
        </w:rPr>
        <w:t xml:space="preserve">accrued by an </w:t>
      </w:r>
      <w:r w:rsidRPr="00DA5FAE">
        <w:rPr>
          <w:rFonts w:ascii="Times" w:hAnsi="Times"/>
          <w:color w:val="000000" w:themeColor="text1"/>
        </w:rPr>
        <w:t xml:space="preserve">athlete during training or competition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{"citationID":"0M5co1T5","properties":{"formattedCitation":"(Torres-Ronda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Pr>
          <w:rFonts w:ascii="Cambria Math" w:hAnsi="Cambria Math" w:cs="Cambria Math"/>
          <w:color w:val="000000" w:themeColor="text1"/>
        </w:rPr>
        <w:instrText>‑</w:instrText>
      </w:r>
      <w:r>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Pr>
          <w:rFonts w:ascii="Cambria Math" w:hAnsi="Cambria Math" w:cs="Cambria Math"/>
          <w:color w:val="000000" w:themeColor="text1"/>
        </w:rPr>
        <w:instrText>‑</w:instrText>
      </w:r>
      <w:r>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(Torres-Ronda et al., 2022)</w:t>
      </w:r>
      <w:r w:rsidRPr="00DA5FAE">
        <w:rPr>
          <w:rFonts w:ascii="Times" w:hAnsi="Times"/>
          <w:color w:val="000000" w:themeColor="text1"/>
        </w:rPr>
        <w:fldChar w:fldCharType="end"/>
      </w:r>
      <w:r w:rsidRPr="00DA5FAE">
        <w:rPr>
          <w:rFonts w:ascii="Times" w:hAnsi="Times"/>
          <w:color w:val="000000" w:themeColor="text1"/>
        </w:rPr>
        <w:t xml:space="preserve">. Furthermore, these athlete tracking systems are the </w:t>
      </w:r>
      <w:r w:rsidRPr="00DA5FAE">
        <w:rPr>
          <w:rFonts w:ascii="Times" w:hAnsi="Times"/>
          <w:color w:val="000000" w:themeColor="text1"/>
        </w:rPr>
        <w:lastRenderedPageBreak/>
        <w:t xml:space="preserve">basis of </w:t>
      </w:r>
      <w:r w:rsidR="002A155D">
        <w:rPr>
          <w:rFonts w:ascii="Times" w:hAnsi="Times"/>
          <w:color w:val="000000" w:themeColor="text1"/>
        </w:rPr>
        <w:t>many</w:t>
      </w:r>
      <w:r w:rsidRPr="00DA5FAE">
        <w:rPr>
          <w:rFonts w:ascii="Times" w:hAnsi="Times"/>
          <w:color w:val="000000" w:themeColor="text1"/>
        </w:rPr>
        <w:t xml:space="preserve"> attempts to quantify physiological demands</w:t>
      </w:r>
      <w:r w:rsidR="00FB1E13">
        <w:rPr>
          <w:rFonts w:ascii="Times" w:hAnsi="Times"/>
          <w:color w:val="000000" w:themeColor="text1"/>
        </w:rPr>
        <w:t xml:space="preserve"> in an applied setting,</w:t>
      </w:r>
      <w:r w:rsidRPr="00DA5FAE">
        <w:rPr>
          <w:rFonts w:ascii="Times" w:hAnsi="Times"/>
          <w:color w:val="000000" w:themeColor="text1"/>
        </w:rPr>
        <w:t xml:space="preserve"> as the measurement of external load is both non-invasive </w:t>
      </w:r>
      <w:r>
        <w:rPr>
          <w:rFonts w:ascii="Times" w:hAnsi="Times"/>
          <w:color w:val="000000" w:themeColor="text1"/>
        </w:rPr>
        <w:t>and</w:t>
      </w:r>
      <w:r w:rsidRPr="00DA5FAE">
        <w:rPr>
          <w:rFonts w:ascii="Times" w:hAnsi="Times"/>
          <w:color w:val="000000" w:themeColor="text1"/>
        </w:rPr>
        <w:t xml:space="preserve"> </w:t>
      </w:r>
      <w:r>
        <w:rPr>
          <w:rFonts w:ascii="Times" w:hAnsi="Times"/>
          <w:color w:val="000000" w:themeColor="text1"/>
        </w:rPr>
        <w:t>user friendly</w:t>
      </w:r>
      <w:r w:rsidRPr="00DA5FAE">
        <w:rPr>
          <w:rFonts w:ascii="Times" w:hAnsi="Times"/>
          <w:color w:val="000000" w:themeColor="text1"/>
        </w:rPr>
        <w:t xml:space="preserve">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{"citationID":"f42xVOe6","properties":{"formattedCitation":"(Torres-Ronda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Pr>
          <w:rFonts w:ascii="Cambria Math" w:hAnsi="Cambria Math" w:cs="Cambria Math"/>
          <w:color w:val="000000" w:themeColor="text1"/>
        </w:rPr>
        <w:instrText>‑</w:instrText>
      </w:r>
      <w:r>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Pr>
          <w:rFonts w:ascii="Cambria Math" w:hAnsi="Cambria Math" w:cs="Cambria Math"/>
          <w:color w:val="000000" w:themeColor="text1"/>
        </w:rPr>
        <w:instrText>‑</w:instrText>
      </w:r>
      <w:r>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(Torres-Ronda et al., 2022)</w:t>
      </w:r>
      <w:r w:rsidRPr="00DA5FAE">
        <w:rPr>
          <w:rFonts w:ascii="Times" w:hAnsi="Times"/>
          <w:color w:val="000000" w:themeColor="text1"/>
        </w:rPr>
        <w:fldChar w:fldCharType="end"/>
      </w:r>
      <w:r w:rsidRPr="00DA5FAE">
        <w:rPr>
          <w:rFonts w:ascii="Times" w:hAnsi="Times"/>
          <w:color w:val="000000" w:themeColor="text1"/>
        </w:rPr>
        <w:t>.</w:t>
      </w:r>
    </w:p>
    <w:p w14:paraId="22CDBA74" w14:textId="3A2E1D17" w:rsidR="00E661DE" w:rsidRPr="00DA5FAE" w:rsidRDefault="00E661DE" w:rsidP="00E661DE">
      <w:pPr>
        <w:spacing w:line="480" w:lineRule="auto"/>
        <w:ind w:firstLine="720"/>
        <w:rPr>
          <w:rFonts w:ascii="Times" w:hAnsi="Times"/>
          <w:color w:val="000000" w:themeColor="text1"/>
        </w:rPr>
      </w:pPr>
      <w:r w:rsidRPr="00DA5FAE">
        <w:rPr>
          <w:rFonts w:ascii="Times" w:hAnsi="Times"/>
          <w:color w:val="000000" w:themeColor="text1"/>
        </w:rPr>
        <w:t xml:space="preserve">There are generally </w:t>
      </w:r>
      <w:r>
        <w:rPr>
          <w:rFonts w:ascii="Times" w:hAnsi="Times"/>
          <w:color w:val="000000" w:themeColor="text1"/>
        </w:rPr>
        <w:t xml:space="preserve">two </w:t>
      </w:r>
      <w:r w:rsidRPr="00DA5FAE">
        <w:rPr>
          <w:rFonts w:ascii="Times" w:hAnsi="Times"/>
          <w:color w:val="000000" w:themeColor="text1"/>
        </w:rPr>
        <w:t xml:space="preserve">broad categories of </w:t>
      </w:r>
      <w:r w:rsidR="002A155D">
        <w:rPr>
          <w:rFonts w:ascii="Times" w:hAnsi="Times"/>
          <w:color w:val="000000" w:themeColor="text1"/>
        </w:rPr>
        <w:t xml:space="preserve">external </w:t>
      </w:r>
      <w:r w:rsidRPr="00DA5FAE">
        <w:rPr>
          <w:rFonts w:ascii="Times" w:hAnsi="Times"/>
          <w:color w:val="000000" w:themeColor="text1"/>
        </w:rPr>
        <w:t>athlete tracking systems: local positioning units (LPS)</w:t>
      </w:r>
      <w:r w:rsidR="00FB1E13">
        <w:rPr>
          <w:rFonts w:ascii="Times" w:hAnsi="Times"/>
          <w:color w:val="000000" w:themeColor="text1"/>
        </w:rPr>
        <w:t xml:space="preserve"> and</w:t>
      </w:r>
      <w:r w:rsidRPr="00DA5FAE">
        <w:rPr>
          <w:rFonts w:ascii="Times" w:hAnsi="Times"/>
          <w:color w:val="000000" w:themeColor="text1"/>
        </w:rPr>
        <w:t xml:space="preserve"> global positioning units (GPS</w:t>
      </w:r>
      <w:r>
        <w:rPr>
          <w:rFonts w:ascii="Times" w:hAnsi="Times"/>
          <w:color w:val="000000" w:themeColor="text1"/>
        </w:rPr>
        <w:t>)</w:t>
      </w:r>
      <w:r w:rsidR="00FB1E13">
        <w:rPr>
          <w:rFonts w:ascii="Times" w:hAnsi="Times"/>
          <w:color w:val="000000" w:themeColor="text1"/>
        </w:rPr>
        <w:t>,</w:t>
      </w:r>
      <w:r>
        <w:rPr>
          <w:rFonts w:ascii="Times" w:hAnsi="Times"/>
          <w:color w:val="000000" w:themeColor="text1"/>
        </w:rPr>
        <w:t xml:space="preserve"> </w:t>
      </w:r>
      <w:r w:rsidRPr="00DA5FAE">
        <w:rPr>
          <w:rFonts w:ascii="Times" w:hAnsi="Times"/>
          <w:color w:val="000000" w:themeColor="text1"/>
        </w:rPr>
        <w:t>each of which have their own benefits and drawbacks.</w:t>
      </w:r>
      <w:r>
        <w:rPr>
          <w:rFonts w:ascii="Times" w:hAnsi="Times"/>
          <w:color w:val="000000" w:themeColor="text1"/>
        </w:rPr>
        <w:t xml:space="preserve"> Additionally, many of these systems have dual functionality; they often contain tri-axial accelerometers that measure movement in three dimensional space </w:t>
      </w:r>
      <w:r>
        <w:rPr>
          <w:rFonts w:ascii="Times" w:hAnsi="Times"/>
          <w:color w:val="000000" w:themeColor="text1"/>
        </w:rPr>
        <w:fldChar w:fldCharType="begin"/>
      </w:r>
      <w:r>
        <w:rPr>
          <w:rFonts w:ascii="Times" w:hAnsi="Times"/>
          <w:color w:val="000000" w:themeColor="text1"/>
        </w:rPr>
        <w:instrText xml:space="preserve"> ADDIN ZOTERO_ITEM CSL_CITATION {"citationID":"uI6cRwQk","properties":{"formattedCitation":"(Alanen et al., 2021)","plainCitation":"(Alanen et al., 2021)","noteIndex":0},"citationItems":[{"id":369,"uris":["http://zotero.org/users/5493924/items/A8B2R47F"],"itemData":{"id":369,"type":"article-journal","abstract":"Change of direction movement is common in sports and the ability to perform this complex movement efficiently is related to athlete’s performance. Wearable devices have been used to evaluate aspects of change of direction movement, but so far there are no clear recommendations on specific metrics to be used.","container-title":"International Journal of Sports Science &amp; Coaching","DOI":"10.1177/17479541211003064","ISSN":"1747-9541, 2048-397X","issue":"6","journalAbbreviation":"International Journal of Sports Science &amp; Coaching","language":"en","page":"1332-1353","source":"DOI.org (Crossref)","title":"The use of inertial measurement units for analyzing change of direction movement in sports: A scoping review","title-short":"The use of inertial measurement units for analyzing change of direction movement in sports","volume":"16","author":[{"family":"Alanen","given":"Am"},{"family":"Räisänen","given":"Am"},{"family":"Benson","given":"Lc"},{"family":"Pasanen","given":"K"}],"issued":{"date-parts":[["2021",12]]}}}],"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(Alanen et al., 2021)</w:t>
      </w:r>
      <w:r>
        <w:rPr>
          <w:rFonts w:ascii="Times" w:hAnsi="Times"/>
          <w:color w:val="000000" w:themeColor="text1"/>
        </w:rPr>
        <w:fldChar w:fldCharType="end"/>
      </w:r>
      <w:r>
        <w:rPr>
          <w:rFonts w:ascii="Times" w:hAnsi="Times"/>
          <w:color w:val="000000" w:themeColor="text1"/>
        </w:rPr>
        <w:t>.</w:t>
      </w:r>
      <w:r w:rsidRPr="00DA5FAE">
        <w:rPr>
          <w:rFonts w:ascii="Times" w:hAnsi="Times"/>
          <w:color w:val="000000" w:themeColor="text1"/>
        </w:rPr>
        <w:t xml:space="preserve"> Both LPS and GPS have been found to be reliable in measuring external load, and their usage is often dependent on the requirements of the sport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{"citationID":"RNXqo0n8","properties":{"formattedCitation":"(Hoppe et al., 2018)","plainCitation":"(Hoppe et al., 2018)","noteIndex":0},"citationItems":[{"id":220,"uris":["http://zotero.org/users/5493924/items/ER338SIJ"],"itemData":{"id":220,"type":"article-journal","abstract":"This study aimed to investigate the validity and reliability of global (GPS) and local (LPS) positioning systems for measuring distances covered and sprint mechanical properties in team sports. Here, we evaluated two recently released 18 Hz GPS and 20 Hz LPS technologies together with one established 10 Hz GPS technology. Six male athletes (age: 27±2 years; VO2max: 48.8±4.7 ml/min/kg) performed outdoors on 10 trials of a team sport-specific circuit that was equipped with double-light timing gates. The circuit included various walking, jogging, and sprinting sections that were performed either in straight-lines or with changes of direction. During the circuit, athletes wore two devices of each positioning system. From the reported and filtered velocity data, the distances covered and sprint mechanical properties (i.e., the theoretical maximal horizontal velocity, force, and power output) were computed. The sprint mechanical properties were modeled via an inverse dynamic approach applied to the center of mass. The validity was determined by comparing the measured and criterion data via the typical error of estimate (TEE), whereas the reliability was examined by comparing the two devices of each technology (i.e., the between-device reliability) via the coefficient of variation (CV). Outliers due to measurement errors were statistically identified and excluded from validity and reliability analyses. The 18 Hz GPS showed better validity and reliability for determining the distances covered (TEE: 1.6–8.0%; CV: 1.1–5.1%) and sprint mechanical properties (TEE: 4.5–14.3%; CV: 3.1–7.5%) than the 10 Hz GPS (TEE: 3.0–12.9%; CV: 2.5–13.0% and TEE: 4.1–23.1%; CV: 3.3–20.0%). However, the 20 Hz LPS demonstrated superior validity and reliability overall (TEE: 1.0–6.0%; CV: 0.7–5.0% and TEE: 2.1–9.2%; CV: 1.6–7.3%). For the 10 Hz GPS, 18 Hz GPS, and 20 Hz LPS, the relative loss of data sets due to measurement errors was 10.0%, 20.0%, and 15.8%, respectively. This study shows that 18 Hz GPS has enhanced validity and reliability for determining movement patterns in team sports compared to 10 Hz GPS, whereas 20 Hz LPS had superior validity and reliability overall. However, compared to 10 Hz GPS, 18 Hz GPS and 20 Hz LPS technologies had more outliers due to measurement errors, which limits their practical applications at this time.","container-title":"PLOS ONE","DOI":"10.1371/journal.pone.0192708","ISSN":"1932-6203","issue":"2","journalAbbreviation":"PLoS ONE","language":"en","page":"e0192708","source":"DOI.org (Crossref)","title":"Validity and reliability of GPS and LPS for measuring distances covered and sprint mechanical properties in team sports","volume":"13","author":[{"family":"Hoppe","given":"Matthias W."},{"family":"Baumgart","given":"Christian"},{"family":"Polglaze","given":"Ted"},{"family":"Freiwald","given":"Jürgen"}],"editor":[{"family":"Ardigò","given":"Luca Paolo"}],"issued":{"date-parts":[["2018",2,8]]}}}],"schema":"https://github.com/citation-style-language/schema/raw/master/csl-citation.json"}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(Hoppe et al., 2018)</w:t>
      </w:r>
      <w:r w:rsidRPr="00DA5FAE">
        <w:rPr>
          <w:rFonts w:ascii="Times" w:hAnsi="Times"/>
          <w:color w:val="000000" w:themeColor="text1"/>
        </w:rPr>
        <w:fldChar w:fldCharType="end"/>
      </w:r>
      <w:r w:rsidRPr="00DA5FAE">
        <w:rPr>
          <w:rFonts w:ascii="Times" w:hAnsi="Times"/>
          <w:color w:val="000000" w:themeColor="text1"/>
        </w:rPr>
        <w:t>.</w:t>
      </w:r>
      <w:r>
        <w:rPr>
          <w:rFonts w:ascii="Times" w:hAnsi="Times"/>
          <w:color w:val="000000" w:themeColor="text1"/>
        </w:rPr>
        <w:t xml:space="preserve"> </w:t>
      </w:r>
      <w:r w:rsidRPr="00DA5FAE">
        <w:rPr>
          <w:rFonts w:ascii="Times" w:hAnsi="Times"/>
          <w:color w:val="000000" w:themeColor="text1"/>
        </w:rPr>
        <w:t xml:space="preserve"> LPS systems commonly function by placing anchors or antennae around the field </w:t>
      </w:r>
      <w:r w:rsidR="00FB1E13">
        <w:rPr>
          <w:rFonts w:ascii="Times" w:hAnsi="Times"/>
          <w:color w:val="000000" w:themeColor="text1"/>
        </w:rPr>
        <w:t xml:space="preserve">or court </w:t>
      </w:r>
      <w:r w:rsidRPr="00DA5FAE">
        <w:rPr>
          <w:rFonts w:ascii="Times" w:hAnsi="Times"/>
          <w:color w:val="000000" w:themeColor="text1"/>
        </w:rPr>
        <w:t>of play and u</w:t>
      </w:r>
      <w:r>
        <w:rPr>
          <w:rFonts w:ascii="Times" w:hAnsi="Times"/>
          <w:color w:val="000000" w:themeColor="text1"/>
        </w:rPr>
        <w:t>tilize</w:t>
      </w:r>
      <w:r w:rsidRPr="00DA5FAE">
        <w:rPr>
          <w:rFonts w:ascii="Times" w:hAnsi="Times"/>
          <w:color w:val="000000" w:themeColor="text1"/>
        </w:rPr>
        <w:t xml:space="preserve"> a triangulation system </w:t>
      </w:r>
      <w:r>
        <w:rPr>
          <w:rFonts w:ascii="Times" w:hAnsi="Times"/>
          <w:color w:val="000000" w:themeColor="text1"/>
        </w:rPr>
        <w:t xml:space="preserve">to calculate player position </w:t>
      </w:r>
      <w:r w:rsidRPr="00DA5FAE">
        <w:rPr>
          <w:rFonts w:ascii="Times" w:hAnsi="Times"/>
          <w:color w:val="000000" w:themeColor="text1"/>
        </w:rPr>
        <w:t xml:space="preserve">at </w:t>
      </w:r>
      <w:r>
        <w:rPr>
          <w:rFonts w:ascii="Times" w:hAnsi="Times"/>
          <w:color w:val="000000" w:themeColor="text1"/>
        </w:rPr>
        <w:t>different intervals of time</w:t>
      </w:r>
      <w:r w:rsidR="002A155D">
        <w:rPr>
          <w:rFonts w:ascii="Times" w:hAnsi="Times"/>
          <w:color w:val="000000" w:themeColor="text1"/>
        </w:rPr>
        <w:t xml:space="preserve"> </w:t>
      </w:r>
      <w:r w:rsidR="002A155D">
        <w:rPr>
          <w:rFonts w:ascii="Times" w:hAnsi="Times"/>
          <w:color w:val="000000" w:themeColor="text1"/>
        </w:rPr>
        <w:fldChar w:fldCharType="begin"/>
      </w:r>
      <w:r w:rsidR="002A155D">
        <w:rPr>
          <w:rFonts w:ascii="Times" w:hAnsi="Times"/>
          <w:color w:val="000000" w:themeColor="text1"/>
        </w:rPr>
        <w:instrText xml:space="preserve"> ADDIN ZOTERO_ITEM CSL_CITATION {"citationID":"LQySguBC","properties":{"formattedCitation":"(Luteberget et al., 2018)","plainCitation":"(Luteberget et al., 2018)","noteIndex":0},"citationItems":[{"id":225,"uris":["http://zotero.org/users/5493924/items/2EDGVWSJ"],"itemData":{"id":225,"type":"article-journal","abstract":"Aim: The aim of the present study was to determine the validity of position, distance traveled and instantaneous speed of team sport players as measured by a commercially available local positioning system (LPS) during indoor use. In addition, the study investigated how the placement of the ﬁeld of play relative to the anchor nodes and walls of the building affected the validity of the system. Method: The LPS (Catapult ClearSky T6, Catapult Sports, Australia) and the reference system [Qualisys Oqus, Qualisys AB, Sweden, (infra-red camera system)] were installed around the ﬁeld of play to capture the athletes’ motion. Athletes completed ﬁve tasks, all designed to imitate team-sports movements. The same protocol was completed in two sessions, one with an assumed optimal geometrical setup of the LPS (optimal condition), and once with a sub-optimal geometrical setup of the LPS (sub-optimal condition). Raw two-dimensional position data were extracted from both the LPS and the reference system for accuracy assessment. Position, distance and speed were compared. Results: The mean difference between the LPS and reference system for all position estimations was 0.21 ± 0.13 m (n = 30,166) in the optimal setup, and 1.79 ± 7.61 m (n = 22,799) in the sub-optimal setup. The average difference in distance was below 2% for all tasks in the optimal condition, while it was below 30% in the sub-optimal condition. Instantaneous speed showed the largest differences between the LPS and reference system of all variables, both in the optimal (≥35%) and sub-optimal condition (≥74%). The differences between the LPS and reference system in instantaneous speed were speed dependent, showing increased differences with increasing speed. Discussion: Measures of position, distance, and average speed from the LPS show low errors, and can be used conﬁdently in time-motion analyses for indoor team sports. The calculation of instantaneous speed from LPS raw data is not valid. To enhance instantaneous speed calculation the application of appropriate ﬁltering techniques to enhance the validity of such data should be investigated. For all measures, the placement of anchor nodes and the ﬁeld of play relative to the walls of the building inﬂuence LPS output to a large degree.","container-title":"Frontiers in Physiology","DOI":"10.3389/fphys.2018.00115","ISSN":"1664-042X","journalAbbreviation":"Front. Physiol.","language":"en","page":"115","source":"DOI.org (Crossref)","title":"Validity of the Catapult ClearSky T6 Local Positioning System for Team Sports Specific Drills, in Indoor Conditions","volume":"9","author":[{"family":"Luteberget","given":"Live S."},{"family":"Spencer","given":"Matt"},{"family":"Gilgien","given":"Matthias"}],"issued":{"date-parts":[["2018",4,4]]}}}],"schema":"https://github.com/citation-style-language/schema/raw/master/csl-citation.json"} </w:instrText>
      </w:r>
      <w:r w:rsidR="002A155D">
        <w:rPr>
          <w:rFonts w:ascii="Times" w:hAnsi="Times"/>
          <w:color w:val="000000" w:themeColor="text1"/>
        </w:rPr>
        <w:fldChar w:fldCharType="separate"/>
      </w:r>
      <w:r w:rsidR="002A155D">
        <w:rPr>
          <w:rFonts w:ascii="Times" w:hAnsi="Times"/>
          <w:noProof/>
          <w:color w:val="000000" w:themeColor="text1"/>
        </w:rPr>
        <w:t>(Luteberget et al., 2018)</w:t>
      </w:r>
      <w:r w:rsidR="002A155D">
        <w:rPr>
          <w:rFonts w:ascii="Times" w:hAnsi="Times"/>
          <w:color w:val="000000" w:themeColor="text1"/>
        </w:rPr>
        <w:fldChar w:fldCharType="end"/>
      </w:r>
      <w:r>
        <w:rPr>
          <w:rFonts w:ascii="Times" w:hAnsi="Times"/>
          <w:color w:val="000000" w:themeColor="text1"/>
        </w:rPr>
        <w:t xml:space="preserve">. With this information, variables such as speed, acceleration, and external load can be calculated which </w:t>
      </w:r>
      <w:r w:rsidR="00FB1E13">
        <w:rPr>
          <w:rFonts w:ascii="Times" w:hAnsi="Times"/>
          <w:color w:val="000000" w:themeColor="text1"/>
        </w:rPr>
        <w:t>are</w:t>
      </w:r>
      <w:r>
        <w:rPr>
          <w:rFonts w:ascii="Times" w:hAnsi="Times"/>
          <w:color w:val="000000" w:themeColor="text1"/>
        </w:rPr>
        <w:t xml:space="preserve"> then used to</w:t>
      </w:r>
      <w:r w:rsidRPr="00DA5FAE">
        <w:rPr>
          <w:rFonts w:ascii="Times" w:hAnsi="Times"/>
          <w:color w:val="000000" w:themeColor="text1"/>
        </w:rPr>
        <w:t xml:space="preserve"> derive external load</w:t>
      </w:r>
      <w:r>
        <w:rPr>
          <w:rFonts w:ascii="Times" w:hAnsi="Times"/>
          <w:color w:val="000000" w:themeColor="text1"/>
        </w:rPr>
        <w:t xml:space="preserve"> </w:t>
      </w:r>
      <w:r>
        <w:rPr>
          <w:rFonts w:ascii="Times" w:hAnsi="Times"/>
          <w:color w:val="000000" w:themeColor="text1"/>
        </w:rPr>
        <w:fldChar w:fldCharType="begin"/>
      </w:r>
      <w:r>
        <w:rPr>
          <w:rFonts w:ascii="Times" w:hAnsi="Times"/>
          <w:color w:val="000000" w:themeColor="text1"/>
        </w:rPr>
        <w:instrText xml:space="preserve"> ADDIN ZOTERO_ITEM CSL_CITATION {"citationID":"c6WrvMUQ","properties":{"formattedCitation":"(Luteberget et al., 2018)","plainCitation":"(Luteberget et al., 2018)","noteIndex":0},"citationItems":[{"id":225,"uris":["http://zotero.org/users/5493924/items/2EDGVWSJ"],"itemData":{"id":225,"type":"article-journal","abstract":"Aim: The aim of the present study was to determine the validity of position, distance traveled and instantaneous speed of team sport players as measured by a commercially available local positioning system (LPS) during indoor use. In addition, the study investigated how the placement of the ﬁeld of play relative to the anchor nodes and walls of the building affected the validity of the system. Method: The LPS (Catapult ClearSky T6, Catapult Sports, Australia) and the reference system [Qualisys Oqus, Qualisys AB, Sweden, (infra-red camera system)] were installed around the ﬁeld of play to capture the athletes’ motion. Athletes completed ﬁve tasks, all designed to imitate team-sports movements. The same protocol was completed in two sessions, one with an assumed optimal geometrical setup of the LPS (optimal condition), and once with a sub-optimal geometrical setup of the LPS (sub-optimal condition). Raw two-dimensional position data were extracted from both the LPS and the reference system for accuracy assessment. Position, distance and speed were compared. Results: The mean difference between the LPS and reference system for all position estimations was 0.21 ± 0.13 m (n = 30,166) in the optimal setup, and 1.79 ± 7.61 m (n = 22,799) in the sub-optimal setup. The average difference in distance was below 2% for all tasks in the optimal condition, while it was below 30% in the sub-optimal condition. Instantaneous speed showed the largest differences between the LPS and reference system of all variables, both in the optimal (≥35%) and sub-optimal condition (≥74%). The differences between the LPS and reference system in instantaneous speed were speed dependent, showing increased differences with increasing speed. Discussion: Measures of position, distance, and average speed from the LPS show low errors, and can be used conﬁdently in time-motion analyses for indoor team sports. The calculation of instantaneous speed from LPS raw data is not valid. To enhance instantaneous speed calculation the application of appropriate ﬁltering techniques to enhance the validity of such data should be investigated. For all measures, the placement of anchor nodes and the ﬁeld of play relative to the walls of the building inﬂuence LPS output to a large degree.","container-title":"Frontiers in Physiology","DOI":"10.3389/fphys.2018.00115","ISSN":"1664-042X","journalAbbreviation":"Front. Physiol.","language":"en","page":"115","source":"DOI.org (Crossref)","title":"Validity of the Catapult ClearSky T6 Local Positioning System for Team Sports Specific Drills, in Indoor Conditions","volume":"9","author":[{"family":"Luteberget","given":"Live S."},{"family":"Spencer","given":"Matt"},{"family":"Gilgien","given":"Matthias"}],"issued":{"date-parts":[["2018",4,4]]}}}],"schema":"https://github.com/citation-style-language/schema/raw/master/csl-citation.json"}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(Luteberget et al., 2018)</w:t>
      </w:r>
      <w:r>
        <w:rPr>
          <w:rFonts w:ascii="Times" w:hAnsi="Times"/>
          <w:color w:val="000000" w:themeColor="text1"/>
        </w:rPr>
        <w:fldChar w:fldCharType="end"/>
      </w:r>
      <w:r>
        <w:rPr>
          <w:rFonts w:ascii="Times" w:hAnsi="Times"/>
          <w:color w:val="000000" w:themeColor="text1"/>
        </w:rPr>
        <w:t xml:space="preserve">. </w:t>
      </w:r>
      <w:r w:rsidRPr="00DA5FAE">
        <w:rPr>
          <w:rFonts w:ascii="Times" w:hAnsi="Times"/>
          <w:color w:val="000000" w:themeColor="text1"/>
        </w:rPr>
        <w:t xml:space="preserve">This differs slightly from GPS systems, which utilize satellites </w:t>
      </w:r>
      <w:r>
        <w:rPr>
          <w:rFonts w:ascii="Times" w:hAnsi="Times"/>
          <w:color w:val="000000" w:themeColor="text1"/>
        </w:rPr>
        <w:t>to</w:t>
      </w:r>
      <w:r w:rsidRPr="00DA5FAE">
        <w:rPr>
          <w:rFonts w:ascii="Times" w:hAnsi="Times"/>
          <w:color w:val="000000" w:themeColor="text1"/>
        </w:rPr>
        <w:t xml:space="preserve"> determine similar variables based on positioning </w:t>
      </w:r>
      <w:r w:rsidRPr="00DA5FAE">
        <w:rPr>
          <w:rFonts w:ascii="Times" w:hAnsi="Times"/>
          <w:color w:val="000000" w:themeColor="text1"/>
        </w:rPr>
        <w:fldChar w:fldCharType="begin"/>
      </w:r>
      <w:r w:rsidR="00452A73">
        <w:rPr>
          <w:rFonts w:ascii="Times" w:hAnsi="Times"/>
          <w:color w:val="000000" w:themeColor="text1"/>
        </w:rPr>
        <w:instrText xml:space="preserve"> ADDIN ZOTERO_ITEM CSL_CITATION {"citationID":"NzMGYWhn","properties":{"formattedCitation":"(Russell, McLean, Impellizzeri, et al., 2021)","plainCitation":"(Russell, McLean, Impellizzeri, et al., 2021)","noteIndex":0},"citationItems":[{"id":174,"uris":["http://zotero.org/users/5493924/items/HCGMQXHJ"],"itemData":{"id":174,"type":"article-journal","abstract":"Background  Measuring the physical work and resultant acute psychobiological responses of basketball can help to better understand and inform physical preparation models and improve overall athlete health and performance. Recent advancements in training load monitoring solutions have coincided with increases in the literature describing the physical demands of basketball, but there are currently no reviews that summarize all the available basketball research. Additionally, a thorough appraisal of the load monitoring methodologies and measures used in basketball is lacking in the current literature. This type of critical analysis would allow for consistent comparison between studies to better understand physical demands across the sport.\nObjectives  The objective of this systematic review was to assess and critically evaluate the methods and technologies used for monitoring physical demands in competitive basketball athletes. We used the term ‘training load’ to encompass the physical demands of both training and game activities, with the latter assumed to provide a training stimulus as well. This review aimed to critique methodological inconsistencies, establish operational definitions specific to the sport, and make recommendations for basketball training load monitoring practice and reporting within the literature.\nMethods  A systematic review of the literature was performed using EBSCO, PubMed, SCOPUS, and Web of Science to identify studies through March 2020. Electronic databases were searched using terms related to basketball and training load. Records were included if they used a competitive basketball population and incorporated a measure of training load. This systematic review was registered with the International Prospective Register of Systematic Reviews (PROSPERO Registration # CRD42019123603), and approved under the National Basketball Association (NBA) Health Related Research Policy.\nResults  Electronic and manual searches identified 122 papers that met the inclusion criteria. These studies reported the physical demands of basketball during training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56), competition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36), and both training and competition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30). Physical demands were quantified with a measure of internal training load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52), external training load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29), or both internal and external measures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41). These studies examined males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76), females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34), both male and female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9), and a combination of youth (i.e. under 18 years,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37), adults (i.e. 18 years or older,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77), and both adults and youth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 xml:space="preserve">4). Inconsistencies related to the reporting of competition level, methodology for recording duration, participant inclusion criteria, and validity of measurement systems were identified as key factors relating to the reporting of physical demands in basketball and summarized for each study.\nConclusions  This review comprehensively evaluated the current body of literature related to training load monitoring in basketball. Within this literature, there is a clear lack of alignment in applied practices and methodological framework, and with only small data sets and short study periods available at this time, it is not possible to draw definitive conclusions about the true physical demands of basketball. A detailed understanding of modern technologies in basketball is also lacking, and we provide specific guidelines for defining and applying duration measurement methodologies, vetting the validity and reliability of measurement tools, and classifying competition level in basketball to address some of the identified knowledge gaps. Creating alignment in best-practice basketball research methodology, terminology and reporting may lead to a more robust understanding of the physical demands associated with the sport, thereby allowing for exploration of other research areas (e.g. injury, performance), and improved understanding and decision making in applying these methods directly with basketball athletes.","container-title":"Sports Medicine","DOI":"10.1007/s40279-020-01375-9","ISSN":"0112-1642, 1179-2035","issue":"1","journalAbbreviation":"Sports Med","language":"en","page":"81-112","source":"DOI.org (Crossref)","title":"Measuring physical demands in basketball: An explorative systematic review of practices","title-short":"Measuring Physical Demands in Basketball","volume":"51","author":[{"family":"Russell","given":"Jennifer L."},{"family":"McLean","given":"Blake D."},{"family":"Impellizzeri","given":"Franco M."},{"family":"Strack","given":"Donnie S."},{"family":"Coutts","given":"Aaron J."}],"issued":{"date-parts":[["2021",1]]}}}],"schema":"https://github.com/citation-style-language/schema/raw/master/csl-citation.json"} </w:instrText>
      </w:r>
      <w:r w:rsidRPr="00DA5FAE">
        <w:rPr>
          <w:rFonts w:ascii="Times" w:hAnsi="Times"/>
          <w:color w:val="000000" w:themeColor="text1"/>
        </w:rPr>
        <w:fldChar w:fldCharType="separate"/>
      </w:r>
      <w:r w:rsidR="00452A73">
        <w:rPr>
          <w:rFonts w:ascii="Times" w:hAnsi="Times"/>
          <w:noProof/>
          <w:color w:val="000000" w:themeColor="text1"/>
        </w:rPr>
        <w:t>(Russell, McLean, Impellizzeri, et al., 2021)</w:t>
      </w:r>
      <w:r w:rsidRPr="00DA5FAE">
        <w:rPr>
          <w:rFonts w:ascii="Times" w:hAnsi="Times"/>
          <w:color w:val="000000" w:themeColor="text1"/>
        </w:rPr>
        <w:fldChar w:fldCharType="end"/>
      </w:r>
      <w:r w:rsidRPr="00DA5FAE">
        <w:rPr>
          <w:rFonts w:ascii="Times" w:hAnsi="Times"/>
          <w:color w:val="000000" w:themeColor="text1"/>
        </w:rPr>
        <w:t xml:space="preserve">. </w:t>
      </w:r>
      <w:r w:rsidR="00FB1E13">
        <w:rPr>
          <w:rFonts w:ascii="Times" w:hAnsi="Times"/>
          <w:color w:val="000000" w:themeColor="text1"/>
        </w:rPr>
        <w:t xml:space="preserve">Because LPS systems use individual antennae and GPS systems utilize satellites, </w:t>
      </w:r>
      <w:r w:rsidRPr="00DA5FAE">
        <w:rPr>
          <w:rFonts w:ascii="Times" w:hAnsi="Times"/>
          <w:color w:val="000000" w:themeColor="text1"/>
        </w:rPr>
        <w:t>indoor sports such as basketball or hockey often utilize an LPS system, while GPS systems are more commonly founded in outdoor sports such as soccer</w:t>
      </w:r>
      <w:r>
        <w:rPr>
          <w:rFonts w:ascii="Times" w:hAnsi="Times"/>
          <w:color w:val="000000" w:themeColor="text1"/>
        </w:rPr>
        <w:t xml:space="preserve"> </w:t>
      </w:r>
      <w:r>
        <w:rPr>
          <w:rFonts w:ascii="Times" w:hAnsi="Times"/>
          <w:color w:val="000000" w:themeColor="text1"/>
        </w:rPr>
        <w:fldChar w:fldCharType="begin"/>
      </w:r>
      <w:r>
        <w:rPr>
          <w:rFonts w:ascii="Times" w:hAnsi="Times"/>
          <w:color w:val="000000" w:themeColor="text1"/>
        </w:rPr>
        <w:instrText xml:space="preserve"> ADDIN ZOTERO_ITEM CSL_CITATION {"citationID":"r0eZE5j3","properties":{"formattedCitation":"(Torres-Ronda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Pr>
          <w:rFonts w:ascii="Cambria Math" w:hAnsi="Cambria Math" w:cs="Cambria Math"/>
          <w:color w:val="000000" w:themeColor="text1"/>
        </w:rPr>
        <w:instrText>‑</w:instrText>
      </w:r>
      <w:r>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Pr>
          <w:rFonts w:ascii="Cambria Math" w:hAnsi="Cambria Math" w:cs="Cambria Math"/>
          <w:color w:val="000000" w:themeColor="text1"/>
        </w:rPr>
        <w:instrText>‑</w:instrText>
      </w:r>
      <w:r>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(Torres-Ronda et al., 2022)</w:t>
      </w:r>
      <w:r>
        <w:rPr>
          <w:rFonts w:ascii="Times" w:hAnsi="Times"/>
          <w:color w:val="000000" w:themeColor="text1"/>
        </w:rPr>
        <w:fldChar w:fldCharType="end"/>
      </w:r>
      <w:r w:rsidRPr="00DA5FAE">
        <w:rPr>
          <w:rFonts w:ascii="Times" w:hAnsi="Times"/>
          <w:color w:val="000000" w:themeColor="text1"/>
        </w:rPr>
        <w:t xml:space="preserve">. </w:t>
      </w:r>
      <w:r>
        <w:rPr>
          <w:rFonts w:ascii="Times" w:hAnsi="Times"/>
          <w:color w:val="000000" w:themeColor="text1"/>
        </w:rPr>
        <w:t>As previously mentioned, these systems are often paired with accelerometer-based technology to measure movements in vectorized quantities (</w:t>
      </w:r>
      <w:r w:rsidR="00FB1E13">
        <w:rPr>
          <w:rFonts w:ascii="Times" w:hAnsi="Times"/>
          <w:color w:val="000000" w:themeColor="text1"/>
        </w:rPr>
        <w:t>i.e.</w:t>
      </w:r>
      <w:r>
        <w:rPr>
          <w:rFonts w:ascii="Times" w:hAnsi="Times"/>
          <w:color w:val="000000" w:themeColor="text1"/>
        </w:rPr>
        <w:t xml:space="preserve">, movement variables with both magnitude and direction) </w:t>
      </w:r>
      <w:r>
        <w:rPr>
          <w:rFonts w:ascii="Times" w:hAnsi="Times"/>
          <w:color w:val="000000" w:themeColor="text1"/>
        </w:rPr>
        <w:fldChar w:fldCharType="begin"/>
      </w:r>
      <w:r>
        <w:rPr>
          <w:rFonts w:ascii="Times" w:hAnsi="Times"/>
          <w:color w:val="000000" w:themeColor="text1"/>
        </w:rPr>
        <w:instrText xml:space="preserve"> ADDIN ZOTERO_ITEM CSL_CITATION {"citationID":"gAJlXzRE","properties":{"formattedCitation":"(Beenham et al., 2017)","plainCitation":"(Beenham et al., 2017)","noteIndex":0},"citationItems":[{"id":371,"uris":["http://zotero.org/users/5493924/items/ULUZF24V"],"itemData":{"id":371,"type":"article-journal","abstract":"The external demands of small-sided games (SSGs) according to the positional role are currently unknown. Using a Catapult Minimax X3 5 Hz GPS, with a 100 Hz tri-axial accelerometer, we compared the accumulated triaxial player workload per min (PLacc·min-1) during friendly youth match play (MP) (11 vs. 11) and SSGs (2 vs. 2, 3 vs. 3, and 4 vs. 4). Significant differences existed between all SSGs and MP for PLacc·min-1 (F = 21.91, p &lt; 0.001, η2 = 0.38), and individual X (F = 27.40, p &lt; 0.001, η2 = 0.43), Y (F = 14.50, p &lt; 0.001, η2 = 0.29) and Z (F = 19.28, p &lt; 0.001, η2 = 0.35) axis loads. Across all conditions, mean PLacc·min-1 was greater for midfielders (p = 0.004, CI: 0.68, 4.56) and forwards (p = 0.037, CI: 0.08, 3.97) than central defenders. In all conditions, greater Y axis values existed for wide defenders (p = 0.024, CI: 0.67, 1.38), midfielders (p = 0.006, CI: 0.18, 1.50) and forwards (p = 0.007, CI: 0.17, 0.15) compared to central defenders. Midfielders reported greater Z axis values compared to central defenders (p = 0.002, CI: 0.40, 2.23). We concluded that SSGs elicited greater external loads than MP, and previous studies may have underestimated the demands of SSGs.","container-title":"Journal of Human Kinetics","DOI":"10.1515/hukin-2017-0054","ISSN":"1899-7562","issue":"1","language":"en","page":"129-137","source":"DOI.org (Crossref)","title":"A Comparison of GPS Workload Demands in Match Play and Small-Sided Games by the Positional Role in Youth Soccer","volume":"57","author":[{"family":"Beenham","given":"Mathew"},{"family":"Barron","given":"David J."},{"family":"Fry","given":"John"},{"family":"Hurst","given":"Howard H."},{"family":"Figueirdo","given":"Antonio"},{"family":"Atkins","given":"Steve"}],"issued":{"date-parts":[["2017",6,22]]}}}],"schema":"https://github.com/citation-style-language/schema/raw/master/csl-citation.json"}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(Beenham et al., 2017)</w:t>
      </w:r>
      <w:r>
        <w:rPr>
          <w:rFonts w:ascii="Times" w:hAnsi="Times"/>
          <w:color w:val="000000" w:themeColor="text1"/>
        </w:rPr>
        <w:fldChar w:fldCharType="end"/>
      </w:r>
      <w:r>
        <w:rPr>
          <w:rFonts w:ascii="Times" w:hAnsi="Times"/>
          <w:color w:val="000000" w:themeColor="text1"/>
        </w:rPr>
        <w:t>. One</w:t>
      </w:r>
      <w:r w:rsidRPr="00DA5FAE">
        <w:rPr>
          <w:rFonts w:ascii="Times" w:hAnsi="Times"/>
          <w:color w:val="000000" w:themeColor="text1"/>
        </w:rPr>
        <w:t xml:space="preserve"> of the most widely used athlete tracking systems</w:t>
      </w:r>
      <w:r>
        <w:rPr>
          <w:rFonts w:ascii="Times" w:hAnsi="Times"/>
          <w:color w:val="000000" w:themeColor="text1"/>
        </w:rPr>
        <w:t>,</w:t>
      </w:r>
      <w:r w:rsidRPr="00DA5FAE">
        <w:rPr>
          <w:rFonts w:ascii="Times" w:hAnsi="Times"/>
          <w:color w:val="000000" w:themeColor="text1"/>
        </w:rPr>
        <w:t xml:space="preserve"> </w:t>
      </w:r>
      <w:r>
        <w:rPr>
          <w:rFonts w:ascii="Times" w:hAnsi="Times"/>
          <w:color w:val="000000" w:themeColor="text1"/>
        </w:rPr>
        <w:t xml:space="preserve">which </w:t>
      </w:r>
      <w:r w:rsidRPr="00DA5FAE">
        <w:rPr>
          <w:rFonts w:ascii="Times" w:hAnsi="Times"/>
          <w:color w:val="000000" w:themeColor="text1"/>
        </w:rPr>
        <w:t>is manufactured and distributed by Catapult Sports (Catapult Sports, Melbourne, Australia)</w:t>
      </w:r>
      <w:r>
        <w:rPr>
          <w:rFonts w:ascii="Times" w:hAnsi="Times"/>
          <w:color w:val="000000" w:themeColor="text1"/>
        </w:rPr>
        <w:t>,</w:t>
      </w:r>
      <w:r w:rsidRPr="00DA5FAE">
        <w:rPr>
          <w:rFonts w:ascii="Times" w:hAnsi="Times"/>
          <w:color w:val="000000" w:themeColor="text1"/>
        </w:rPr>
        <w:t xml:space="preserve"> utilizes triaxial accelerometers within a wearable device to derive a metric, </w:t>
      </w:r>
      <w:proofErr w:type="spellStart"/>
      <w:r w:rsidRPr="00DA5FAE">
        <w:rPr>
          <w:rFonts w:ascii="Times" w:hAnsi="Times"/>
          <w:color w:val="000000" w:themeColor="text1"/>
        </w:rPr>
        <w:t>PlayerLoad</w:t>
      </w:r>
      <w:proofErr w:type="spellEnd"/>
      <w:r w:rsidRPr="00DA5FAE">
        <w:rPr>
          <w:rFonts w:ascii="Times" w:hAnsi="Times"/>
          <w:color w:val="000000" w:themeColor="text1"/>
        </w:rPr>
        <w:sym w:font="Symbol" w:char="F0D4"/>
      </w:r>
      <w:r w:rsidRPr="00DA5FAE">
        <w:rPr>
          <w:rFonts w:ascii="Times" w:hAnsi="Times"/>
          <w:color w:val="000000" w:themeColor="text1"/>
        </w:rPr>
        <w:t xml:space="preserve"> (hereby referred to as PL), that provides an easily quantifiable value for external load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{"citationID":"BfYU4IFs","properties":{"formattedCitation":"(Bredt et al., 2020)","plainCitation":"(Bredt et al., 2020)","noteIndex":0},"citationItems":[{"id":223,"uris":["http://zotero.org/users/5493924/items/4LAHHCDV"],"itemData":{"id":223,"type":"article-journal","abstract":"We present a critical reflection on the mechanical variable Player Load, which is based on acceleration data and commonly used in sports. Our motivation to write this paper came from the difficulties that we encountered in the calculation and interpretation of Player Load using our own data, since we did not use the Catapult Sports equipment, which is a merchandise of the company that proposed this variable. We reviewed existing literature in order to understand Player Load better; we found many inconsistencies in PL calculation methods and in the meanings attached to it. Accordingly, this paper presents a brief discussion on the meanings that have been assigned to Player Load, its limitations, and the lack of clear and complete information about Player Load calculation methods. Moreover, the use of arbitrary units and different practical meanings in the literature has associated Player Load with many physical quantities, thereby resulting in difficulties in determining what Player Load measures within the context of sports. It seems that Player Load is related to the magnitude of changes in acceleration, but not the magnitude of acceleration itself. Therefore, coaches and sports scientists should take this information into account when they use Player Load to prescribe and monitor external loads. We concluded that a deeper discussion of Player Load as a descriptor of external load is warranted in the sports sciences literature.","container-title":"Journal of Human Kinetics","DOI":"10.2478/hukin-2019-0072","ISSN":"1899-7562","issue":"1","language":"en","page":"5-9","source":"DOI.org (Crossref)","title":"Understanding Player Load: Meanings and Limitations","title-short":"Understanding Player Load","volume":"71","author":[{"family":"Bredt","given":"Sarah da Glória Teles"},{"family":"Chagas","given":"Mauro Heleno"},{"family":"Peixoto","given":"Gustavo Henrique"},{"family":"Menzel","given":"Hans Joachim"},{"family":"Andrade","given":"André Gustavo Pereira","dropping-particle":"de"}],"issued":{"date-parts":[["2020",1,31]]}}}],"schema":"https://github.com/citation-style-language/schema/raw/master/csl-citation.json"}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(Bredt et al., 2020)</w:t>
      </w:r>
      <w:r w:rsidRPr="00DA5FAE">
        <w:rPr>
          <w:rFonts w:ascii="Times" w:hAnsi="Times"/>
          <w:color w:val="000000" w:themeColor="text1"/>
        </w:rPr>
        <w:fldChar w:fldCharType="end"/>
      </w:r>
      <w:r w:rsidRPr="00DA5FAE">
        <w:rPr>
          <w:rFonts w:ascii="Times" w:hAnsi="Times"/>
          <w:color w:val="000000" w:themeColor="text1"/>
        </w:rPr>
        <w:t xml:space="preserve">. This ability </w:t>
      </w:r>
      <w:r w:rsidRPr="00DA5FAE">
        <w:rPr>
          <w:rFonts w:ascii="Times" w:hAnsi="Times"/>
          <w:color w:val="000000" w:themeColor="text1"/>
        </w:rPr>
        <w:lastRenderedPageBreak/>
        <w:t>to provide a single metric to calculate external training load, as well as the unobtrusive profile of an LPS system such as Catapult (athletes are only required to wear a form fitting garment that houses a small microsensor between the scapulae), and the cheaper cost compared to GPS systems have made LPS systems</w:t>
      </w:r>
      <w:r w:rsidR="00FB1E13">
        <w:rPr>
          <w:rFonts w:ascii="Times" w:hAnsi="Times"/>
          <w:color w:val="000000" w:themeColor="text1"/>
        </w:rPr>
        <w:t xml:space="preserve"> one of</w:t>
      </w:r>
      <w:r w:rsidRPr="00DA5FAE">
        <w:rPr>
          <w:rFonts w:ascii="Times" w:hAnsi="Times"/>
          <w:color w:val="000000" w:themeColor="text1"/>
        </w:rPr>
        <w:t xml:space="preserve"> the primary tool</w:t>
      </w:r>
      <w:r w:rsidR="00FB1E13">
        <w:rPr>
          <w:rFonts w:ascii="Times" w:hAnsi="Times"/>
          <w:color w:val="000000" w:themeColor="text1"/>
        </w:rPr>
        <w:t>s</w:t>
      </w:r>
      <w:r w:rsidRPr="00DA5FAE">
        <w:rPr>
          <w:rFonts w:ascii="Times" w:hAnsi="Times"/>
          <w:color w:val="000000" w:themeColor="text1"/>
        </w:rPr>
        <w:t xml:space="preserve"> for practitioners to measure external load and provide coaches and key stakeholders with relevant information to optimize training for athletes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{"citationID":"OWH4oONH","properties":{"formattedCitation":"(Luteberget et al., 2018)","plainCitation":"(Luteberget et al., 2018)","noteIndex":0},"citationItems":[{"id":225,"uris":["http://zotero.org/users/5493924/items/2EDGVWSJ"],"itemData":{"id":225,"type":"article-journal","abstract":"Aim: The aim of the present study was to determine the validity of position, distance traveled and instantaneous speed of team sport players as measured by a commercially available local positioning system (LPS) during indoor use. In addition, the study investigated how the placement of the ﬁeld of play relative to the anchor nodes and walls of the building affected the validity of the system. Method: The LPS (Catapult ClearSky T6, Catapult Sports, Australia) and the reference system [Qualisys Oqus, Qualisys AB, Sweden, (infra-red camera system)] were installed around the ﬁeld of play to capture the athletes’ motion. Athletes completed ﬁve tasks, all designed to imitate team-sports movements. The same protocol was completed in two sessions, one with an assumed optimal geometrical setup of the LPS (optimal condition), and once with a sub-optimal geometrical setup of the LPS (sub-optimal condition). Raw two-dimensional position data were extracted from both the LPS and the reference system for accuracy assessment. Position, distance and speed were compared. Results: The mean difference between the LPS and reference system for all position estimations was 0.21 ± 0.13 m (n = 30,166) in the optimal setup, and 1.79 ± 7.61 m (n = 22,799) in the sub-optimal setup. The average difference in distance was below 2% for all tasks in the optimal condition, while it was below 30% in the sub-optimal condition. Instantaneous speed showed the largest differences between the LPS and reference system of all variables, both in the optimal (≥35%) and sub-optimal condition (≥74%). The differences between the LPS and reference system in instantaneous speed were speed dependent, showing increased differences with increasing speed. Discussion: Measures of position, distance, and average speed from the LPS show low errors, and can be used conﬁdently in time-motion analyses for indoor team sports. The calculation of instantaneous speed from LPS raw data is not valid. To enhance instantaneous speed calculation the application of appropriate ﬁltering techniques to enhance the validity of such data should be investigated. For all measures, the placement of anchor nodes and the ﬁeld of play relative to the walls of the building inﬂuence LPS output to a large degree.","container-title":"Frontiers in Physiology","DOI":"10.3389/fphys.2018.00115","ISSN":"1664-042X","journalAbbreviation":"Front. Physiol.","language":"en","page":"115","source":"DOI.org (Crossref)","title":"Validity of the Catapult ClearSky T6 Local Positioning System for Team Sports Specific Drills, in Indoor Conditions","volume":"9","author":[{"family":"Luteberget","given":"Live S."},{"family":"Spencer","given":"Matt"},{"family":"Gilgien","given":"Matthias"}],"issued":{"date-parts":[["2018",4,4]]}}}],"schema":"https://github.com/citation-style-language/schema/raw/master/csl-citation.json"}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(Luteberget et al., 2018)</w:t>
      </w:r>
      <w:r w:rsidRPr="00DA5FAE">
        <w:rPr>
          <w:rFonts w:ascii="Times" w:hAnsi="Times"/>
          <w:color w:val="000000" w:themeColor="text1"/>
        </w:rPr>
        <w:fldChar w:fldCharType="end"/>
      </w:r>
      <w:r w:rsidRPr="00DA5FAE">
        <w:rPr>
          <w:rFonts w:ascii="Times" w:hAnsi="Times"/>
          <w:color w:val="000000" w:themeColor="text1"/>
        </w:rPr>
        <w:t xml:space="preserve">. </w:t>
      </w:r>
    </w:p>
    <w:p w14:paraId="4976B182" w14:textId="52C41C44"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rPr>
        <w:tab/>
      </w:r>
      <w:r>
        <w:rPr>
          <w:rFonts w:ascii="Times" w:hAnsi="Times"/>
          <w:color w:val="000000" w:themeColor="text1"/>
        </w:rPr>
        <w:t xml:space="preserve">The </w:t>
      </w:r>
      <w:r w:rsidRPr="00DA5FAE">
        <w:rPr>
          <w:rFonts w:ascii="Times" w:hAnsi="Times"/>
          <w:color w:val="000000" w:themeColor="text1"/>
        </w:rPr>
        <w:t>measurement of external load is commonplace across a number of different s</w:t>
      </w:r>
      <w:r w:rsidR="002A155D">
        <w:rPr>
          <w:rFonts w:ascii="Times" w:hAnsi="Times"/>
          <w:color w:val="000000" w:themeColor="text1"/>
        </w:rPr>
        <w:t>ports such as soccer, Australian rules football, and basketball</w:t>
      </w:r>
      <w:r w:rsidRPr="00DA5FAE">
        <w:rPr>
          <w:rFonts w:ascii="Times" w:hAnsi="Times"/>
          <w:color w:val="000000" w:themeColor="text1"/>
        </w:rPr>
        <w:t xml:space="preserve"> </w:t>
      </w:r>
      <w:r w:rsidRPr="00DA5FAE">
        <w:rPr>
          <w:rFonts w:ascii="Times" w:hAnsi="Times"/>
          <w:color w:val="000000" w:themeColor="text1"/>
        </w:rPr>
        <w:fldChar w:fldCharType="begin"/>
      </w:r>
      <w:r w:rsidR="002A155D">
        <w:rPr>
          <w:rFonts w:ascii="Times" w:hAnsi="Times"/>
          <w:color w:val="000000" w:themeColor="text1"/>
        </w:rPr>
        <w:instrText xml:space="preserve"> ADDIN ZOTERO_ITEM CSL_CITATION {"citationID":"fMYwga9A","properties":{"formattedCitation":"(J. J. Malone et al., 2015; Ritchie et al., 2016; Russell, McLean, Impellizzeri, et al., 2021)","plainCitation":"(J. J. Malone et al., 2015; Ritchie et al., 2016; Russell, McLean, Impellizzeri, et al., 2021)","noteIndex":0},"citationItems":[{"id":191,"uris":["http://zotero.org/users/5493924/items/X2TDNGTJ"],"itemData":{"id":191,"type":"article-journal","abstract":"Purpose: To quantify the seasonal training load completed by professional soccer players of the English Premier League. Methods: Thirty players were sampled (using GPS, heart rate and RPE) during the daily training sessions comprising the 2011-2012 pre-season and inseason period. Pre-season data were analysed across 6 x 1 week microcycles. In-season data were analysed across 6 x 6 week mesocycle blocks and 3 x 1 week microcycles at start, mid and end time points. Data were also analysed with respect to number of days prior to a match. Results: Typical daily training load (i.e. total distance, high speed distance, % HRmax, sRPE) did not differ during each week of the pre-season phase. However, daily total distance covered was 1304 (95% CI: 434 – 2174) m greater in the first mesocycle compared with the sixth. %HRmax values were also greater (3.3 (1.3 – 5.4) %) in the third mesocycle compared with the first. Furthermore, training load was lower on the day before match (MD-1) compared with two (MD-2) to five (MD-5) days before match, though no difference was apparent between these latter time-points. Conclusions: We provide the first report of seasonal training load in elite soccer players and observed periodization of training load was typically confined to MD-1 (regardless of mesocycle) whereas no differences were apparent during MD-2 to MD-5. Future studies should evaluate whether this loading and periodization is facilitative of optimal training adaptations and match day performance.","container-title":"International Journal of Sports Physiology and Performance","DOI":"10.1123/ijspp.2014-0352","ISSN":"1555-0265, 1555-0273","issue":"4","journalAbbreviation":"Int J Sports Physiol Perform","language":"en","page":"489-497","source":"DOI.org (Crossref)","title":"Seasonal training-load quantification in elite English Premier League soccer players","volume":"10","author":[{"family":"Malone","given":"James J."},{"family":"Di Michele","given":"Rocco"},{"family":"Morgans","given":"Ryland"},{"family":"Burgess","given":"Darren"},{"family":"Morton","given":"James P."},{"family":"Drust","given":"Barry"}],"issued":{"date-parts":[["2015",5]]}}},{"id":193,"uris":["http://zotero.org/users/5493924/items/D6RQU4LY"],"itemData":{"id":193,"type":"article-journal","abstract":"Purpose: Load monitoring in Australian football (AF) has been widely adopted, yet team-sport periodization strategies are relatively unknown. The authors aimed to quantify training and competition load across a season in an elite AF team, using rating of perceived exertion (RPE) and GPS tracking. Methods: Weekly totals for RPE and GPS loads (including accelerometer data; PlayerLoad) were obtained for 44 players across a full season for each training modality and for competition. General linear mixed models compared mean weekly load between 3 preseason and 4 in-season blocks. Effects were assessed with inferences about magnitudes standardized with between-players SD. Results: Total RPE load was most likely greater during preseason, where the majority of load was obtained via skills and conditioning. There was a large reduction in RPE load in the last preseason block. During in-season, half the total load came from games and the remaining half from training, predominantly skills and upper-body weights. Total distance, high-intensity running, and PlayerLoad showed large to very large reductions from preseason to in-season, whereas changes in mean speed were trivial across all blocks. All these effects were clear at the 99% level. Conclusions: These data provide useful information about targeted periods of loading and unloading across different stages of a season. The study also provides a framework for further investigation of training periodization in AF teams.","container-title":"International Journal of Sports Physiology and Performance","DOI":"10.1123/ijspp.2015-0294","ISSN":"1555-0265, 1555-0273","issue":"4","journalAbbreviation":"Int J Sports Physiol Perform","language":"en","page":"474-479","source":"DOI.org (Crossref)","title":"Quantification of training and competition load across a season in an elite Australian Football club","volume":"11","author":[{"family":"Ritchie","given":"Dean"},{"family":"Hopkins","given":"Will G."},{"family":"Buchheit","given":"Martin"},{"family":"Cordy","given":"Justin"},{"family":"Bartlett","given":"Jonathan D."}],"issued":{"date-parts":[["2016",5]]}}},{"id":174,"uris":["http://zotero.org/users/5493924/items/HCGMQXHJ"],"itemData":{"id":174,"type":"article-journal","abstract":"Background  Measuring the physical work and resultant acute psychobiological responses of basketball can help to better understand and inform physical preparation models and improve overall athlete health and performance. Recent advancements in training load monitoring solutions have coincided with increases in the literature describing the physical demands of basketball, but there are currently no reviews that summarize all the available basketball research. Additionally, a thorough appraisal of the load monitoring methodologies and measures used in basketball is lacking in the current literature. This type of critical analysis would allow for consistent comparison between studies to better understand physical demands across the sport.\nObjectives  The objective of this systematic review was to assess and critically evaluate the methods and technologies used for monitoring physical demands in competitive basketball athletes. We used the term ‘training load’ to encompass the physical demands of both training and game activities, with the latter assumed to provide a training stimulus as well. This review aimed to critique methodological inconsistencies, establish operational definitions specific to the sport, and make recommendations for basketball training load monitoring practice and reporting within the literature.\nMethods  A systematic review of the literature was performed using EBSCO, PubMed, SCOPUS, and Web of Science to identify studies through March 2020. Electronic databases were searched using terms related to basketball and training load. Records were included if they used a competitive basketball population and incorporated a measure of training load. This systematic review was registered with the International Prospective Register of Systematic Reviews (PROSPERO Registration # CRD42019123603), and approved under the National Basketball Association (NBA) Health Related Research Policy.\nResults  Electronic and manual searches identified 122 papers that met the inclusion criteria. These studies reported the physical demands of basketball during training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56), competition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36), and both training and competition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30). Physical demands were quantified with a measure of internal training load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52), external training load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29), or both internal and external measures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41). These studies examined males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76), females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34), both male and female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9), and a combination of youth (i.e. under 18 years,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37), adults (i.e. 18 years or older,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77), and both adults and youth (n</w:instrText>
      </w:r>
      <w:r w:rsidR="002A155D">
        <w:rPr>
          <w:color w:val="000000" w:themeColor="text1"/>
        </w:rPr>
        <w:instrText> </w:instrText>
      </w:r>
      <w:r w:rsidR="002A155D">
        <w:rPr>
          <w:rFonts w:ascii="Times" w:hAnsi="Times"/>
          <w:color w:val="000000" w:themeColor="text1"/>
        </w:rPr>
        <w:instrText>=</w:instrText>
      </w:r>
      <w:r w:rsidR="002A155D">
        <w:rPr>
          <w:color w:val="000000" w:themeColor="text1"/>
        </w:rPr>
        <w:instrText> </w:instrText>
      </w:r>
      <w:r w:rsidR="002A155D">
        <w:rPr>
          <w:rFonts w:ascii="Times" w:hAnsi="Times"/>
          <w:color w:val="000000" w:themeColor="text1"/>
        </w:rPr>
        <w:instrText xml:space="preserve">4). Inconsistencies related to the reporting of competition level, methodology for recording duration, participant inclusion criteria, and validity of measurement systems were identified as key factors relating to the reporting of physical demands in basketball and summarized for each study.\nConclusions  This review comprehensively evaluated the current body of literature related to training load monitoring in basketball. Within this literature, there is a clear lack of alignment in applied practices and methodological framework, and with only small data sets and short study periods available at this time, it is not possible to draw definitive conclusions about the true physical demands of basketball. A detailed understanding of modern technologies in basketball is also lacking, and we provide specific guidelines for defining and applying duration measurement methodologies, vetting the validity and reliability of measurement tools, and classifying competition level in basketball to address some of the identified knowledge gaps. Creating alignment in best-practice basketball research methodology, terminology and reporting may lead to a more robust understanding of the physical demands associated with the sport, thereby allowing for exploration of other research areas (e.g. injury, performance), and improved understanding and decision making in applying these methods directly with basketball athletes.","container-title":"Sports Medicine","DOI":"10.1007/s40279-020-01375-9","ISSN":"0112-1642, 1179-2035","issue":"1","journalAbbreviation":"Sports Med","language":"en","page":"81-112","source":"DOI.org (Crossref)","title":"Measuring physical demands in basketball: An explorative systematic review of practices","title-short":"Measuring Physical Demands in Basketball","volume":"51","author":[{"family":"Russell","given":"Jennifer L."},{"family":"McLean","given":"Blake D."},{"family":"Impellizzeri","given":"Franco M."},{"family":"Strack","given":"Donnie S."},{"family":"Coutts","given":"Aaron J."}],"issued":{"date-parts":[["2021",1]]}}}],"schema":"https://github.com/citation-style-language/schema/raw/master/csl-citation.json"} </w:instrText>
      </w:r>
      <w:r w:rsidRPr="00DA5FAE">
        <w:rPr>
          <w:rFonts w:ascii="Times" w:hAnsi="Times"/>
          <w:color w:val="000000" w:themeColor="text1"/>
        </w:rPr>
        <w:fldChar w:fldCharType="separate"/>
      </w:r>
      <w:r w:rsidR="002A155D">
        <w:rPr>
          <w:rFonts w:ascii="Times" w:hAnsi="Times"/>
          <w:noProof/>
          <w:color w:val="000000" w:themeColor="text1"/>
        </w:rPr>
        <w:t>(J. J. Malone et al., 2015; Ritchie et al., 2016; Russell, McLean, Impellizzeri, et al., 2021)</w:t>
      </w:r>
      <w:r w:rsidRPr="00DA5FAE">
        <w:rPr>
          <w:rFonts w:ascii="Times" w:hAnsi="Times"/>
          <w:color w:val="000000" w:themeColor="text1"/>
        </w:rPr>
        <w:fldChar w:fldCharType="end"/>
      </w:r>
      <w:r w:rsidRPr="00DA5FAE">
        <w:rPr>
          <w:rFonts w:ascii="Times" w:hAnsi="Times"/>
          <w:color w:val="000000" w:themeColor="text1"/>
        </w:rPr>
        <w:t xml:space="preserve">. Indeed, the sport of basketball is no different, as there are a number of different articles in the literature that discuss external load across all levels of basketball, with nearly all relevant studies relying on athlete tracking systems to measure external load </w:t>
      </w:r>
      <w:r w:rsidRPr="00DA5FAE">
        <w:rPr>
          <w:rFonts w:ascii="Times" w:hAnsi="Times"/>
          <w:color w:val="000000" w:themeColor="text1"/>
        </w:rPr>
        <w:fldChar w:fldCharType="begin"/>
      </w:r>
      <w:r w:rsidR="007912F9">
        <w:rPr>
          <w:rFonts w:ascii="Times" w:hAnsi="Times"/>
          <w:color w:val="000000" w:themeColor="text1"/>
        </w:rPr>
        <w:instrText xml:space="preserve"> ADDIN ZOTERO_ITEM CSL_CITATION {"citationID":"xHeDdiqa","properties":{"formattedCitation":"(J. L. Fox et al., 2018; Heishman et al., 2019; Manzi et al., 2010; Reina et al., 2020)","plainCitation":"(J. L. Fox et al., 2018; Heishman et al., 2019; Manzi et al., 2010; Reina et al., 2020)","noteIndex":0},"citationItems":[{"id":195,"uris":["http://zotero.org/users/5493924/items/H5LEBQ88"],"itemData":{"id":195,"type":"article-journal","abstract":"Purpose: The purpose of this study was to quantify and compare training and competition demands in basketball. Methods: Fifteen semiprofessional male basketball players wore microsensors during physical conditioning training (PCT), games-based training (GBT), and competition to measure absolute and relative (·min−1) PlayerLoadTM (PL) and estimated equivalent distance (EED). Internal responses were calculated using absolute and relative session rating of perceived exertion (sRPE) and summated heart rate zones (SHRZ). Integrated measures were calculated as sRPE:PL and SHRZ:PL ratios. Results: PlayerLoad (arbitrary units [AU]) and EED (m) were statistically significantly (p &lt; .05) higher during PCT (632 ± 139 AU, d = 1.36; 5,964 ± 1,312 m, d = 1.36; 6.50 ± 0.81 AU·min−1, d = 2.44; 61.88 ± 7.22 m·min−1, d = 2.60) and GBT (624 ± 113 AU, d = 1.54; 5,892 ± 1,080 m, d = 1.53; 6.10 ± 0.77 AU·min−1, d = 2.14; 56.76 ± 6.49 m·min−1, d = 2.22) than they were during competition (449 ± 118 AU; 3,722 ± 1474 m; 4.35 ± 1.09 AU·min−1; 41.01 ± 10.29 m·min−1). Summated heart rate zones were statistically significantly (p &lt; .05) higher during PCT (314 ± 86 AU, d = 1.05; 3.22 ± 0.50 AU·min−1, d = 1.94) and GBT (334 ± 79 AU, d = 1.38; 3.19 ± 0.54 AU·min−1, d = 1.83) than they were during competition (225 ± 77 AU; 2.17 ± 0.69 AU·min−1). The ratio of sRPE:PL was statistically significantly (p &lt; .05) higher during competition (1.58 ± 0.85) than during PCT (0.98 ± 0.22, d = 1.44) and GBT (0.91 ± 0.24, d = 1.90). Conclusion: Training demands exceeded competition demands.","container-title":"Research Quarterly for Exercise and Sport","DOI":"10.1080/02701367.2017.1410693","ISSN":"0270-1367, 2168-3824","issue":"1","journalAbbreviation":"Research Quarterly for Exercise and Sport","language":"en","page":"103-111","source":"DOI.org (Crossref)","title":"A Comparison of Training and Competition Demands in Semiprofessional Male Basketball Players","volume":"89","author":[{"family":"Fox","given":"Jordan L."},{"family":"Stanton","given":"Robert"},{"family":"Scanlan","given":"Aaron T."}],"issued":{"date-parts":[["2018",1,2]]}}},{"id":201,"uris":["http://zotero.org/users/5493924/items/8IUU23BB"],"itemData":{"id":201,"type":"article-journal","abstract":"Limited research has paralleled concomitant changes in external training load (eTL) and countermovement jump (CMJ) performance. Therefore, this investigation characterized eTL and CMJ performance changes across preseason training in Division 1 male collegiate basketball athletes, while examining the influence of position (Guard vs. Forward/Center) and scholarship status (Scholarship = S vs. Walk-on = WO). During 22 practices, eTL was monitored in 14 male athletes, with weekly CMJs performed to quantify neuromuscular performance (Jump Height [JH], Flight Time:Contraction Time [FT:CT], Reactive Strength Index Modified [RSIMod ]). PlayerLoad per minute was significantly higher during W1 and W2 (5.4 ± 1.3au and 5.3 ± 1.2au, respectively; p &lt; 0.05) compared to subsequent weeks, but no additional differences in eTL parameters across time were observed. Scholarship athletes displayed greater PlayerLoad (S = 777.1 ± 35.6, WO = 530.1 ± 56.20; Inertial Movement Analysis (IMA) IMA_High (S = 70.9 ± 15.2, WO = 41.3 ± 15.2); IMA_Medium (S = 159.9 ± 30.7, WO = 92.7 ± 30.6); and IMA_Low (S = 700.6 ± 105.1, WO = 405 ± 105.0;) (p &lt; 0.05), with no observed differences in eTL by position. Moderate decreases in FT:CT and RSIMod paralleled increased eTL. Significant increases in practice intensity (W1 and W2) did not impact CMJ performance, suggesting athletes could cope with the prescribed training loads. However, moderate perturbations in FT:CT and RSIMod paralleled the weeks with intensified training. Cumulatively, scholarship status appears to influence eTL while player position does not.","container-title":"Journal of Sports Science &amp; Medicine","DOI":"10.1249/01.mss.0000560595.64671.b6","ISSN":"1530-0315, 0195-9131","issue":"6S","journalAbbreviation":"J Sports Sci Med","language":"en","page":"35-35","source":"DOI.org (Crossref)","title":"Monitoring external training loads and neuromuscular performance for Division I basketball players over the pre-season","title-short":"Monitoring External Training Loads and Neuromuscular Performance For Division I Basketball Players Over the Pre-Season","volume":"51","author":[{"family":"Heishman","given":"Aaron"},{"family":"Miller","given":"Ryan M."},{"family":"Freitas","given":"Eduardo D.S."},{"family":"Brown","given":"Brady S."},{"family":"Daub","given":"Bryce D."},{"family":"Bemben","given":"Michael G."}],"issued":{"date-parts":[["2019",6]]}}},{"id":203,"uris":["http://zotero.org/users/5493924/items/5RU3S6VS"],"itemData":{"id":203,"type":"article-journal","container-title":"Journal of Strength and Conditioning Research","DOI":"10.1519/JSC.0b013e3181d7552a","ISSN":"1064-8011","issue":"5","journalAbbreviation":"J Strength Cond.","language":"en","page":"1399-1406","source":"DOI.org (Crossref)","title":"Profile of weekly training load in elite male professional basketball players","volume":"24","author":[{"family":"Manzi","given":"Vincenzo"},{"family":"D'Ottavio","given":"Stefano"},{"family":"Impellizzeri","given":"Franco M"},{"family":"Chaouachi","given":"Anis"},{"family":"Chamari","given":"Karim"},{"family":"Castagna","given":"Carlo"}],"issued":{"date-parts":[["2010",5]]}}},{"id":199,"uris":["http://zotero.org/users/5493924/items/533F42F3"],"itemData":{"id":199,"type":"article-journal","abstract":"One of the main challenges in sports coaching is to monitor com­ petitive performance in order to adjust training load. The purpose of this study was to evaluate how playing position, game period and playing time influenced the physical demands of youth basket­ ball players. Six measures of external load (total distance covered, high-speed distance, number of accelerations, decelerations, jumps and player load) were collected from 48 youth basketball players, over the course of a short tournament, through the use of a local positioning tracking system (WIMUPROTM). Player activity profiles were analysed in function of i) player position (guard, forward and centers), ii) game period (Q1, Q2, Q3, Q4) and iii) playing time (important players vs less important players). Forwards presented a greater level of variability in the external load measures while guards were the most stable players throughout the game. An increase in the level of variability of players’ workloads was observed during the game, especially from periods Q1 to Q3 and Q3 to Q4. The number of jumps per minute emerged as the variable with greater variation in association with playing time. Our results provide further support for the importance of considering perfor­ mance variability for the design of individual training loads.","container-title":"International Journal of Performance Analysis in Sport","DOI":"10.1080/24748668.2020.1818973","ISSN":"2474-8668, 1474-8185","issue":"6","journalAbbreviation":"Int J Perform Anal Sport.","language":"en","page":"917-930","source":"DOI.org (Crossref)","title":"How external load of youth basketball players varies according to playing position, game period and playing time","volume":"20","author":[{"family":"Reina","given":"María"},{"family":"García-Rubio","given":"Javier"},{"family":"Esteves","given":"Pedro T."},{"family":"Ibáñez","given":"Sergio J."}],"issued":{"date-parts":[["2020",11,1]]}}}],"schema":"https://github.com/citation-style-language/schema/raw/master/csl-citation.json"} </w:instrText>
      </w:r>
      <w:r w:rsidRPr="00DA5FAE">
        <w:rPr>
          <w:rFonts w:ascii="Times" w:hAnsi="Times"/>
          <w:color w:val="000000" w:themeColor="text1"/>
        </w:rPr>
        <w:fldChar w:fldCharType="separate"/>
      </w:r>
      <w:r w:rsidR="007912F9">
        <w:rPr>
          <w:rFonts w:ascii="Times" w:hAnsi="Times"/>
          <w:noProof/>
          <w:color w:val="000000" w:themeColor="text1"/>
        </w:rPr>
        <w:t>(J. L. Fox et al., 2018; Heishman et al., 2019; Manzi et al., 2010; Reina et al., 2020)</w:t>
      </w:r>
      <w:r w:rsidRPr="00DA5FAE">
        <w:rPr>
          <w:rFonts w:ascii="Times" w:hAnsi="Times"/>
          <w:color w:val="000000" w:themeColor="text1"/>
        </w:rPr>
        <w:fldChar w:fldCharType="end"/>
      </w:r>
      <w:r w:rsidRPr="00DA5FAE">
        <w:rPr>
          <w:rFonts w:ascii="Times" w:hAnsi="Times"/>
          <w:color w:val="000000" w:themeColor="text1"/>
        </w:rPr>
        <w:t xml:space="preserve">. More specifically, there are a number of studies that examine loads (both internal and external) across different phases of a competitive season in both male and female NCAA Division I college basketball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{"citationID":"9X7H6PJA","properties":{"formattedCitation":"(Conte et al., 2018; Heishman et al., 2019, 2020; Olthof et al., 2021; Peterson &amp; Quiggle, 2017; Ransdell et al., 2020; Stone et al., 2022)","plainCitation":"(Conte et al., 2018; Heishman et al., 2019, 2020; Olthof et al., 2021; Peterson &amp; Quiggle, 2017; Ransdell et al., 2020; Stone et al., 2022)","noteIndex":0},"citationItems":[{"id":234,"uris":["http://zotero.org/users/5493924/items/7Y4N7LK4"],"itemData":{"id":234,"type":"article-journal","abstract":"Purpose: this study aimed to characterize the weekly training load (TL) and well-being in college basketball players during the in-season phase. Methods: Ten (6 guards and 4 forwards) male basketball players (age: 20.9 ± 0.9 years; stature: 195.0 ± 8.2 cm; body mass: 91.3 ± 11.3 kg) from the same Division I National Collegiate Athletic Association team were recruited to participate in this study. Individualized training and game loads were assessed using the session rating of perceived exertion (sRPE) at the end of each training and game session, while well-being status was collected before each session. Weekly changes (%) in TL, acute:chronic workload ratio (ACWR) and well-being were determined. Differences in TL and well-being between starting and bench players and between 1-game and 2-game weeks were calculated using magnitude-based statistics. Results: Total weekly TL and ACWR demonstrated high week-to-week variation with spikes up to 226% and 220%, respectively. Starting players experienced a higher (most likely negative) total weekly TL and similar (unclear) well-being status compared to bench players. Game scheduling influenced TL with 1-game weeks demonstrating a higher (likely negative) total weekly TL and similar (most likely trivial) well-being status compared to 2-game weeks. Conclusions: These findings provide college basketball coaches information to optimize training strategies during the in-season phase. Basketball coaches should concurrently consider the number of weekly games and player status (starting vs. bench player) when creating individualized periodization plans, with increases in TL potentially needed in bench players, especially in 2-game weeks.","container-title":"International Journal of Sports Physiology and Performance","DOI":"10.1123/ijspp.2017-0689","ISSN":"1555-0265, 1555-0273","issue":"8","language":"en","page":"1067-1074","source":"DOI.org (Crossref)","title":"Monitoring Training Load and Well-Being During the In-Season Phase in National Collegiate Athletic Association Division I Men’s Basketball","volume":"13","author":[{"family":"Conte","given":"Daniele"},{"family":"Kolb","given":"Nicholas"},{"family":"Scanlan","given":"Aaron T."},{"family":"Santolamazza","given":"Fabrizio"}],"issued":{"date-parts":[["2018",9,1]]}}},{"id":201,"uris":["http://zotero.org/users/5493924/items/8IUU23BB"],"itemData":{"id":201,"type":"article-journal","abstract":"Limited research has paralleled concomitant changes in external training load (eTL) and countermovement jump (CMJ) performance. Therefore, this investigation characterized eTL and CMJ performance changes across preseason training in Division 1 male collegiate basketball athletes, while examining the influence of position (Guard vs. Forward/Center) and scholarship status (Scholarship = S vs. Walk-on = WO). During 22 practices, eTL was monitored in 14 male athletes, with weekly CMJs performed to quantify neuromuscular performance (Jump Height [JH], Flight Time:Contraction Time [FT:CT], Reactive Strength Index Modified [RSIMod ]). PlayerLoad per minute was significantly higher during W1 and W2 (5.4 ± 1.3au and 5.3 ± 1.2au, respectively; p &lt; 0.05) compared to subsequent weeks, but no additional differences in eTL parameters across time were observed. Scholarship athletes displayed greater PlayerLoad (S = 777.1 ± 35.6, WO = 530.1 ± 56.20; Inertial Movement Analysis (IMA) IMA_High (S = 70.9 ± 15.2, WO = 41.3 ± 15.2); IMA_Medium (S = 159.9 ± 30.7, WO = 92.7 ± 30.6); and IMA_Low (S = 700.6 ± 105.1, WO = 405 ± 105.0;) (p &lt; 0.05), with no observed differences in eTL by position. Moderate decreases in FT:CT and RSIMod paralleled increased eTL. Significant increases in practice intensity (W1 and W2) did not impact CMJ performance, suggesting athletes could cope with the prescribed training loads. However, moderate perturbations in FT:CT and RSIMod paralleled the weeks with intensified training. Cumulatively, scholarship status appears to influence eTL while player position does not.","container-title":"Journal of Sports Science &amp; Medicine","DOI":"10.1249/01.mss.0000560595.64671.b6","ISSN":"1530-0315, 0195-9131","issue":"6S","journalAbbreviation":"J Sports Sci Med","language":"en","page":"35-35","source":"DOI.org (Crossref)","title":"Monitoring external training loads and neuromuscular performance for Division I basketball players over the pre-season","title-short":"Monitoring External Training Loads and Neuromuscular Performance For Division I Basketball Players Over the Pre-Season","volume":"51","author":[{"family":"Heishman","given":"Aaron"},{"family":"Miller","given":"Ryan M."},{"family":"Freitas","given":"Eduardo D.S."},{"family":"Brown","given":"Brady S."},{"family":"Daub","given":"Bryce D."},{"family":"Bemben","given":"Michael G."}],"issued":{"date-parts":[["2019",6]]}}},{"id":232,"uris":["http://zotero.org/users/5493924/items/VK7YXZIX"],"itemData":{"id":232,"type":"article-journal","abstract":"Monitoring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w:instrText>
      </w:r>
      <w:r>
        <w:rPr>
          <w:color w:val="000000" w:themeColor="text1"/>
        </w:rPr>
        <w:instrText>ﬀ</w:instrText>
      </w:r>
      <w:r>
        <w:rPr>
          <w:rFonts w:ascii="Times" w:hAnsi="Times"/>
          <w:color w:val="000000" w:themeColor="text1"/>
        </w:rPr>
        <w:instrText>-season training phase. A one-way analysis of variance was used to test di</w:instrText>
      </w:r>
      <w:r>
        <w:rPr>
          <w:color w:val="000000" w:themeColor="text1"/>
        </w:rPr>
        <w:instrText>ﬀ</w:instrText>
      </w:r>
      <w:r>
        <w:rPr>
          <w:rFonts w:ascii="Times" w:hAnsi="Times"/>
          <w:color w:val="000000" w:themeColor="text1"/>
        </w:rPr>
        <w:instrText>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w:instrText>
      </w:r>
      <w:r>
        <w:rPr>
          <w:color w:val="000000" w:themeColor="text1"/>
        </w:rPr>
        <w:instrText>ﬀ</w:instrText>
      </w:r>
      <w:r>
        <w:rPr>
          <w:rFonts w:ascii="Times" w:hAnsi="Times"/>
          <w:color w:val="000000" w:themeColor="text1"/>
        </w:rPr>
        <w:instrText xml:space="preserve">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id":251,"uris":["http://zotero.org/users/5493924/items/V9RLRTET"],"itemData":{"id":251,"type":"article-journal","abstract":"Basketball games and training sessions are characterized by quick actions and many scoring attempts, which pose biomechanical loads on the bodies of the players. Inertial Measurement Units (IMUs) capture these biomechanical loads as PlayerLoad and Inertial Movement Analysis (IMA) and teams collect those data to monitor adaptations to training schedules. However, the association of biomechanical loads with game performance is a relatively unexplored area. The aims of the current study were to determine the statistical relations between biomechanical loads in games and training with game performance. Biomechanical training and game load measures and player-level and team-level game stats from one college basketball team of two seasons were included in the dataset. The training loads were obtained on the days before gameday. A three-step analysis pipeline modeled: (i) relations between team-level game stats and the win/loss probabilities of the team, (ii) associations between the player-level training and game loads and their game stats, and (iii) associations between player-level training loads and game loads. The results showed that offensive and defensive game stats increased the odds of winning, but several stats were subject to positional and individual performance variability. Further analyses, therefore, included total points [PTS], two-point ﬁeld goals, and defensive rebounds (DEF REB) that were less subject to those inﬂuences. Increases in game loads were signiﬁcantly associated with game stats. In addition, training loads signiﬁcantly affected the game loads in the following game. In particular, increased loads 2 days before the game resulted in increased expected game loads. Those ﬁndings suggested that biomechanical loads were good predictors for game performance. Speciﬁcally, the game loads were good predictors for game stats, and training loads 2 days before gameday were good predictors for the expected game load. The current analyses accounted for the variation in loads of players and stats that enabled modeling the expected game performance for each individual. Coaches, trainers, and sports scientists can use these ﬁndings to further optimize training plans and possibly make in-game decisions for individual player performance.","container-title":"Frontiers in Sports and Active Living","DOI":"10.3389/fspor.2021.670018","ISSN":"2624-9367","journalAbbreviation":"Front. Sports Act. Living","language":"en","page":"670018","source":"DOI.org (Crossref)","title":"Biomechanical Loads and Their Effects on Player Performance in NCAA D-I Male Basketball Games","volume":"3","author":[{"family":"Olthof","given":"Sigrid B. H."},{"family":"Tureen","given":"Tahmeed"},{"family":"Tran","given":"Lam"},{"family":"Brennan","given":"Benjamin"},{"family":"Winograd","given":"Blair"},{"family":"Zernicke","given":"Ronald F."}],"issued":{"date-parts":[["2021",12,15]]}}},{"id":230,"uris":["http://zotero.org/users/5493924/items/9GN4VDCP"],"itemData":{"id":230,"type":"article-journal","abstract":"The purpose of the present study was to characterise the relationship between relative versus absolute internal and external loads in collegiate basketball players throughout the course of a season. Five Division I basketball players wore triaxial accelerometers throughout the 2015–2016 season and were tensiomyographically assessed weekly. One-way repeated-measure analysis of variance (RM ANOVA) with least-significant-difference (LSD) pairwise comparisons was used to determine which absolute weekly loads were different across the season. Cohen’s d was used to supplement the determination of meaningful relative load changes. Overall RM ANOVA models suggest absolute external load differences occurred (PlayerLoad™ F = 17.63; IMA™ F = 31.63). Two-way RM ANOVA models revealed main effect differences were revealed between muscle groups for Tc (F = 9.11) and Dm (F = 3.25). Meaningful relative load changes between weeks were observed for both external and internal. The present study observed that tensiomyography utilised as a tool to monitor internal load may be more suitable for detecting fatigue from relative external load changes versus absolute load attained. Limiting weekly training volume changes to ≤10% may maintain appropriate adaptation. Mediolateral plane IMA™ and adductor longus muscle group may be pertinent metrics when monitoring female collegiate basketball athletes.","container-title":"Journal of Sports Sciences","DOI":"10.1080/02640414.2016.1266378","ISSN":"0264-0414, 1466-447X","issue":"23","journalAbbreviation":"Journal of Sports Sciences","language":"en","page":"2334-2341","source":"DOI.org (Crossref)","title":"Tensiomyographical responses to accelerometer loads in female collegiate basketball players","volume":"35","author":[{"family":"Peterson","given":"Kyle D."},{"family":"Quiggle","given":"Gabriela T."}],"issued":{"date-parts":[["2017",12,2]]}}},{"id":228,"uris":["http://zotero.org/users/5493924/items/ENS2WP2R"],"itemData":{"id":228,"type":"article-journal","abstract":"Ransdell, LB, Murray, T, Gao, Y, Jones, P, and Bycura, D. A 4-year profile of game demands in elite women’s Division I college basketball. J Strength Cond Res 34(3): 632–638, 2020—Workload for a Division I women’s collegiate basketball team (0.817 win percentage) was examined by: (a) season, (b) player position, and (c) game outcome (wins vs. losses). Female athletes (n 5 6, mean 19.7 6 1.5 years, at beginning of study) wore Catapult S5 units during 91.8% of games over a 4-year period. Average PlayerLoad, PlayerLoad per minute (PL·min21), high inertial movement analysis (high-IMA), and jumps were quantified using Catapult Openfield software (version 1.14.1+). Data were checked for normality and log- or square-root-transformed when they were non-normal. A series of linear mixed model analyses were conducted to detect differences in PlayerLoad, PL·min21, high-IMA, and jumps by season, position, and game outcome. PL·min21 and jumps data were not normal, so they were transformed, analyses were run; because there were no differences in findings, data are reported in original units to allow for comparisons with other studies. Cohen’s d and confidence intervals were provided as additional information about the strength of reported differences. The 3 most consistent findings were that across a 4-year period, jumps increased, PL·min21 was higher in guards compared with posts, and high-IMA was higher in losses compared with wins. Other workload patterns were inconsistent, and inappropriate for making conclusive statements. Therefore, comparing jumps across multiple seasons, PL·min21 by player position and high-IMA in losses are important; in addition, all data can be used to profile National Collegiate Athletic Association Division I women’s basketball players and set game workload expectations.","container-title":"Journal of Strength and Conditioning Research","DOI":"10.1519/JSC.0000000000003425","ISSN":"1064-8011","issue":"3","language":"en","page":"632-638","source":"DOI.org (Crossref)","title":"A 4-Year Profile of Game Demands in Elite Women's Division I College Basketball","volume":"34","author":[{"family":"Ransdell","given":"Lynda B."},{"family":"Murray","given":"Teena"},{"family":"Gao","given":"Yong"},{"family":"Jones","given":"Paul"},{"family":"Bycura","given":"Dierdra"}],"issued":{"date-parts":[["2020",3]]}}},{"id":249,"uris":["http://zotero.org/users/5493924/items/YXE5B67T"],"itemData":{"id":249,"type":"article-journal","abstract":"The primary purpose was to simplify external load data obtained during Division-I (DI) basketball competitions via principal component analysis (PCA). A secondary purpose was to determine if the PCA results were sensitive to load demands of different positional groups (POS). Data comprised 229 observations obtained from 10 men’s basketball athletes participating in NCAA DI competitions. Each athlete donned an inertial measurement unit that was afﬁxed to the same location on their shorts prior to competition. The PCA revealed two factors that possessed eigenvalues &gt;1.0 and explained 81.42% of the total variance. The ﬁrst factor comprised total decelerations (totDEC, 0.94), average speed (avgSPD, 0.90), total accelerations (totACC, 0.85), total mechanical load (totMECH, 0.84), and total jump load (totJUMP, 0.78). Maximum speed (maxSPD, 0.94) was the lone contributor to the second factor. Based on the PCA, external load variables were included in a multinomial logistic regression that predicted POS (Overall model, p &lt; 0.0001; AUCcenters = 0.93, AUCguards = 0.88, AUCforwards = 0.80), but only maxSPD, totDEC, totJUMP, and totMECH were signiﬁcant contributors to the model’s success (p &lt; 0.0001 for each). Even with the high signiﬁcance, the model still had some issues differentiating between guards and forwards, as in-game demands often overlap between the two positions. Nevertheless, the PCA was effective at simplifying a large external load dataset collected on NCAA DI men’s basketball athletes. These data revealed that maxSPD, totDEC, totJUMP, and totMECH were the most sensitive to positional differences during competitions. To best characterize competition demands, such variables may be used to individualize training and recovery regimens most effectively.","container-title":"Frontiers in Sports and Active Living","DOI":"10.3389/fspor.2022.795897","ISSN":"2624-9367","journalAbbreviation":"Front. Sports Act. Living","language":"en","page":"795897","source":"DOI.org (Crossref)","title":"Simplifying External Load Data in NCAA Division-I Men's Basketball Competitions: A Principal Component Analysis","title-short":"Simplifying External Load Data in NCAA Division-I Men's Basketball Competitions","volume":"4","author":[{"family":"Stone","given":"Jason D."},{"family":"Merrigan","given":"Justin J."},{"family":"Ramadan","given":"Jad"},{"family":"Brown","given":"Robert Shaun"},{"family":"Cheng","given":"Gerald T."},{"family":"Hornsby","given":"W. Guy"},{"family":"Smith","given":"Holden"},{"family":"Galster","given":"Scott M."},{"family":"Hagen","given":"Joshua A."}],"issued":{"date-parts":[["2022",2,16]]}}}],"schema":"https://github.com/citation-style-language/schema/raw/master/csl-citation.json"}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(Conte et al., 2018; Heishman et al., 2019, 2020; Olthof et al., 2021; Peterson &amp; Quiggle, 2017; Ransdell et al., 2020; Stone et al., 2022)</w:t>
      </w:r>
      <w:r w:rsidRPr="00DA5FAE">
        <w:rPr>
          <w:rFonts w:ascii="Times" w:hAnsi="Times"/>
          <w:color w:val="000000" w:themeColor="text1"/>
        </w:rPr>
        <w:fldChar w:fldCharType="end"/>
      </w:r>
      <w:r w:rsidRPr="00DA5FAE">
        <w:rPr>
          <w:rFonts w:ascii="Times" w:hAnsi="Times"/>
          <w:color w:val="000000" w:themeColor="text1"/>
        </w:rPr>
        <w:t>.</w:t>
      </w:r>
      <w:r w:rsidR="00F3089D">
        <w:rPr>
          <w:rFonts w:ascii="Times" w:hAnsi="Times"/>
          <w:color w:val="000000" w:themeColor="text1"/>
        </w:rPr>
        <w:t xml:space="preserve"> In addition to quantifying the loads experienced by professional basketball players, practitioners have also attempted to differentiate the physical demands of practice drills relative to the demands of competition</w:t>
      </w:r>
      <w:r w:rsidR="002A155D">
        <w:rPr>
          <w:rFonts w:ascii="Times" w:hAnsi="Times"/>
          <w:color w:val="000000" w:themeColor="text1"/>
        </w:rPr>
        <w:t xml:space="preserve"> </w:t>
      </w:r>
      <w:r w:rsidR="002A155D">
        <w:rPr>
          <w:rFonts w:ascii="Times" w:hAnsi="Times"/>
          <w:color w:val="000000" w:themeColor="text1"/>
        </w:rPr>
        <w:fldChar w:fldCharType="begin"/>
      </w:r>
      <w:r w:rsidR="002A155D">
        <w:rPr>
          <w:rFonts w:ascii="Times" w:hAnsi="Times"/>
          <w:color w:val="000000" w:themeColor="text1"/>
        </w:rPr>
        <w:instrText xml:space="preserve"> ADDIN ZOTERO_ITEM CSL_CITATION {"citationID":"wfig8WoI","properties":{"formattedCitation":"(Vazquez-Guerrero et al., 2020)","plainCitation":"(Vazquez-Guerrero et al., 2020)","noteIndex":0},"citationItems":[{"id":406,"uris":["http://zotero.org/users/5493924/items/XW82VAMJ"],"itemData":{"id":406,"type":"article-journal","container-title":"Journal of Strength and Conditioning Research","DOI":"10.1519/JSC.0000000000002761","ISSN":"1064-8011","issue":"11","language":"en","page":"3217-3224","source":"DOI.org (Crossref)","title":"Changes in External Load When Modifying Rules of 5-on-5 Scrimmage Situations in Elite Basketball","volume":"34","author":[{"family":"Vazquez-Guerrero","given":"Jairo"},{"family":"Reche","given":"Xavi"},{"family":"Cos","given":"Francesc"},{"family":"Casamichana","given":"David"},{"family":"Sampaio","given":"Jaime"}],"issued":{"date-parts":[["2020",11]]}}}],"schema":"https://github.com/citation-style-language/schema/raw/master/csl-citation.json"} </w:instrText>
      </w:r>
      <w:r w:rsidR="002A155D">
        <w:rPr>
          <w:rFonts w:ascii="Times" w:hAnsi="Times"/>
          <w:color w:val="000000" w:themeColor="text1"/>
        </w:rPr>
        <w:fldChar w:fldCharType="separate"/>
      </w:r>
      <w:r w:rsidR="002A155D">
        <w:rPr>
          <w:rFonts w:ascii="Times" w:hAnsi="Times"/>
          <w:noProof/>
          <w:color w:val="000000" w:themeColor="text1"/>
        </w:rPr>
        <w:t>(Vazquez-Guerrero et al., 2020)</w:t>
      </w:r>
      <w:r w:rsidR="002A155D">
        <w:rPr>
          <w:rFonts w:ascii="Times" w:hAnsi="Times"/>
          <w:color w:val="000000" w:themeColor="text1"/>
        </w:rPr>
        <w:fldChar w:fldCharType="end"/>
      </w:r>
      <w:r w:rsidR="00F3089D">
        <w:rPr>
          <w:rFonts w:ascii="Times" w:hAnsi="Times"/>
          <w:color w:val="000000" w:themeColor="text1"/>
        </w:rPr>
        <w:t>. This understanding of the differences between game and practice demands may be beneficial to practitioners, as the ability to appropriately structure training sessions to replicate the most demanding portions of competition (an idea known as the “worst-case scenario”) has gained traction in the literature as an effect</w:t>
      </w:r>
      <w:r w:rsidR="00A81800">
        <w:rPr>
          <w:rFonts w:ascii="Times" w:hAnsi="Times"/>
          <w:color w:val="000000" w:themeColor="text1"/>
        </w:rPr>
        <w:t>ive</w:t>
      </w:r>
      <w:r w:rsidR="00F3089D">
        <w:rPr>
          <w:rFonts w:ascii="Times" w:hAnsi="Times"/>
          <w:color w:val="000000" w:themeColor="text1"/>
        </w:rPr>
        <w:t xml:space="preserve"> strategy for physical preparation</w:t>
      </w:r>
      <w:r w:rsidR="008E7F85">
        <w:rPr>
          <w:rFonts w:ascii="Times" w:hAnsi="Times"/>
          <w:color w:val="000000" w:themeColor="text1"/>
        </w:rPr>
        <w:t xml:space="preserve"> </w:t>
      </w:r>
      <w:r w:rsidR="008E7F85">
        <w:rPr>
          <w:rFonts w:ascii="Times" w:hAnsi="Times"/>
          <w:color w:val="000000" w:themeColor="text1"/>
        </w:rPr>
        <w:fldChar w:fldCharType="begin"/>
      </w:r>
      <w:r w:rsidR="008E7F85">
        <w:rPr>
          <w:rFonts w:ascii="Times" w:hAnsi="Times"/>
          <w:color w:val="000000" w:themeColor="text1"/>
        </w:rPr>
        <w:instrText xml:space="preserve"> ADDIN ZOTERO_ITEM CSL_CITATION {"citationID":"jzDnZcAf","properties":{"formattedCitation":"(Novak et al., 2021)","plainCitation":"(Novak et al., 2021)","noteIndex":0},"citationItems":[{"id":398,"uris":["http://zotero.org/users/5493924/items/TZBFMD7P"],"itemData":{"id":398,"type":"article-journal","abstract":"This study investigated the variability in the worst-case scenario (WCS) and suggested a framework to improve the definition and guide further investigation. Optical tracking data from 26 male players across 38 matches were analysed to determine the WCS for total distance, high-speed running (&gt;5.5 m.s−1) and sprinting (&gt;7.0 m.s−1) using a 3-minute rolling window. Position, total output, previous epoch, match half, time of occurrence, classification of starter vs substitute, and minutes played were modelled as selected contextual factors hypothesized to have associations with the WCS. Linear mixed effects models were used to account for cross-sectional observations and repeated measures. Unexplained variance remained high (total distance R2 = 0.53, high-speed running R2 = 0.53 and sprinting R2 = 0.40). Intra-individual variability was also high (total distance CV = 4.6–8.2%; high-speed CV = 15.6–37.8% and Sprinting CV = 21.1–76.4%). The WCS defined as the maximal physical load in a given time-window, produces unstable metrics lacking context, with high variability. Furthermore, training drills targetting this metric concur­ rently across players may not have representative designs and may underprepare athletes for complete match demands and multifaceted WCS scenarios. Using WCS as benchmarks (reproducing similar physical activity for training purposes) is conceptually questionable.","container-title":"Journal of Sports Sciences","DOI":"10.1080/02640414.2021.1902138","ISSN":"0264-0414, 1466-447X","issue":"16","journalAbbreviation":"Journal of Sports Sciences","language":"en","page":"1850-1859","source":"DOI.org (Crossref)","title":"Analysis of the worst-case scenarios in an elite football team: Towards a better understanding and application","title-short":"Analysis of the worst-case scenarios in an elite football team","volume":"39","author":[{"family":"Novak","given":"Andrew R."},{"family":"Impellizzeri","given":"Franco M."},{"family":"Trivedi","given":"Arjav"},{"family":"Coutts","given":"Aaron J."},{"family":"McCall","given":"Alan"}],"issued":{"date-parts":[["2021",8,18]]}}}],"schema":"https://github.com/citation-style-language/schema/raw/master/csl-citation.json"} </w:instrText>
      </w:r>
      <w:r w:rsidR="008E7F85">
        <w:rPr>
          <w:rFonts w:ascii="Times" w:hAnsi="Times"/>
          <w:color w:val="000000" w:themeColor="text1"/>
        </w:rPr>
        <w:fldChar w:fldCharType="separate"/>
      </w:r>
      <w:r w:rsidR="008E7F85">
        <w:rPr>
          <w:rFonts w:ascii="Times" w:hAnsi="Times"/>
          <w:noProof/>
          <w:color w:val="000000" w:themeColor="text1"/>
        </w:rPr>
        <w:t>(Novak et al., 2021)</w:t>
      </w:r>
      <w:r w:rsidR="008E7F85">
        <w:rPr>
          <w:rFonts w:ascii="Times" w:hAnsi="Times"/>
          <w:color w:val="000000" w:themeColor="text1"/>
        </w:rPr>
        <w:fldChar w:fldCharType="end"/>
      </w:r>
      <w:r w:rsidR="00A81800">
        <w:rPr>
          <w:rFonts w:ascii="Times" w:hAnsi="Times"/>
          <w:color w:val="000000" w:themeColor="text1"/>
        </w:rPr>
        <w:t>.</w:t>
      </w:r>
    </w:p>
    <w:p w14:paraId="698498FF" w14:textId="533482B8"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rPr>
        <w:lastRenderedPageBreak/>
        <w:tab/>
        <w:t xml:space="preserve">While </w:t>
      </w:r>
      <w:r w:rsidR="00F3089D">
        <w:rPr>
          <w:rFonts w:ascii="Times" w:hAnsi="Times"/>
          <w:color w:val="000000" w:themeColor="text1"/>
        </w:rPr>
        <w:t xml:space="preserve">the overall training load </w:t>
      </w:r>
      <w:r w:rsidRPr="00DA5FAE">
        <w:rPr>
          <w:rFonts w:ascii="Times" w:hAnsi="Times"/>
          <w:color w:val="000000" w:themeColor="text1"/>
        </w:rPr>
        <w:t>studies do examine loads at different points of a competitive season (pre-season, in-season, etc.) or on different days</w:t>
      </w:r>
      <w:r>
        <w:rPr>
          <w:rFonts w:ascii="Times" w:hAnsi="Times"/>
          <w:color w:val="000000" w:themeColor="text1"/>
        </w:rPr>
        <w:t xml:space="preserve"> </w:t>
      </w:r>
      <w:r w:rsidR="00FB1E13">
        <w:rPr>
          <w:rFonts w:ascii="Times" w:hAnsi="Times"/>
          <w:color w:val="000000" w:themeColor="text1"/>
        </w:rPr>
        <w:t>(</w:t>
      </w:r>
      <w:r>
        <w:rPr>
          <w:rFonts w:ascii="Times" w:hAnsi="Times"/>
          <w:color w:val="000000" w:themeColor="text1"/>
        </w:rPr>
        <w:t>such as game or practice days</w:t>
      </w:r>
      <w:r w:rsidR="00FB1E13">
        <w:rPr>
          <w:rFonts w:ascii="Times" w:hAnsi="Times"/>
          <w:color w:val="000000" w:themeColor="text1"/>
        </w:rPr>
        <w:t>)</w:t>
      </w:r>
      <w:r>
        <w:rPr>
          <w:rFonts w:ascii="Times" w:hAnsi="Times"/>
          <w:color w:val="000000" w:themeColor="text1"/>
        </w:rPr>
        <w:t xml:space="preserve">, </w:t>
      </w:r>
      <w:r w:rsidRPr="00DA5FAE">
        <w:rPr>
          <w:rFonts w:ascii="Times" w:hAnsi="Times"/>
          <w:color w:val="000000" w:themeColor="text1"/>
        </w:rPr>
        <w:t xml:space="preserve">there are significant gaps in the research regarding external load and college basketball players. To the authors knowledge, there are currently no </w:t>
      </w:r>
      <w:r w:rsidR="002A155D">
        <w:rPr>
          <w:rFonts w:ascii="Times" w:hAnsi="Times"/>
          <w:color w:val="000000" w:themeColor="text1"/>
        </w:rPr>
        <w:t xml:space="preserve">published </w:t>
      </w:r>
      <w:r w:rsidRPr="00DA5FAE">
        <w:rPr>
          <w:rFonts w:ascii="Times" w:hAnsi="Times"/>
          <w:color w:val="000000" w:themeColor="text1"/>
        </w:rPr>
        <w:t xml:space="preserve">studies in the literature that examine external training load </w:t>
      </w:r>
      <w:r w:rsidR="00FB1E13">
        <w:rPr>
          <w:rFonts w:ascii="Times" w:hAnsi="Times"/>
          <w:color w:val="000000" w:themeColor="text1"/>
        </w:rPr>
        <w:t>with</w:t>
      </w:r>
      <w:r w:rsidRPr="00DA5FAE">
        <w:rPr>
          <w:rFonts w:ascii="Times" w:hAnsi="Times"/>
          <w:color w:val="000000" w:themeColor="text1"/>
        </w:rPr>
        <w:t xml:space="preserve"> the use of LPS over the course of an entire NCAA Division I Men’s Basketball season.</w:t>
      </w:r>
      <w:r w:rsidR="008E7F85">
        <w:rPr>
          <w:rFonts w:ascii="Times" w:hAnsi="Times"/>
          <w:color w:val="000000" w:themeColor="text1"/>
        </w:rPr>
        <w:t xml:space="preserve"> </w:t>
      </w:r>
      <w:r w:rsidR="00A81800">
        <w:rPr>
          <w:rFonts w:ascii="Times" w:hAnsi="Times"/>
          <w:color w:val="000000" w:themeColor="text1"/>
        </w:rPr>
        <w:t xml:space="preserve">Although there have been attempts to answer this question, studies have only been able to assess season long demands with subjective measures of load </w:t>
      </w:r>
      <w:r w:rsidR="00A81800">
        <w:rPr>
          <w:rFonts w:ascii="Times" w:hAnsi="Times"/>
          <w:color w:val="000000" w:themeColor="text1"/>
        </w:rPr>
        <w:fldChar w:fldCharType="begin"/>
      </w:r>
      <w:r w:rsidR="00A81800">
        <w:rPr>
          <w:rFonts w:ascii="Times" w:hAnsi="Times"/>
          <w:color w:val="000000" w:themeColor="text1"/>
        </w:rPr>
        <w:instrText xml:space="preserve"> ADDIN ZOTERO_ITEM CSL_CITATION {"citationID":"Nj4ZaMuw","properties":{"formattedCitation":"(Conte et al., 2018)","plainCitation":"(Conte et al., 2018)","noteIndex":0},"citationItems":[{"id":234,"uris":["http://zotero.org/users/5493924/items/7Y4N7LK4"],"itemData":{"id":234,"type":"article-journal","abstract":"Purpose: this study aimed to characterize the weekly training load (TL) and well-being in college basketball players during the in-season phase. Methods: Ten (6 guards and 4 forwards) male basketball players (age: 20.9 ± 0.9 years; stature: 195.0 ± 8.2 cm; body mass: 91.3 ± 11.3 kg) from the same Division I National Collegiate Athletic Association team were recruited to participate in this study. Individualized training and game loads were assessed using the session rating of perceived exertion (sRPE) at the end of each training and game session, while well-being status was collected before each session. Weekly changes (%) in TL, acute:chronic workload ratio (ACWR) and well-being were determined. Differences in TL and well-being between starting and bench players and between 1-game and 2-game weeks were calculated using magnitude-based statistics. Results: Total weekly TL and ACWR demonstrated high week-to-week variation with spikes up to 226% and 220%, respectively. Starting players experienced a higher (most likely negative) total weekly TL and similar (unclear) well-being status compared to bench players. Game scheduling influenced TL with 1-game weeks demonstrating a higher (likely negative) total weekly TL and similar (most likely trivial) well-being status compared to 2-game weeks. Conclusions: These findings provide college basketball coaches information to optimize training strategies during the in-season phase. Basketball coaches should concurrently consider the number of weekly games and player status (starting vs. bench player) when creating individualized periodization plans, with increases in TL potentially needed in bench players, especially in 2-game weeks.","container-title":"International Journal of Sports Physiology and Performance","DOI":"10.1123/ijspp.2017-0689","ISSN":"1555-0265, 1555-0273","issue":"8","language":"en","page":"1067-1074","source":"DOI.org (Crossref)","title":"Monitoring Training Load and Well-Being During the In-Season Phase in National Collegiate Athletic Association Division I Men’s Basketball","volume":"13","author":[{"family":"Conte","given":"Daniele"},{"family":"Kolb","given":"Nicholas"},{"family":"Scanlan","given":"Aaron T."},{"family":"Santolamazza","given":"Fabrizio"}],"issued":{"date-parts":[["2018",9,1]]}}}],"schema":"https://github.com/citation-style-language/schema/raw/master/csl-citation.json"} </w:instrText>
      </w:r>
      <w:r w:rsidR="00A81800">
        <w:rPr>
          <w:rFonts w:ascii="Times" w:hAnsi="Times"/>
          <w:color w:val="000000" w:themeColor="text1"/>
        </w:rPr>
        <w:fldChar w:fldCharType="separate"/>
      </w:r>
      <w:r w:rsidR="00A81800">
        <w:rPr>
          <w:rFonts w:ascii="Times" w:hAnsi="Times"/>
          <w:noProof/>
          <w:color w:val="000000" w:themeColor="text1"/>
        </w:rPr>
        <w:t>(Conte et al., 2018)</w:t>
      </w:r>
      <w:r w:rsidR="00A81800">
        <w:rPr>
          <w:rFonts w:ascii="Times" w:hAnsi="Times"/>
          <w:color w:val="000000" w:themeColor="text1"/>
        </w:rPr>
        <w:fldChar w:fldCharType="end"/>
      </w:r>
      <w:r w:rsidR="00A81800">
        <w:rPr>
          <w:rFonts w:ascii="Times" w:hAnsi="Times"/>
          <w:color w:val="000000" w:themeColor="text1"/>
        </w:rPr>
        <w:t xml:space="preserve">, or within select portions of the season </w:t>
      </w:r>
      <w:r w:rsidR="00A81800">
        <w:rPr>
          <w:rFonts w:ascii="Times" w:hAnsi="Times"/>
          <w:color w:val="000000" w:themeColor="text1"/>
        </w:rPr>
        <w:fldChar w:fldCharType="begin"/>
      </w:r>
      <w:r w:rsidR="00A81800">
        <w:rPr>
          <w:rFonts w:ascii="Times" w:hAnsi="Times"/>
          <w:color w:val="000000" w:themeColor="text1"/>
        </w:rPr>
        <w:instrText xml:space="preserve"> ADDIN ZOTERO_ITEM CSL_CITATION {"citationID":"xpUAsOpz","properties":{"formattedCitation":"(Heishman et al., 2019)","plainCitation":"(Heishman et al., 2019)","noteIndex":0},"citationItems":[{"id":201,"uris":["http://zotero.org/users/5493924/items/8IUU23BB"],"itemData":{"id":201,"type":"article-journal","abstract":"Limited research has paralleled concomitant changes in external training load (eTL) and countermovement jump (CMJ) performance. Therefore, this investigation characterized eTL and CMJ performance changes across preseason training in Division 1 male collegiate basketball athletes, while examining the influence of position (Guard vs. Forward/Center) and scholarship status (Scholarship = S vs. Walk-on = WO). During 22 practices, eTL was monitored in 14 male athletes, with weekly CMJs performed to quantify neuromuscular performance (Jump Height [JH], Flight Time:Contraction Time [FT:CT], Reactive Strength Index Modified [RSIMod ]). PlayerLoad per minute was significantly higher during W1 and W2 (5.4 ± 1.3au and 5.3 ± 1.2au, respectively; p &lt; 0.05) compared to subsequent weeks, but no additional differences in eTL parameters across time were observed. Scholarship athletes displayed greater PlayerLoad (S = 777.1 ± 35.6, WO = 530.1 ± 56.20; Inertial Movement Analysis (IMA) IMA_High (S = 70.9 ± 15.2, WO = 41.3 ± 15.2); IMA_Medium (S = 159.9 ± 30.7, WO = 92.7 ± 30.6); and IMA_Low (S = 700.6 ± 105.1, WO = 405 ± 105.0;) (p &lt; 0.05), with no observed differences in eTL by position. Moderate decreases in FT:CT and RSIMod paralleled increased eTL. Significant increases in practice intensity (W1 and W2) did not impact CMJ performance, suggesting athletes could cope with the prescribed training loads. However, moderate perturbations in FT:CT and RSIMod paralleled the weeks with intensified training. Cumulatively, scholarship status appears to influence eTL while player position does not.","container-title":"Journal of Sports Science &amp; Medicine","DOI":"10.1249/01.mss.0000560595.64671.b6","ISSN":"1530-0315, 0195-9131","issue":"6S","journalAbbreviation":"J Sports Sci Med","language":"en","page":"35-35","source":"DOI.org (Crossref)","title":"Monitoring external training loads and neuromuscular performance for Division I basketball players over the pre-season","title-short":"Monitoring External Training Loads and Neuromuscular Performance For Division I Basketball Players Over the Pre-Season","volume":"51","author":[{"family":"Heishman","given":"Aaron"},{"family":"Miller","given":"Ryan M."},{"family":"Freitas","given":"Eduardo D.S."},{"family":"Brown","given":"Brady S."},{"family":"Daub","given":"Bryce D."},{"family":"Bemben","given":"Michael G."}],"issued":{"date-parts":[["2019",6]]}}}],"schema":"https://github.com/citation-style-language/schema/raw/master/csl-citation.json"} </w:instrText>
      </w:r>
      <w:r w:rsidR="00A81800">
        <w:rPr>
          <w:rFonts w:ascii="Times" w:hAnsi="Times"/>
          <w:color w:val="000000" w:themeColor="text1"/>
        </w:rPr>
        <w:fldChar w:fldCharType="separate"/>
      </w:r>
      <w:r w:rsidR="00A81800">
        <w:rPr>
          <w:rFonts w:ascii="Times" w:hAnsi="Times"/>
          <w:noProof/>
          <w:color w:val="000000" w:themeColor="text1"/>
        </w:rPr>
        <w:t>(Heishman et al., 2019)</w:t>
      </w:r>
      <w:r w:rsidR="00A81800">
        <w:rPr>
          <w:rFonts w:ascii="Times" w:hAnsi="Times"/>
          <w:color w:val="000000" w:themeColor="text1"/>
        </w:rPr>
        <w:fldChar w:fldCharType="end"/>
      </w:r>
      <w:r w:rsidR="00A81800">
        <w:rPr>
          <w:rFonts w:ascii="Times" w:hAnsi="Times"/>
          <w:color w:val="000000" w:themeColor="text1"/>
        </w:rPr>
        <w:t>.</w:t>
      </w:r>
      <w:r w:rsidR="008E7F85">
        <w:rPr>
          <w:rFonts w:ascii="Times" w:hAnsi="Times"/>
          <w:color w:val="000000" w:themeColor="text1"/>
        </w:rPr>
        <w:t xml:space="preserve"> </w:t>
      </w:r>
      <w:r w:rsidR="00F3089D">
        <w:rPr>
          <w:rFonts w:ascii="Times" w:hAnsi="Times"/>
          <w:color w:val="000000" w:themeColor="text1"/>
        </w:rPr>
        <w:t xml:space="preserve">Furthermore, there </w:t>
      </w:r>
      <w:r w:rsidR="00A81800">
        <w:rPr>
          <w:rFonts w:ascii="Times" w:hAnsi="Times"/>
          <w:color w:val="000000" w:themeColor="text1"/>
        </w:rPr>
        <w:t>is limited research in examining</w:t>
      </w:r>
      <w:r w:rsidR="00F3089D">
        <w:rPr>
          <w:rFonts w:ascii="Times" w:hAnsi="Times"/>
          <w:color w:val="000000" w:themeColor="text1"/>
        </w:rPr>
        <w:t xml:space="preserve"> the difference between practice </w:t>
      </w:r>
      <w:r w:rsidR="00A81800">
        <w:rPr>
          <w:rFonts w:ascii="Times" w:hAnsi="Times"/>
          <w:color w:val="000000" w:themeColor="text1"/>
        </w:rPr>
        <w:t xml:space="preserve">and competition demands in basketball. </w:t>
      </w:r>
      <w:r>
        <w:rPr>
          <w:rFonts w:ascii="Times" w:hAnsi="Times"/>
          <w:color w:val="000000" w:themeColor="text1"/>
        </w:rPr>
        <w:t>T</w:t>
      </w:r>
      <w:r w:rsidRPr="00DA5FAE">
        <w:rPr>
          <w:rFonts w:ascii="Times" w:hAnsi="Times"/>
          <w:color w:val="000000" w:themeColor="text1"/>
        </w:rPr>
        <w:t xml:space="preserve">his gap in the research </w:t>
      </w:r>
      <w:r>
        <w:rPr>
          <w:rFonts w:ascii="Times" w:hAnsi="Times"/>
          <w:color w:val="000000" w:themeColor="text1"/>
        </w:rPr>
        <w:t>proves</w:t>
      </w:r>
      <w:r w:rsidRPr="00DA5FAE">
        <w:rPr>
          <w:rFonts w:ascii="Times" w:hAnsi="Times"/>
          <w:color w:val="000000" w:themeColor="text1"/>
        </w:rPr>
        <w:t xml:space="preserve"> a challenge to practitioners seeking to gain an understanding of the demands of NCAA Division I Men’s Basketball</w:t>
      </w:r>
      <w:r>
        <w:rPr>
          <w:rFonts w:ascii="Times" w:hAnsi="Times"/>
          <w:color w:val="000000" w:themeColor="text1"/>
        </w:rPr>
        <w:t xml:space="preserve"> and</w:t>
      </w:r>
      <w:r w:rsidRPr="00DA5FAE">
        <w:rPr>
          <w:rFonts w:ascii="Times" w:hAnsi="Times"/>
          <w:color w:val="000000" w:themeColor="text1"/>
        </w:rPr>
        <w:t xml:space="preserve"> </w:t>
      </w:r>
      <w:r>
        <w:rPr>
          <w:rFonts w:ascii="Times" w:hAnsi="Times"/>
          <w:color w:val="000000" w:themeColor="text1"/>
        </w:rPr>
        <w:t>was the impetus for</w:t>
      </w:r>
      <w:r w:rsidRPr="00DA5FAE">
        <w:rPr>
          <w:rFonts w:ascii="Times" w:hAnsi="Times"/>
          <w:color w:val="000000" w:themeColor="text1"/>
        </w:rPr>
        <w:t xml:space="preserve"> the development of this particular study. </w:t>
      </w:r>
    </w:p>
    <w:p w14:paraId="1EEE6780" w14:textId="77777777" w:rsidR="00E661DE" w:rsidRPr="00214302" w:rsidRDefault="00E661DE" w:rsidP="00E661DE">
      <w:pPr>
        <w:pStyle w:val="Heading1"/>
        <w:jc w:val="center"/>
        <w:rPr>
          <w:rFonts w:ascii="Times" w:hAnsi="Times" w:cs="Times New Roman"/>
          <w:color w:val="000000" w:themeColor="text1"/>
          <w:sz w:val="28"/>
          <w:szCs w:val="28"/>
        </w:rPr>
      </w:pPr>
      <w:r w:rsidRPr="00214302">
        <w:rPr>
          <w:rFonts w:ascii="Times" w:hAnsi="Times" w:cs="Times New Roman"/>
          <w:color w:val="000000" w:themeColor="text1"/>
          <w:sz w:val="28"/>
          <w:szCs w:val="28"/>
        </w:rPr>
        <w:t>Purpose</w:t>
      </w:r>
    </w:p>
    <w:p w14:paraId="3B054C74" w14:textId="77777777" w:rsidR="00E661DE" w:rsidRPr="00DA5FAE" w:rsidRDefault="00E661DE" w:rsidP="00E661DE">
      <w:pPr>
        <w:rPr>
          <w:rFonts w:ascii="Times" w:hAnsi="Times"/>
          <w:color w:val="000000" w:themeColor="text1"/>
        </w:rPr>
      </w:pPr>
    </w:p>
    <w:p w14:paraId="35C630C9" w14:textId="3326D495" w:rsidR="00177BC1" w:rsidRDefault="00E661DE" w:rsidP="00214302">
      <w:pPr>
        <w:spacing w:line="480" w:lineRule="auto"/>
        <w:ind w:firstLine="720"/>
        <w:rPr>
          <w:rFonts w:ascii="Times" w:hAnsi="Times"/>
          <w:color w:val="000000" w:themeColor="text1"/>
        </w:rPr>
      </w:pPr>
      <w:r w:rsidRPr="00DA5FAE">
        <w:rPr>
          <w:rFonts w:ascii="Times" w:hAnsi="Times"/>
          <w:color w:val="000000" w:themeColor="text1"/>
        </w:rPr>
        <w:t xml:space="preserve">The purpose of this study is to explore the training demands of athletes on an NCAA Division I Men’s Basketball team across a competitive season by utilizing an external load monitoring system to capture data during practices, and to use </w:t>
      </w:r>
      <w:r w:rsidR="00E7100B">
        <w:rPr>
          <w:rFonts w:ascii="Times" w:hAnsi="Times"/>
          <w:color w:val="000000" w:themeColor="text1"/>
        </w:rPr>
        <w:t>linear regression variants</w:t>
      </w:r>
      <w:r w:rsidRPr="00DA5FAE">
        <w:rPr>
          <w:rFonts w:ascii="Times" w:hAnsi="Times"/>
          <w:color w:val="000000" w:themeColor="text1"/>
        </w:rPr>
        <w:t xml:space="preserve"> to generate game data in order to develop a comprehensive profile of physical demands placed on NCAA DI Men’s Basketball athletes</w:t>
      </w:r>
      <w:r w:rsidR="00FB1E13">
        <w:rPr>
          <w:rFonts w:ascii="Times" w:hAnsi="Times"/>
          <w:color w:val="000000" w:themeColor="text1"/>
        </w:rPr>
        <w:t xml:space="preserve"> and measure differences in external loads during practice and competition</w:t>
      </w:r>
      <w:r w:rsidRPr="00DA5FAE">
        <w:rPr>
          <w:rFonts w:ascii="Times" w:hAnsi="Times"/>
          <w:color w:val="000000" w:themeColor="text1"/>
        </w:rPr>
        <w:t xml:space="preserve">. </w:t>
      </w:r>
    </w:p>
    <w:p w14:paraId="636BA9ED" w14:textId="5ABA3D15" w:rsidR="00E661DE" w:rsidRPr="00214302" w:rsidRDefault="00E661DE" w:rsidP="00E661DE">
      <w:pPr>
        <w:pStyle w:val="Heading1"/>
        <w:jc w:val="center"/>
        <w:rPr>
          <w:rFonts w:ascii="Times" w:hAnsi="Times" w:cs="Times New Roman"/>
          <w:color w:val="000000" w:themeColor="text1"/>
          <w:sz w:val="28"/>
          <w:szCs w:val="28"/>
        </w:rPr>
      </w:pPr>
      <w:r w:rsidRPr="00214302">
        <w:rPr>
          <w:rFonts w:ascii="Times" w:hAnsi="Times" w:cs="Times New Roman"/>
          <w:color w:val="000000" w:themeColor="text1"/>
          <w:sz w:val="28"/>
          <w:szCs w:val="28"/>
        </w:rPr>
        <w:t>Significance</w:t>
      </w:r>
    </w:p>
    <w:p w14:paraId="3462DB11" w14:textId="77777777" w:rsidR="00E661DE" w:rsidRPr="00DA5FAE" w:rsidRDefault="00E661DE" w:rsidP="00E661DE">
      <w:pPr>
        <w:rPr>
          <w:rFonts w:ascii="Times" w:hAnsi="Times"/>
        </w:rPr>
      </w:pPr>
    </w:p>
    <w:p w14:paraId="4F7AD937" w14:textId="77777777" w:rsidR="00E661DE" w:rsidRPr="00DA5FAE" w:rsidRDefault="00E661DE" w:rsidP="00E661DE">
      <w:pPr>
        <w:spacing w:line="480" w:lineRule="auto"/>
        <w:rPr>
          <w:rFonts w:ascii="Times" w:hAnsi="Times"/>
        </w:rPr>
      </w:pPr>
      <w:r w:rsidRPr="00DA5FAE">
        <w:rPr>
          <w:rFonts w:ascii="Times" w:hAnsi="Times"/>
        </w:rPr>
        <w:tab/>
        <w:t xml:space="preserve">The lack of research regarding the physical demands of NCAA Division I Men’s Basketball athletes warrants further investigation, which this study hopes to provide. By </w:t>
      </w:r>
      <w:r w:rsidRPr="00DA5FAE">
        <w:rPr>
          <w:rFonts w:ascii="Times" w:hAnsi="Times"/>
        </w:rPr>
        <w:lastRenderedPageBreak/>
        <w:t>understanding the demands placed on athletes over the course of a season, th</w:t>
      </w:r>
      <w:r>
        <w:rPr>
          <w:rFonts w:ascii="Times" w:hAnsi="Times"/>
        </w:rPr>
        <w:t>is study could</w:t>
      </w:r>
      <w:r w:rsidRPr="00DA5FAE">
        <w:rPr>
          <w:rFonts w:ascii="Times" w:hAnsi="Times"/>
        </w:rPr>
        <w:t xml:space="preserve"> provide practitioners with a framework and comparative data to which they can reference </w:t>
      </w:r>
      <w:r>
        <w:rPr>
          <w:rFonts w:ascii="Times" w:hAnsi="Times"/>
        </w:rPr>
        <w:t>to</w:t>
      </w:r>
      <w:r w:rsidRPr="00DA5FAE">
        <w:rPr>
          <w:rFonts w:ascii="Times" w:hAnsi="Times"/>
        </w:rPr>
        <w:t xml:space="preserve"> prescribe training </w:t>
      </w:r>
      <w:r>
        <w:rPr>
          <w:rFonts w:ascii="Times" w:hAnsi="Times"/>
        </w:rPr>
        <w:t>in accordance</w:t>
      </w:r>
      <w:r w:rsidRPr="00DA5FAE">
        <w:rPr>
          <w:rFonts w:ascii="Times" w:hAnsi="Times"/>
        </w:rPr>
        <w:t xml:space="preserve">. By informing practitioners about these physical demands, the study hopes to allow practitioners to optimize athletic performance, as well as ensure the health and wellbeing NCAA DI Men’s Basketball athletes. Additionally, this study hopes to develop and test a methodology for </w:t>
      </w:r>
      <w:r>
        <w:rPr>
          <w:rFonts w:ascii="Times" w:hAnsi="Times"/>
        </w:rPr>
        <w:t xml:space="preserve">predicting </w:t>
      </w:r>
      <w:r w:rsidRPr="00DA5FAE">
        <w:rPr>
          <w:rFonts w:ascii="Times" w:hAnsi="Times"/>
        </w:rPr>
        <w:t xml:space="preserve">relevant data relating to external load monitoring. </w:t>
      </w:r>
    </w:p>
    <w:p w14:paraId="36EBFC1B" w14:textId="77777777" w:rsidR="00E661DE" w:rsidRPr="00214302" w:rsidRDefault="00E661DE" w:rsidP="00E661DE">
      <w:pPr>
        <w:pStyle w:val="Heading1"/>
        <w:jc w:val="center"/>
        <w:rPr>
          <w:rFonts w:ascii="Times" w:hAnsi="Times" w:cs="Times New Roman"/>
          <w:color w:val="000000" w:themeColor="text1"/>
          <w:sz w:val="28"/>
          <w:szCs w:val="28"/>
        </w:rPr>
      </w:pPr>
      <w:r w:rsidRPr="00214302">
        <w:rPr>
          <w:rFonts w:ascii="Times" w:hAnsi="Times" w:cs="Times New Roman"/>
          <w:color w:val="000000" w:themeColor="text1"/>
          <w:sz w:val="28"/>
          <w:szCs w:val="28"/>
        </w:rPr>
        <w:t>Research Questions</w:t>
      </w:r>
    </w:p>
    <w:p w14:paraId="16336B95" w14:textId="77777777" w:rsidR="00E661DE" w:rsidRPr="00DA5FAE" w:rsidRDefault="00E661DE" w:rsidP="00E661DE">
      <w:pPr>
        <w:rPr>
          <w:rFonts w:ascii="Times" w:hAnsi="Times"/>
        </w:rPr>
      </w:pPr>
    </w:p>
    <w:p w14:paraId="2EEAE844" w14:textId="45262DCD" w:rsidR="00E661DE" w:rsidRDefault="00E7100B" w:rsidP="000F4B47">
      <w:pPr>
        <w:pStyle w:val="ListParagraph"/>
        <w:numPr>
          <w:ilvl w:val="0"/>
          <w:numId w:val="4"/>
        </w:numPr>
        <w:spacing w:line="480" w:lineRule="auto"/>
      </w:pPr>
      <w:r>
        <w:rPr>
          <w:rFonts w:ascii="Times" w:hAnsi="Times"/>
        </w:rPr>
        <w:t xml:space="preserve">What are the external training loads experienced by college basketball players over the course of an </w:t>
      </w:r>
      <w:r w:rsidR="00E661DE" w:rsidRPr="00DA5FAE">
        <w:rPr>
          <w:rFonts w:ascii="Times" w:hAnsi="Times"/>
        </w:rPr>
        <w:t xml:space="preserve">NCAA Division I Men’s Basketball </w:t>
      </w:r>
      <w:r>
        <w:rPr>
          <w:rFonts w:ascii="Times" w:hAnsi="Times"/>
        </w:rPr>
        <w:t>season</w:t>
      </w:r>
      <w:r w:rsidR="00E661DE">
        <w:rPr>
          <w:rFonts w:ascii="Times" w:hAnsi="Times"/>
        </w:rPr>
        <w:t>?</w:t>
      </w:r>
      <w:r w:rsidR="000F4B47">
        <w:rPr>
          <w:rFonts w:ascii="Times" w:hAnsi="Times"/>
        </w:rPr>
        <w:t xml:space="preserve"> </w:t>
      </w:r>
    </w:p>
    <w:p w14:paraId="21E10217" w14:textId="77777777" w:rsidR="00E661DE" w:rsidRPr="00214302" w:rsidRDefault="00E661DE" w:rsidP="00E661DE">
      <w:pPr>
        <w:pStyle w:val="Heading1"/>
        <w:spacing w:line="480" w:lineRule="auto"/>
        <w:jc w:val="center"/>
        <w:rPr>
          <w:rFonts w:ascii="Times" w:hAnsi="Times" w:cs="Times New Roman"/>
          <w:color w:val="000000" w:themeColor="text1"/>
          <w:sz w:val="28"/>
          <w:szCs w:val="28"/>
        </w:rPr>
      </w:pPr>
      <w:r w:rsidRPr="00214302">
        <w:rPr>
          <w:rFonts w:ascii="Times" w:hAnsi="Times" w:cs="Times New Roman"/>
          <w:color w:val="000000" w:themeColor="text1"/>
          <w:sz w:val="28"/>
          <w:szCs w:val="28"/>
        </w:rPr>
        <w:t>Hypotheses</w:t>
      </w:r>
    </w:p>
    <w:p w14:paraId="501A006D" w14:textId="43FDC038" w:rsidR="00E661DE" w:rsidRDefault="00E661DE" w:rsidP="00E661DE">
      <w:pPr>
        <w:pStyle w:val="ListParagraph"/>
        <w:numPr>
          <w:ilvl w:val="0"/>
          <w:numId w:val="5"/>
        </w:numPr>
        <w:spacing w:line="480" w:lineRule="auto"/>
        <w:rPr>
          <w:rFonts w:ascii="Times" w:hAnsi="Times"/>
        </w:rPr>
      </w:pPr>
      <w:r>
        <w:rPr>
          <w:rFonts w:ascii="Times" w:hAnsi="Times"/>
        </w:rPr>
        <w:t xml:space="preserve">It is hypothesized that </w:t>
      </w:r>
      <w:r w:rsidR="00E7100B">
        <w:rPr>
          <w:rFonts w:ascii="Times" w:hAnsi="Times"/>
        </w:rPr>
        <w:t>external training load values across an NCAA Division I (DI) Men’s Basketball team will be heavily stratified, with a select few players experiencing</w:t>
      </w:r>
      <w:r>
        <w:rPr>
          <w:rFonts w:ascii="Times" w:hAnsi="Times"/>
        </w:rPr>
        <w:t xml:space="preserve"> statistically significant difference</w:t>
      </w:r>
      <w:r w:rsidR="00E7100B">
        <w:rPr>
          <w:rFonts w:ascii="Times" w:hAnsi="Times"/>
        </w:rPr>
        <w:t>s</w:t>
      </w:r>
      <w:r>
        <w:rPr>
          <w:rFonts w:ascii="Times" w:hAnsi="Times"/>
        </w:rPr>
        <w:t xml:space="preserve"> </w:t>
      </w:r>
      <w:r w:rsidR="00E7100B">
        <w:rPr>
          <w:rFonts w:ascii="Times" w:hAnsi="Times"/>
        </w:rPr>
        <w:t>in external training load relative to their teammates.</w:t>
      </w:r>
    </w:p>
    <w:p w14:paraId="108F27CC" w14:textId="4BFA887B" w:rsidR="00E661DE" w:rsidRDefault="00E661DE" w:rsidP="001F557D">
      <w:pPr>
        <w:pStyle w:val="ListParagraph"/>
        <w:numPr>
          <w:ilvl w:val="1"/>
          <w:numId w:val="5"/>
        </w:numPr>
        <w:spacing w:line="480" w:lineRule="auto"/>
        <w:rPr>
          <w:rFonts w:ascii="Times" w:hAnsi="Times"/>
        </w:rPr>
      </w:pPr>
      <w:r>
        <w:rPr>
          <w:rFonts w:ascii="Times" w:hAnsi="Times"/>
        </w:rPr>
        <w:t>Null: There is no difference in physical demands across an NCAA DI Men’s Basketball team over the course of a season</w:t>
      </w:r>
      <w:r w:rsidRPr="001F557D">
        <w:rPr>
          <w:rFonts w:ascii="Times" w:hAnsi="Times"/>
        </w:rPr>
        <w:t>.</w:t>
      </w:r>
    </w:p>
    <w:p w14:paraId="6552ADC0" w14:textId="27B4EED1" w:rsidR="001F557D" w:rsidRDefault="001F557D" w:rsidP="001F557D">
      <w:pPr>
        <w:pStyle w:val="ListParagraph"/>
        <w:numPr>
          <w:ilvl w:val="0"/>
          <w:numId w:val="5"/>
        </w:numPr>
        <w:spacing w:line="480" w:lineRule="auto"/>
        <w:rPr>
          <w:rFonts w:ascii="Times" w:hAnsi="Times"/>
        </w:rPr>
      </w:pPr>
      <w:r>
        <w:rPr>
          <w:rFonts w:ascii="Times" w:hAnsi="Times"/>
        </w:rPr>
        <w:t>It is hypothesized that live practice sessions will be able to effectively predict game demands.</w:t>
      </w:r>
    </w:p>
    <w:p w14:paraId="633A8A3C" w14:textId="7D8926F2" w:rsidR="001F557D" w:rsidRPr="001F557D" w:rsidRDefault="001F557D" w:rsidP="001F557D">
      <w:pPr>
        <w:pStyle w:val="ListParagraph"/>
        <w:numPr>
          <w:ilvl w:val="1"/>
          <w:numId w:val="5"/>
        </w:numPr>
        <w:spacing w:line="480" w:lineRule="auto"/>
        <w:rPr>
          <w:rFonts w:ascii="Times" w:hAnsi="Times"/>
        </w:rPr>
      </w:pPr>
      <w:r>
        <w:rPr>
          <w:rFonts w:ascii="Times" w:hAnsi="Times"/>
        </w:rPr>
        <w:t>Null: Live practice does not effectively predict game demands.</w:t>
      </w:r>
    </w:p>
    <w:p w14:paraId="14CC7179" w14:textId="3D71064B" w:rsidR="00966B90" w:rsidRPr="00214302" w:rsidRDefault="00966B90" w:rsidP="00CE1AD6">
      <w:pPr>
        <w:rPr>
          <w:rFonts w:ascii="Times" w:hAnsi="Times"/>
        </w:rPr>
      </w:pPr>
    </w:p>
    <w:p w14:paraId="0EF0B41C" w14:textId="34D2BFDB" w:rsidR="00E661DE" w:rsidRPr="00214302" w:rsidRDefault="00E661DE" w:rsidP="00E661DE">
      <w:pPr>
        <w:pStyle w:val="Heading1"/>
        <w:jc w:val="center"/>
        <w:rPr>
          <w:rFonts w:ascii="Times" w:hAnsi="Times" w:cs="Times New Roman"/>
          <w:color w:val="000000" w:themeColor="text1"/>
          <w:sz w:val="28"/>
          <w:szCs w:val="28"/>
        </w:rPr>
      </w:pPr>
      <w:r w:rsidRPr="00214302">
        <w:rPr>
          <w:rFonts w:ascii="Times" w:hAnsi="Times" w:cs="Times New Roman"/>
          <w:color w:val="000000" w:themeColor="text1"/>
          <w:sz w:val="28"/>
          <w:szCs w:val="28"/>
        </w:rPr>
        <w:t>Delimitations</w:t>
      </w:r>
    </w:p>
    <w:p w14:paraId="433A497F" w14:textId="77777777" w:rsidR="00E661DE" w:rsidRPr="00DA5FAE" w:rsidRDefault="00E661DE" w:rsidP="00E661DE">
      <w:pPr>
        <w:rPr>
          <w:rFonts w:ascii="Times" w:hAnsi="Times"/>
        </w:rPr>
      </w:pPr>
    </w:p>
    <w:p w14:paraId="2E22773D" w14:textId="77777777" w:rsidR="00E661DE" w:rsidRPr="00DA5FAE" w:rsidRDefault="00E661DE" w:rsidP="00E661DE">
      <w:pPr>
        <w:rPr>
          <w:rFonts w:ascii="Times" w:hAnsi="Times"/>
        </w:rPr>
      </w:pPr>
      <w:r w:rsidRPr="00DA5FAE">
        <w:rPr>
          <w:rFonts w:ascii="Times" w:hAnsi="Times"/>
        </w:rPr>
        <w:t>The study has the following delimitations:</w:t>
      </w:r>
    </w:p>
    <w:p w14:paraId="7B451A6D" w14:textId="77777777" w:rsidR="00E661DE" w:rsidRPr="00DA5FAE" w:rsidRDefault="00E661DE" w:rsidP="00E661DE">
      <w:pPr>
        <w:ind w:firstLine="720"/>
        <w:rPr>
          <w:rFonts w:ascii="Times" w:hAnsi="Times"/>
        </w:rPr>
      </w:pPr>
    </w:p>
    <w:p w14:paraId="2513BB70" w14:textId="6A1D1F8F" w:rsidR="00E661DE" w:rsidRPr="00DA5FAE" w:rsidRDefault="00E661DE" w:rsidP="00E661DE">
      <w:pPr>
        <w:pStyle w:val="ListParagraph"/>
        <w:numPr>
          <w:ilvl w:val="0"/>
          <w:numId w:val="6"/>
        </w:numPr>
        <w:spacing w:line="480" w:lineRule="auto"/>
        <w:rPr>
          <w:rFonts w:ascii="Times" w:hAnsi="Times"/>
        </w:rPr>
      </w:pPr>
      <w:r w:rsidRPr="00DA5FAE">
        <w:rPr>
          <w:rFonts w:ascii="Times" w:hAnsi="Times"/>
        </w:rPr>
        <w:t xml:space="preserve">All players on an NCAA DI Men’s Basketball </w:t>
      </w:r>
      <w:r w:rsidR="00472D10">
        <w:rPr>
          <w:rFonts w:ascii="Times" w:hAnsi="Times"/>
        </w:rPr>
        <w:t xml:space="preserve">team </w:t>
      </w:r>
      <w:r>
        <w:rPr>
          <w:rFonts w:ascii="Times" w:hAnsi="Times"/>
        </w:rPr>
        <w:t>from the same university.</w:t>
      </w:r>
    </w:p>
    <w:p w14:paraId="010A8AA3" w14:textId="77777777" w:rsidR="00E661DE" w:rsidRPr="00DA5FAE" w:rsidRDefault="00E661DE" w:rsidP="00E661DE">
      <w:pPr>
        <w:pStyle w:val="ListParagraph"/>
        <w:numPr>
          <w:ilvl w:val="0"/>
          <w:numId w:val="6"/>
        </w:numPr>
        <w:spacing w:line="480" w:lineRule="auto"/>
        <w:rPr>
          <w:rFonts w:ascii="Times" w:hAnsi="Times"/>
        </w:rPr>
      </w:pPr>
      <w:r w:rsidRPr="00DA5FAE">
        <w:rPr>
          <w:rFonts w:ascii="Times" w:hAnsi="Times"/>
        </w:rPr>
        <w:lastRenderedPageBreak/>
        <w:t xml:space="preserve">Selected variables from the Catapult T6 </w:t>
      </w:r>
      <w:proofErr w:type="spellStart"/>
      <w:r w:rsidRPr="00DA5FAE">
        <w:rPr>
          <w:rFonts w:ascii="Times" w:hAnsi="Times"/>
        </w:rPr>
        <w:t>ClearSky</w:t>
      </w:r>
      <w:proofErr w:type="spellEnd"/>
      <w:r w:rsidRPr="00DA5FAE">
        <w:rPr>
          <w:rFonts w:ascii="Times" w:hAnsi="Times"/>
        </w:rPr>
        <w:t xml:space="preserve"> system</w:t>
      </w:r>
    </w:p>
    <w:p w14:paraId="0C75459E" w14:textId="77777777" w:rsidR="00E661DE" w:rsidRDefault="00E661DE" w:rsidP="00E661DE">
      <w:pPr>
        <w:pStyle w:val="ListParagraph"/>
        <w:numPr>
          <w:ilvl w:val="1"/>
          <w:numId w:val="6"/>
        </w:numPr>
        <w:rPr>
          <w:rFonts w:ascii="Times" w:hAnsi="Times"/>
        </w:rPr>
      </w:pPr>
      <w:proofErr w:type="spellStart"/>
      <w:r w:rsidRPr="00DA5FAE">
        <w:rPr>
          <w:rFonts w:ascii="Times" w:hAnsi="Times"/>
        </w:rPr>
        <w:t>PlayerLoad</w:t>
      </w:r>
      <w:proofErr w:type="spellEnd"/>
      <w:r w:rsidRPr="00DA5FAE">
        <w:rPr>
          <w:rFonts w:ascii="Times" w:hAnsi="Times"/>
        </w:rPr>
        <w:sym w:font="Symbol" w:char="F0D4"/>
      </w:r>
      <w:r w:rsidRPr="00DA5FAE">
        <w:rPr>
          <w:rFonts w:ascii="Times" w:hAnsi="Times"/>
        </w:rPr>
        <w:t xml:space="preserve"> (PL)</w:t>
      </w:r>
    </w:p>
    <w:p w14:paraId="33EBC416" w14:textId="77777777" w:rsidR="00E661DE" w:rsidRPr="00DA5FAE" w:rsidRDefault="00E661DE" w:rsidP="00E661DE">
      <w:pPr>
        <w:pStyle w:val="ListParagraph"/>
        <w:numPr>
          <w:ilvl w:val="1"/>
          <w:numId w:val="6"/>
        </w:numPr>
        <w:rPr>
          <w:rFonts w:ascii="Times" w:hAnsi="Times"/>
        </w:rPr>
      </w:pPr>
      <w:r>
        <w:rPr>
          <w:rFonts w:ascii="Times" w:hAnsi="Times"/>
        </w:rPr>
        <w:t>Duration</w:t>
      </w:r>
    </w:p>
    <w:p w14:paraId="76CE451C" w14:textId="77777777" w:rsidR="00E661DE" w:rsidRPr="00DA5FAE" w:rsidRDefault="00E661DE" w:rsidP="00E661DE">
      <w:pPr>
        <w:pStyle w:val="ListParagraph"/>
        <w:ind w:left="2160"/>
        <w:rPr>
          <w:rFonts w:ascii="Times" w:hAnsi="Times"/>
        </w:rPr>
      </w:pPr>
    </w:p>
    <w:p w14:paraId="623E45CF" w14:textId="77777777" w:rsidR="00E661DE" w:rsidRPr="00DA5FAE" w:rsidRDefault="00E661DE" w:rsidP="00E661DE">
      <w:pPr>
        <w:pStyle w:val="ListParagraph"/>
        <w:numPr>
          <w:ilvl w:val="0"/>
          <w:numId w:val="6"/>
        </w:numPr>
        <w:spacing w:line="480" w:lineRule="auto"/>
        <w:rPr>
          <w:rFonts w:ascii="Times" w:hAnsi="Times"/>
        </w:rPr>
      </w:pPr>
      <w:r w:rsidRPr="00DA5FAE">
        <w:rPr>
          <w:rFonts w:ascii="Times" w:hAnsi="Times"/>
        </w:rPr>
        <w:t xml:space="preserve">Data will be collected through the course of normal team activities, as players are already required to wear specialized garments housing devices as part of team operations. </w:t>
      </w:r>
    </w:p>
    <w:p w14:paraId="1F88A2C1" w14:textId="77777777" w:rsidR="008E7F85" w:rsidRDefault="00E661DE" w:rsidP="008E7F85">
      <w:pPr>
        <w:pStyle w:val="ListParagraph"/>
        <w:numPr>
          <w:ilvl w:val="0"/>
          <w:numId w:val="6"/>
        </w:numPr>
        <w:spacing w:line="480" w:lineRule="auto"/>
        <w:rPr>
          <w:rFonts w:ascii="Times" w:hAnsi="Times"/>
        </w:rPr>
      </w:pPr>
      <w:r w:rsidRPr="00DA5FAE">
        <w:rPr>
          <w:rFonts w:ascii="Times" w:hAnsi="Times"/>
        </w:rPr>
        <w:t>Data will be collected at all team practices.</w:t>
      </w:r>
    </w:p>
    <w:p w14:paraId="4DF2FD52" w14:textId="54AFA64E" w:rsidR="00472D10" w:rsidRPr="00214302" w:rsidRDefault="00E661DE" w:rsidP="00214302">
      <w:pPr>
        <w:pStyle w:val="ListParagraph"/>
        <w:numPr>
          <w:ilvl w:val="0"/>
          <w:numId w:val="6"/>
        </w:numPr>
        <w:spacing w:line="480" w:lineRule="auto"/>
        <w:rPr>
          <w:rFonts w:ascii="Times" w:hAnsi="Times"/>
        </w:rPr>
      </w:pPr>
      <w:r w:rsidRPr="008E7F85">
        <w:rPr>
          <w:rFonts w:ascii="Times" w:hAnsi="Times"/>
        </w:rPr>
        <w:t xml:space="preserve">Game data will </w:t>
      </w:r>
      <w:r w:rsidR="00E7100B" w:rsidRPr="008E7F85">
        <w:rPr>
          <w:rFonts w:ascii="Times" w:hAnsi="Times"/>
        </w:rPr>
        <w:t>not be collected but will be predicted</w:t>
      </w:r>
      <w:r w:rsidRPr="008E7F85">
        <w:rPr>
          <w:rFonts w:ascii="Times" w:hAnsi="Times"/>
        </w:rPr>
        <w:t xml:space="preserve"> utilizing </w:t>
      </w:r>
      <w:r w:rsidR="00472D10">
        <w:rPr>
          <w:rFonts w:ascii="Times" w:hAnsi="Times"/>
        </w:rPr>
        <w:t>linear regression variants.</w:t>
      </w:r>
      <w:r w:rsidR="00E7100B" w:rsidRPr="008E7F85">
        <w:rPr>
          <w:rFonts w:ascii="Times" w:hAnsi="Times"/>
        </w:rPr>
        <w:t xml:space="preserve"> </w:t>
      </w:r>
    </w:p>
    <w:p w14:paraId="17566FAB" w14:textId="7DED02E2" w:rsidR="00E661DE" w:rsidRPr="00214302" w:rsidRDefault="00E661DE" w:rsidP="00472D10">
      <w:pPr>
        <w:spacing w:line="480" w:lineRule="auto"/>
        <w:jc w:val="center"/>
        <w:rPr>
          <w:rFonts w:ascii="Times" w:hAnsi="Times"/>
          <w:color w:val="000000" w:themeColor="text1"/>
          <w:sz w:val="28"/>
          <w:szCs w:val="28"/>
        </w:rPr>
      </w:pPr>
      <w:r w:rsidRPr="00214302">
        <w:rPr>
          <w:rFonts w:ascii="Times" w:hAnsi="Times"/>
          <w:color w:val="000000" w:themeColor="text1"/>
          <w:sz w:val="28"/>
          <w:szCs w:val="28"/>
        </w:rPr>
        <w:t>Limitations</w:t>
      </w:r>
    </w:p>
    <w:p w14:paraId="6A06BF05" w14:textId="77777777" w:rsidR="00E661DE" w:rsidRPr="00DA5FAE" w:rsidRDefault="00E661DE" w:rsidP="00E661DE">
      <w:pPr>
        <w:rPr>
          <w:rFonts w:ascii="Times" w:hAnsi="Times"/>
        </w:rPr>
      </w:pPr>
      <w:r w:rsidRPr="00DA5FAE">
        <w:rPr>
          <w:rFonts w:ascii="Times" w:hAnsi="Times"/>
        </w:rPr>
        <w:t>This study will have the following limitations:</w:t>
      </w:r>
    </w:p>
    <w:p w14:paraId="1FDB2319" w14:textId="77777777" w:rsidR="00E661DE" w:rsidRPr="00DA5FAE" w:rsidRDefault="00E661DE" w:rsidP="00E661DE">
      <w:pPr>
        <w:rPr>
          <w:rFonts w:ascii="Times" w:hAnsi="Times"/>
        </w:rPr>
      </w:pPr>
    </w:p>
    <w:p w14:paraId="34DE285C" w14:textId="77777777" w:rsidR="00E661DE" w:rsidRPr="00DA5FAE" w:rsidRDefault="00E661DE" w:rsidP="00E661DE">
      <w:pPr>
        <w:pStyle w:val="ListParagraph"/>
        <w:numPr>
          <w:ilvl w:val="0"/>
          <w:numId w:val="7"/>
        </w:numPr>
        <w:spacing w:line="480" w:lineRule="auto"/>
        <w:rPr>
          <w:rFonts w:ascii="Times" w:hAnsi="Times"/>
        </w:rPr>
      </w:pPr>
      <w:r w:rsidRPr="00DA5FAE">
        <w:rPr>
          <w:rFonts w:ascii="Times" w:hAnsi="Times"/>
        </w:rPr>
        <w:t xml:space="preserve">Players are not permitted to wear microsensor devices in game. </w:t>
      </w:r>
    </w:p>
    <w:p w14:paraId="49BF26B1" w14:textId="77777777" w:rsidR="00E661DE" w:rsidRPr="00DA5FAE" w:rsidRDefault="00E661DE" w:rsidP="00E661DE">
      <w:pPr>
        <w:pStyle w:val="ListParagraph"/>
        <w:numPr>
          <w:ilvl w:val="0"/>
          <w:numId w:val="7"/>
        </w:numPr>
        <w:spacing w:line="480" w:lineRule="auto"/>
        <w:rPr>
          <w:rFonts w:ascii="Times" w:hAnsi="Times"/>
        </w:rPr>
      </w:pPr>
      <w:r w:rsidRPr="00DA5FAE">
        <w:rPr>
          <w:rFonts w:ascii="Times" w:hAnsi="Times"/>
        </w:rPr>
        <w:t xml:space="preserve">Athletes are not mandated to wear microsensor devices during data collection periods and can remove them at any time. </w:t>
      </w:r>
    </w:p>
    <w:p w14:paraId="2F13C026" w14:textId="77777777" w:rsidR="00E661DE" w:rsidRPr="00DA5FAE" w:rsidRDefault="00E661DE" w:rsidP="00E661DE">
      <w:pPr>
        <w:pStyle w:val="ListParagraph"/>
        <w:numPr>
          <w:ilvl w:val="0"/>
          <w:numId w:val="7"/>
        </w:numPr>
        <w:spacing w:line="480" w:lineRule="auto"/>
        <w:rPr>
          <w:rFonts w:ascii="Times" w:hAnsi="Times"/>
        </w:rPr>
      </w:pPr>
      <w:r w:rsidRPr="00DA5FAE">
        <w:rPr>
          <w:rFonts w:ascii="Times" w:hAnsi="Times"/>
        </w:rPr>
        <w:t xml:space="preserve">Subject participation during data collection periods (i.e., practices) is dependent on the coaching staff as well as subject health and injury status. </w:t>
      </w:r>
    </w:p>
    <w:p w14:paraId="7D5B43E3" w14:textId="3E38765A" w:rsidR="00E661DE" w:rsidRDefault="00E661DE" w:rsidP="00E661DE">
      <w:pPr>
        <w:pStyle w:val="ListParagraph"/>
        <w:numPr>
          <w:ilvl w:val="0"/>
          <w:numId w:val="7"/>
        </w:numPr>
        <w:spacing w:line="480" w:lineRule="auto"/>
        <w:rPr>
          <w:rFonts w:ascii="Times" w:hAnsi="Times"/>
        </w:rPr>
      </w:pPr>
      <w:r w:rsidRPr="00DA5FAE">
        <w:rPr>
          <w:rFonts w:ascii="Times" w:hAnsi="Times"/>
        </w:rPr>
        <w:t xml:space="preserve">Sample size of relevant drills to be used for </w:t>
      </w:r>
      <w:r>
        <w:rPr>
          <w:rFonts w:ascii="Times" w:hAnsi="Times"/>
        </w:rPr>
        <w:t>prediction</w:t>
      </w:r>
      <w:r w:rsidRPr="00DA5FAE">
        <w:rPr>
          <w:rFonts w:ascii="Times" w:hAnsi="Times"/>
        </w:rPr>
        <w:t xml:space="preserve"> is dependent on coaching staff. </w:t>
      </w:r>
    </w:p>
    <w:p w14:paraId="200AE085" w14:textId="2B258DB6" w:rsidR="009D4639" w:rsidRPr="00177BC1" w:rsidRDefault="007D62D2" w:rsidP="00177BC1">
      <w:pPr>
        <w:pStyle w:val="ListParagraph"/>
        <w:numPr>
          <w:ilvl w:val="0"/>
          <w:numId w:val="7"/>
        </w:numPr>
        <w:spacing w:line="480" w:lineRule="auto"/>
        <w:rPr>
          <w:rFonts w:ascii="Times" w:hAnsi="Times"/>
        </w:rPr>
      </w:pPr>
      <w:r>
        <w:rPr>
          <w:rFonts w:ascii="Times" w:hAnsi="Times"/>
        </w:rPr>
        <w:t xml:space="preserve">The population involved in this study is from one specific basketball team. </w:t>
      </w:r>
    </w:p>
    <w:p w14:paraId="314844BE" w14:textId="54900537" w:rsidR="00E661DE" w:rsidRPr="00214302" w:rsidRDefault="00E661DE" w:rsidP="00DC65E6">
      <w:pPr>
        <w:pStyle w:val="Heading1"/>
        <w:jc w:val="center"/>
        <w:rPr>
          <w:rFonts w:ascii="Times" w:hAnsi="Times" w:cs="Times New Roman"/>
          <w:color w:val="000000" w:themeColor="text1"/>
          <w:sz w:val="28"/>
          <w:szCs w:val="28"/>
        </w:rPr>
      </w:pPr>
      <w:r w:rsidRPr="00214302">
        <w:rPr>
          <w:rFonts w:ascii="Times" w:hAnsi="Times" w:cs="Times New Roman"/>
          <w:color w:val="000000" w:themeColor="text1"/>
          <w:sz w:val="28"/>
          <w:szCs w:val="28"/>
        </w:rPr>
        <w:t>Assumptions</w:t>
      </w:r>
    </w:p>
    <w:p w14:paraId="3C81E871" w14:textId="77777777" w:rsidR="00E661DE" w:rsidRPr="00DA5FAE" w:rsidRDefault="00E661DE" w:rsidP="00E661DE">
      <w:pPr>
        <w:rPr>
          <w:rFonts w:ascii="Times" w:hAnsi="Times"/>
        </w:rPr>
      </w:pPr>
    </w:p>
    <w:p w14:paraId="5EBF1276" w14:textId="77777777" w:rsidR="00E661DE" w:rsidRPr="00DA5FAE" w:rsidRDefault="00E661DE" w:rsidP="00E661DE">
      <w:pPr>
        <w:rPr>
          <w:rFonts w:ascii="Times" w:hAnsi="Times"/>
        </w:rPr>
      </w:pPr>
      <w:r w:rsidRPr="00DA5FAE">
        <w:rPr>
          <w:rFonts w:ascii="Times" w:hAnsi="Times"/>
        </w:rPr>
        <w:t xml:space="preserve">This research has the following assumptions: </w:t>
      </w:r>
    </w:p>
    <w:p w14:paraId="633429C8" w14:textId="77777777" w:rsidR="00E661DE" w:rsidRPr="00DA5FAE" w:rsidRDefault="00E661DE" w:rsidP="00E661DE">
      <w:pPr>
        <w:rPr>
          <w:rFonts w:ascii="Times" w:hAnsi="Times"/>
        </w:rPr>
      </w:pPr>
    </w:p>
    <w:p w14:paraId="6333D397" w14:textId="569CE81C" w:rsidR="00E661DE" w:rsidRPr="00DA5FAE" w:rsidRDefault="00DC65E6" w:rsidP="00E661DE">
      <w:pPr>
        <w:pStyle w:val="ListParagraph"/>
        <w:numPr>
          <w:ilvl w:val="0"/>
          <w:numId w:val="8"/>
        </w:numPr>
        <w:spacing w:line="480" w:lineRule="auto"/>
        <w:rPr>
          <w:rFonts w:ascii="Times" w:hAnsi="Times"/>
        </w:rPr>
      </w:pPr>
      <w:r>
        <w:rPr>
          <w:rFonts w:ascii="Times" w:hAnsi="Times"/>
        </w:rPr>
        <w:t xml:space="preserve">External training load data collected from scrimmages is assumed to be analogous to data that would be collected in a game. </w:t>
      </w:r>
    </w:p>
    <w:p w14:paraId="4F6AE929" w14:textId="52B53A3B" w:rsidR="000B226D" w:rsidRPr="000B1E7C" w:rsidRDefault="00E661DE" w:rsidP="000B1E7C">
      <w:pPr>
        <w:pStyle w:val="ListParagraph"/>
        <w:numPr>
          <w:ilvl w:val="0"/>
          <w:numId w:val="8"/>
        </w:numPr>
        <w:spacing w:line="480" w:lineRule="auto"/>
        <w:rPr>
          <w:rFonts w:ascii="Times" w:hAnsi="Times"/>
        </w:rPr>
      </w:pPr>
      <w:r w:rsidRPr="00DA5FAE">
        <w:rPr>
          <w:rFonts w:ascii="Times" w:hAnsi="Times"/>
        </w:rPr>
        <w:t xml:space="preserve">The basketball knowledge of the research team will use their best judgement to select data that is “game-like” for inclusion in imputation methods. </w:t>
      </w:r>
    </w:p>
    <w:p w14:paraId="53CE7F96" w14:textId="77777777" w:rsidR="00E661DE" w:rsidRPr="00214302" w:rsidRDefault="00E661DE" w:rsidP="00E661DE">
      <w:pPr>
        <w:pStyle w:val="Heading1"/>
        <w:jc w:val="center"/>
        <w:rPr>
          <w:rFonts w:ascii="Times" w:hAnsi="Times" w:cs="Times New Roman"/>
          <w:color w:val="000000" w:themeColor="text1"/>
          <w:sz w:val="28"/>
          <w:szCs w:val="28"/>
        </w:rPr>
      </w:pPr>
      <w:r w:rsidRPr="00214302">
        <w:rPr>
          <w:rFonts w:ascii="Times" w:hAnsi="Times" w:cs="Times New Roman"/>
          <w:color w:val="000000" w:themeColor="text1"/>
          <w:sz w:val="28"/>
          <w:szCs w:val="28"/>
        </w:rPr>
        <w:lastRenderedPageBreak/>
        <w:t>Operational Definitions</w:t>
      </w:r>
    </w:p>
    <w:p w14:paraId="3401851E" w14:textId="77777777" w:rsidR="00E661DE" w:rsidRPr="00DA5FAE" w:rsidRDefault="00E661DE" w:rsidP="00E661DE">
      <w:pPr>
        <w:rPr>
          <w:rFonts w:ascii="Times" w:hAnsi="Times"/>
        </w:rPr>
      </w:pPr>
    </w:p>
    <w:p w14:paraId="395CB1C1" w14:textId="77777777" w:rsidR="00E661DE" w:rsidRPr="00DA5FAE" w:rsidRDefault="00E661DE" w:rsidP="00E661DE">
      <w:pPr>
        <w:rPr>
          <w:rFonts w:ascii="Times" w:hAnsi="Times"/>
          <w:color w:val="000000" w:themeColor="text1"/>
        </w:rPr>
      </w:pPr>
    </w:p>
    <w:p w14:paraId="341C1B7F" w14:textId="77777777"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u w:val="single"/>
        </w:rPr>
        <w:t>Training Load:</w:t>
      </w:r>
      <w:r w:rsidRPr="00DA5FAE">
        <w:rPr>
          <w:rFonts w:ascii="Times" w:hAnsi="Times"/>
          <w:color w:val="000000" w:themeColor="text1"/>
        </w:rPr>
        <w:t xml:space="preserve"> A broad set of measures (see below) that can be used to quantify what athletes do or experience</w:t>
      </w:r>
      <w:r>
        <w:rPr>
          <w:rFonts w:ascii="Times" w:hAnsi="Times"/>
          <w:color w:val="000000" w:themeColor="text1"/>
        </w:rPr>
        <w:t xml:space="preserve"> </w:t>
      </w:r>
      <w:r>
        <w:rPr>
          <w:rFonts w:ascii="Times" w:hAnsi="Times"/>
          <w:color w:val="000000" w:themeColor="text1"/>
        </w:rPr>
        <w:fldChar w:fldCharType="begin"/>
      </w:r>
      <w:r>
        <w:rPr>
          <w:rFonts w:ascii="Times" w:hAnsi="Times"/>
          <w:color w:val="000000" w:themeColor="text1"/>
        </w:rPr>
        <w:instrText xml:space="preserve"> ADDIN ZOTERO_ITEM CSL_CITATION {"citationID":"dqJHt4uP","properties":{"formattedCitation":"(Jeffries et al., 2021)","plainCitation":"(Jeffries et al., 2021)","noteIndex":0},"citationItems":[{"id":182,"uris":["http://zotero.org/users/5493924/items/JFCEWTR6"],"itemData":{"id":182,"type":"article-journal","abstract":"A conceptual framework has a central role in the scientific process. Its purpose is to synthesize evidence, assist in understanding phenomena, inform future research and act as a reference operational guide in practical settings. We propose an updated conceptual framework intended to facilitate the validation and interpretation of physical training measures. This revised conceptual framework was constructed through a process of qualitative analysis involving a synthesis of the literature, analysis and integration with existing frameworks (Banister and PerPot models). We identified, expanded, and integrated four constructs that are important in the conceptualization of the process and outcomes of physical training. These are: (1) formal introduction of a new measurable component ‘training effects’, a higher-order construct resulting from the combined effect of four possible responses (acute and chronic, positive and negative); (2) explanation, clarification and examples of training effect measures such as performance, physiological, subjective and other measures (cognitive, biomechanical, etc.); (3) integration of the sport performance outcome continuum (from performance improvements to overtraining); (4) extension and definition of the network of linkages (uni and bidirectional) between individual and contextual factors and other constructs. Additionally, we provided constitutive and operational definitions, and examples of theoretical and practical applications of the framework. These include validation and conceptualization of constructs (e.g., performance readiness), and understanding of higher-order constructs, such as training tolerance, when monitoring training to adapt it to individual responses and effects. This proposed conceptual framework provides an overarching model that may help understand and guide the development, validation, implementation and interpretation of measures used for athlete monitoring.","container-title":"Sports Medicine","DOI":"10.1007/s40279-021-01551-5","ISSN":"0112-1642, 1179-2035","journalAbbreviation":"Sports Med","language":"en","source":"DOI.org (Crossref)","title":"Development of a revised coneptual framework of physical training for use in research and practice","URL":"https://link.springer.com/10.1007/s40279-021-01551-5","author":[{"family":"Jeffries","given":"Annie C."},{"family":"Marcora","given":"Samuele M."},{"family":"Coutts","given":"Aaron J."},{"family":"Wallace","given":"Lee"},{"family":"McCall","given":"Alan"},{"family":"Impellizzeri","given":"Franco M."}],"accessed":{"date-parts":[["2022",2,20]]},"issued":{"date-parts":[["2021",9,14]]}}}],"schema":"https://github.com/citation-style-language/schema/raw/master/csl-citation.json"}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(Jeffries et al., 2021)</w:t>
      </w:r>
      <w:r>
        <w:rPr>
          <w:rFonts w:ascii="Times" w:hAnsi="Times"/>
          <w:color w:val="000000" w:themeColor="text1"/>
        </w:rPr>
        <w:fldChar w:fldCharType="end"/>
      </w:r>
      <w:r w:rsidRPr="00DA5FAE">
        <w:rPr>
          <w:rFonts w:ascii="Times" w:hAnsi="Times"/>
          <w:color w:val="000000" w:themeColor="text1"/>
        </w:rPr>
        <w:t xml:space="preserve">. </w:t>
      </w:r>
    </w:p>
    <w:p w14:paraId="7D44B9FC" w14:textId="77777777"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u w:val="single"/>
        </w:rPr>
        <w:t>External Load</w:t>
      </w:r>
      <w:r w:rsidRPr="00DA5FAE">
        <w:rPr>
          <w:rFonts w:ascii="Times" w:hAnsi="Times"/>
          <w:color w:val="000000" w:themeColor="text1"/>
        </w:rPr>
        <w:t>: The activities or work performed by an athlete during training or competition</w:t>
      </w:r>
      <w:r>
        <w:rPr>
          <w:rFonts w:ascii="Times" w:hAnsi="Times"/>
          <w:color w:val="000000" w:themeColor="text1"/>
        </w:rPr>
        <w:t xml:space="preserve"> </w:t>
      </w:r>
      <w:r>
        <w:rPr>
          <w:rFonts w:ascii="Times" w:hAnsi="Times"/>
          <w:color w:val="000000" w:themeColor="text1"/>
        </w:rPr>
        <w:fldChar w:fldCharType="begin"/>
      </w:r>
      <w:r>
        <w:rPr>
          <w:rFonts w:ascii="Times" w:hAnsi="Times"/>
          <w:color w:val="000000" w:themeColor="text1"/>
        </w:rPr>
        <w:instrText xml:space="preserve"> ADDIN ZOTERO_ITEM CSL_CITATION {"citationID":"6uKFbtXI","properties":{"formattedCitation":"(Torres-Ronda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Pr>
          <w:rFonts w:ascii="Cambria Math" w:hAnsi="Cambria Math" w:cs="Cambria Math"/>
          <w:color w:val="000000" w:themeColor="text1"/>
        </w:rPr>
        <w:instrText>‑</w:instrText>
      </w:r>
      <w:r>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Pr>
          <w:rFonts w:ascii="Cambria Math" w:hAnsi="Cambria Math" w:cs="Cambria Math"/>
          <w:color w:val="000000" w:themeColor="text1"/>
        </w:rPr>
        <w:instrText>‑</w:instrText>
      </w:r>
      <w:r>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(Torres-Ronda et al., 2022)</w:t>
      </w:r>
      <w:r>
        <w:rPr>
          <w:rFonts w:ascii="Times" w:hAnsi="Times"/>
          <w:color w:val="000000" w:themeColor="text1"/>
        </w:rPr>
        <w:fldChar w:fldCharType="end"/>
      </w:r>
      <w:r w:rsidRPr="00DA5FAE">
        <w:rPr>
          <w:rFonts w:ascii="Times" w:hAnsi="Times"/>
          <w:color w:val="000000" w:themeColor="text1"/>
        </w:rPr>
        <w:t>.</w:t>
      </w:r>
    </w:p>
    <w:p w14:paraId="509FF17B" w14:textId="77777777"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u w:val="single"/>
        </w:rPr>
        <w:t>Athlete Tracking System</w:t>
      </w:r>
      <w:r w:rsidRPr="00DA5FAE">
        <w:rPr>
          <w:rFonts w:ascii="Times" w:hAnsi="Times"/>
          <w:color w:val="000000" w:themeColor="text1"/>
        </w:rPr>
        <w:t>: A system that utilizes technology to quantify training and competition characteristics in a valid and reliable manner</w:t>
      </w:r>
      <w:r>
        <w:rPr>
          <w:rFonts w:ascii="Times" w:hAnsi="Times"/>
          <w:color w:val="000000" w:themeColor="text1"/>
        </w:rPr>
        <w:t xml:space="preserve"> </w:t>
      </w:r>
      <w:r>
        <w:rPr>
          <w:rFonts w:ascii="Times" w:hAnsi="Times"/>
          <w:color w:val="000000" w:themeColor="text1"/>
        </w:rPr>
        <w:fldChar w:fldCharType="begin"/>
      </w:r>
      <w:r>
        <w:rPr>
          <w:rFonts w:ascii="Times" w:hAnsi="Times"/>
          <w:color w:val="000000" w:themeColor="text1"/>
        </w:rPr>
        <w:instrText xml:space="preserve"> ADDIN ZOTERO_ITEM CSL_CITATION {"citationID":"6b8UrmR2","properties":{"formattedCitation":"(Torres-Ronda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Pr>
          <w:rFonts w:ascii="Cambria Math" w:hAnsi="Cambria Math" w:cs="Cambria Math"/>
          <w:color w:val="000000" w:themeColor="text1"/>
        </w:rPr>
        <w:instrText>‑</w:instrText>
      </w:r>
      <w:r>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Pr>
          <w:rFonts w:ascii="Cambria Math" w:hAnsi="Cambria Math" w:cs="Cambria Math"/>
          <w:color w:val="000000" w:themeColor="text1"/>
        </w:rPr>
        <w:instrText>‑</w:instrText>
      </w:r>
      <w:r>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(Torres-Ronda et al., 2022)</w:t>
      </w:r>
      <w:r>
        <w:rPr>
          <w:rFonts w:ascii="Times" w:hAnsi="Times"/>
          <w:color w:val="000000" w:themeColor="text1"/>
        </w:rPr>
        <w:fldChar w:fldCharType="end"/>
      </w:r>
      <w:r w:rsidRPr="00DA5FAE">
        <w:rPr>
          <w:rFonts w:ascii="Times" w:hAnsi="Times"/>
          <w:color w:val="000000" w:themeColor="text1"/>
        </w:rPr>
        <w:t xml:space="preserve">. </w:t>
      </w:r>
    </w:p>
    <w:p w14:paraId="22FFDC1E" w14:textId="2528658C"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u w:val="single"/>
        </w:rPr>
        <w:t>Local Positioning System (LPS)</w:t>
      </w:r>
      <w:r w:rsidRPr="00DA5FAE">
        <w:rPr>
          <w:rFonts w:ascii="Times" w:hAnsi="Times"/>
          <w:color w:val="000000" w:themeColor="text1"/>
        </w:rPr>
        <w:t>: An athlete tracking system that utilizes locally placed sensors to detect the location of microsensor devices at a specific time, as well as the use of accelerometers within the device to derive external load metrics</w:t>
      </w:r>
      <w:r>
        <w:rPr>
          <w:rFonts w:ascii="Times" w:hAnsi="Times"/>
          <w:color w:val="000000" w:themeColor="text1"/>
        </w:rPr>
        <w:t xml:space="preserve"> </w:t>
      </w:r>
      <w:r>
        <w:rPr>
          <w:rFonts w:ascii="Times" w:hAnsi="Times"/>
          <w:color w:val="000000" w:themeColor="text1"/>
        </w:rPr>
        <w:fldChar w:fldCharType="begin"/>
      </w:r>
      <w:r w:rsidR="00452A73">
        <w:rPr>
          <w:rFonts w:ascii="Times" w:hAnsi="Times"/>
          <w:color w:val="000000" w:themeColor="text1"/>
        </w:rPr>
        <w:instrText xml:space="preserve"> ADDIN ZOTERO_ITEM CSL_CITATION {"citationID":"ckFkot6H","properties":{"formattedCitation":"(Russell, McLean, Impellizzeri, et al., 2021)","plainCitation":"(Russell, McLean, Impellizzeri, et al., 2021)","noteIndex":0},"citationItems":[{"id":174,"uris":["http://zotero.org/users/5493924/items/HCGMQXHJ"],"itemData":{"id":174,"type":"article-journal","abstract":"Background  Measuring the physical work and resultant acute psychobiological responses of basketball can help to better understand and inform physical preparation models and improve overall athlete health and performance. Recent advancements in training load monitoring solutions have coincided with increases in the literature describing the physical demands of basketball, but there are currently no reviews that summarize all the available basketball research. Additionally, a thorough appraisal of the load monitoring methodologies and measures used in basketball is lacking in the current literature. This type of critical analysis would allow for consistent comparison between studies to better understand physical demands across the sport.\nObjectives  The objective of this systematic review was to assess and critically evaluate the methods and technologies used for monitoring physical demands in competitive basketball athletes. We used the term ‘training load’ to encompass the physical demands of both training and game activities, with the latter assumed to provide a training stimulus as well. This review aimed to critique methodological inconsistencies, establish operational definitions specific to the sport, and make recommendations for basketball training load monitoring practice and reporting within the literature.\nMethods  A systematic review of the literature was performed using EBSCO, PubMed, SCOPUS, and Web of Science to identify studies through March 2020. Electronic databases were searched using terms related to basketball and training load. Records were included if they used a competitive basketball population and incorporated a measure of training load. This systematic review was registered with the International Prospective Register of Systematic Reviews (PROSPERO Registration # CRD42019123603), and approved under the National Basketball Association (NBA) Health Related Research Policy.\nResults  Electronic and manual searches identified 122 papers that met the inclusion criteria. These studies reported the physical demands of basketball during training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56), competition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36), and both training and competition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30). Physical demands were quantified with a measure of internal training load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52), external training load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29), or both internal and external measures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41). These studies examined males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76), females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34), both male and female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9), and a combination of youth (i.e. under 18 years,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37), adults (i.e. 18 years or older,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77), and both adults and youth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 xml:space="preserve">4). Inconsistencies related to the reporting of competition level, methodology for recording duration, participant inclusion criteria, and validity of measurement systems were identified as key factors relating to the reporting of physical demands in basketball and summarized for each study.\nConclusions  This review comprehensively evaluated the current body of literature related to training load monitoring in basketball. Within this literature, there is a clear lack of alignment in applied practices and methodological framework, and with only small data sets and short study periods available at this time, it is not possible to draw definitive conclusions about the true physical demands of basketball. A detailed understanding of modern technologies in basketball is also lacking, and we provide specific guidelines for defining and applying duration measurement methodologies, vetting the validity and reliability of measurement tools, and classifying competition level in basketball to address some of the identified knowledge gaps. Creating alignment in best-practice basketball research methodology, terminology and reporting may lead to a more robust understanding of the physical demands associated with the sport, thereby allowing for exploration of other research areas (e.g. injury, performance), and improved understanding and decision making in applying these methods directly with basketball athletes.","container-title":"Sports Medicine","DOI":"10.1007/s40279-020-01375-9","ISSN":"0112-1642, 1179-2035","issue":"1","journalAbbreviation":"Sports Med","language":"en","page":"81-112","source":"DOI.org (Crossref)","title":"Measuring physical demands in basketball: An explorative systematic review of practices","title-short":"Measuring Physical Demands in Basketball","volume":"51","author":[{"family":"Russell","given":"Jennifer L."},{"family":"McLean","given":"Blake D."},{"family":"Impellizzeri","given":"Franco M."},{"family":"Strack","given":"Donnie S."},{"family":"Coutts","given":"Aaron J."}],"issued":{"date-parts":[["2021",1]]}}}],"schema":"https://github.com/citation-style-language/schema/raw/master/csl-citation.json"} </w:instrText>
      </w:r>
      <w:r>
        <w:rPr>
          <w:rFonts w:ascii="Times" w:hAnsi="Times"/>
          <w:color w:val="000000" w:themeColor="text1"/>
        </w:rPr>
        <w:fldChar w:fldCharType="separate"/>
      </w:r>
      <w:r w:rsidR="00452A73">
        <w:rPr>
          <w:rFonts w:ascii="Times" w:hAnsi="Times"/>
          <w:noProof/>
          <w:color w:val="000000" w:themeColor="text1"/>
        </w:rPr>
        <w:t>(Russell, McLean, Impellizzeri, et al., 2021)</w:t>
      </w:r>
      <w:r>
        <w:rPr>
          <w:rFonts w:ascii="Times" w:hAnsi="Times"/>
          <w:color w:val="000000" w:themeColor="text1"/>
        </w:rPr>
        <w:fldChar w:fldCharType="end"/>
      </w:r>
      <w:r w:rsidRPr="00DA5FAE">
        <w:rPr>
          <w:rFonts w:ascii="Times" w:hAnsi="Times"/>
          <w:color w:val="000000" w:themeColor="text1"/>
        </w:rPr>
        <w:t xml:space="preserve">.  </w:t>
      </w:r>
    </w:p>
    <w:p w14:paraId="4CAC3BF8" w14:textId="2594A8E1" w:rsidR="00E661DE" w:rsidRDefault="00E661DE" w:rsidP="00E661DE">
      <w:pPr>
        <w:spacing w:line="480" w:lineRule="auto"/>
        <w:rPr>
          <w:rFonts w:ascii="Times" w:hAnsi="Times"/>
          <w:color w:val="000000" w:themeColor="text1"/>
        </w:rPr>
      </w:pPr>
      <w:proofErr w:type="spellStart"/>
      <w:r w:rsidRPr="00DA5FAE">
        <w:rPr>
          <w:rFonts w:ascii="Times" w:hAnsi="Times"/>
          <w:color w:val="000000" w:themeColor="text1"/>
          <w:u w:val="single"/>
        </w:rPr>
        <w:t>PlayerLoad</w:t>
      </w:r>
      <w:proofErr w:type="spellEnd"/>
      <w:r w:rsidRPr="00DA5FAE">
        <w:rPr>
          <w:rFonts w:ascii="Times" w:hAnsi="Times"/>
          <w:color w:val="000000" w:themeColor="text1"/>
          <w:u w:val="single"/>
        </w:rPr>
        <w:sym w:font="Symbol" w:char="F0D4"/>
      </w:r>
      <w:r w:rsidRPr="00DA5FAE">
        <w:rPr>
          <w:rFonts w:ascii="Times" w:hAnsi="Times"/>
          <w:color w:val="000000" w:themeColor="text1"/>
          <w:u w:val="single"/>
        </w:rPr>
        <w:t xml:space="preserve"> (PL):</w:t>
      </w:r>
      <w:r w:rsidRPr="00DA5FAE">
        <w:rPr>
          <w:rFonts w:ascii="Times" w:hAnsi="Times"/>
          <w:color w:val="000000" w:themeColor="text1"/>
        </w:rPr>
        <w:t xml:space="preserve"> A proprietary formula that uses accelerometers to derive a calculation for external load</w:t>
      </w:r>
      <w:r>
        <w:rPr>
          <w:rFonts w:ascii="Times" w:hAnsi="Times"/>
          <w:color w:val="000000" w:themeColor="text1"/>
        </w:rPr>
        <w:t xml:space="preserve"> </w:t>
      </w:r>
      <w:r>
        <w:rPr>
          <w:rFonts w:ascii="Times" w:hAnsi="Times"/>
          <w:color w:val="000000" w:themeColor="text1"/>
        </w:rPr>
        <w:fldChar w:fldCharType="begin"/>
      </w:r>
      <w:r w:rsidR="0012636B">
        <w:rPr>
          <w:rFonts w:ascii="Times" w:hAnsi="Times"/>
          <w:color w:val="000000" w:themeColor="text1"/>
        </w:rPr>
        <w:instrText xml:space="preserve"> ADDIN ZOTERO_ITEM CSL_CITATION {"citationID":"rVS9lnF6","properties":{"formattedCitation":"(Nicolella et al., 2018)","plainCitation":"(Nicolella et al., 2018)","noteIndex":0},"citationItems":[{"id":"EicxuIVT/RJvJolvj","uris":["http://zotero.org/users/5493924/items/N76SPCDG"],"itemData":{"id":244,"type":"article-journal","abstract":"This study aimed to determine the intra- and inter-device accuracy and reliability of wearable athletic tracking devices, under controlled laboratory conditions. A total of nineteen portable accelerometers (Catapult OptimEye S5) were mounted to an aluminum bracket, bolted directly to an Unholtz Dickie 20K electrodynamic shaker table, and subjected to a series of oscillations in each of three orthogonal directions (front-back, side to side, and up-down), at four levels of peak acceleration (0.1g, 0.5g, 1.0g, and 3.0g), each repeated five times resulting in a total of 60 tests per unit, for a total of 1140 records. Data from each accelerometer was recorded at a sampling frequency of 100Hz. Peak accelerations recorded by the devices, Catapult PlayerLoad™, and calculated player load (using Catapult’s Cartesian formula) were used for the analysis. The devices demonstrated excellent intradevice reliability and mixed interdevice reliability. Differences were found between devices for mean peak accelerations and PlayerLoad™ for each direction and level of acceleration. Interdevice effect sizes ranged from a mean of 0.54 (95% CI: 0.34–0.74) (small) to 1.20 (95% CI: 1.08–1.30) (large) and ICCs ranged from 0.77 (95% CI: 0.62–0.89) (very large) to 1.0 (95% CI: 0.99–1.0) (nearly perfect) depending upon the magnitude and direction of the applied motion. When compared to the player load determined using the Cartesian formula, the Catapult reported PlayerLoad™ was consistently lower by approximately 15%. These results emphasize the need for industry wide standards in reporting validity, reliability and the magnitude of measurement errors. It is recommended that device reliability and accuracy are periodically quantified.","container-title":"PLOS ONE","DOI":"10.1371/journal.pone.0191823","ISSN":"1932-6203","issue":"2","journalAbbreviation":"PLoS ONE","language":"en","page":"e0191823","source":"DOI.org (Crossref)","title":"Validity and reliability of an accelerometer-based player tracking device","volume":"13","author":[{"family":"Nicolella","given":"Daniel P."},{"family":"Torres-Ronda","given":"Lorena"},{"family":"Saylor","given":"Kase J."},{"family":"Schelling","given":"Xavi"}],"editor":[{"family":"Ardigò","given":"Luca Paolo"}],"issued":{"date-parts":[["2018",2,8]]}}}],"schema":"https://github.com/citation-style-language/schema/raw/master/csl-citation.json"}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(Nicolella et al., 2018)</w:t>
      </w:r>
      <w:r>
        <w:rPr>
          <w:rFonts w:ascii="Times" w:hAnsi="Times"/>
          <w:color w:val="000000" w:themeColor="text1"/>
        </w:rPr>
        <w:fldChar w:fldCharType="end"/>
      </w:r>
      <w:r w:rsidRPr="00DA5FAE">
        <w:rPr>
          <w:rFonts w:ascii="Times" w:hAnsi="Times"/>
          <w:color w:val="000000" w:themeColor="text1"/>
        </w:rPr>
        <w:t>.</w:t>
      </w:r>
    </w:p>
    <w:p w14:paraId="7BB11D4D" w14:textId="5D769B67" w:rsidR="007D62D2" w:rsidRDefault="007D62D2" w:rsidP="007D62D2">
      <w:pPr>
        <w:spacing w:line="480" w:lineRule="auto"/>
        <w:rPr>
          <w:rFonts w:ascii="Times" w:hAnsi="Times"/>
          <w:color w:val="000000" w:themeColor="text1"/>
        </w:rPr>
      </w:pPr>
      <w:r>
        <w:rPr>
          <w:rFonts w:ascii="Times" w:hAnsi="Times"/>
          <w:color w:val="000000" w:themeColor="text1"/>
          <w:u w:val="single"/>
        </w:rPr>
        <w:t>Live Practice Drills</w:t>
      </w:r>
      <w:r>
        <w:rPr>
          <w:rFonts w:ascii="Times" w:hAnsi="Times"/>
          <w:color w:val="000000" w:themeColor="text1"/>
        </w:rPr>
        <w:t xml:space="preserve">: </w:t>
      </w:r>
      <w:r w:rsidRPr="007D62D2">
        <w:rPr>
          <w:rFonts w:ascii="Times" w:hAnsi="Times"/>
          <w:color w:val="000000" w:themeColor="text1"/>
        </w:rPr>
        <w:t>Simulated or actual competition, players must interpret and respond to unplanned stimuli. All games are considered live.</w:t>
      </w:r>
    </w:p>
    <w:p w14:paraId="19224155" w14:textId="49EA5A51" w:rsidR="007D62D2" w:rsidRDefault="007D62D2" w:rsidP="007D62D2">
      <w:pPr>
        <w:spacing w:line="480" w:lineRule="auto"/>
        <w:rPr>
          <w:rFonts w:ascii="Times" w:hAnsi="Times"/>
          <w:color w:val="000000" w:themeColor="text1"/>
        </w:rPr>
      </w:pPr>
      <w:r w:rsidRPr="00BE6377">
        <w:rPr>
          <w:rFonts w:ascii="Times" w:hAnsi="Times"/>
          <w:color w:val="000000" w:themeColor="text1"/>
          <w:u w:val="single"/>
        </w:rPr>
        <w:t>Non-Contact Practice Drills</w:t>
      </w:r>
      <w:r>
        <w:rPr>
          <w:rFonts w:ascii="Times" w:hAnsi="Times"/>
          <w:color w:val="000000" w:themeColor="text1"/>
        </w:rPr>
        <w:t xml:space="preserve">: </w:t>
      </w:r>
      <w:r w:rsidRPr="007D62D2">
        <w:rPr>
          <w:rFonts w:ascii="Times" w:hAnsi="Times"/>
          <w:color w:val="000000" w:themeColor="text1"/>
        </w:rPr>
        <w:t xml:space="preserve">Skill acquisition (passing, shooting, etc.) drills, as well as practice drills where players exhibit actions in accordance with direct instruction in a “scripted” fashion. </w:t>
      </w:r>
    </w:p>
    <w:p w14:paraId="3E97ADD7" w14:textId="5B451EE7" w:rsidR="007D62D2" w:rsidRPr="007D62D2" w:rsidRDefault="007D62D2" w:rsidP="007D62D2">
      <w:pPr>
        <w:spacing w:line="480" w:lineRule="auto"/>
        <w:rPr>
          <w:rFonts w:ascii="Times" w:hAnsi="Times"/>
          <w:color w:val="000000" w:themeColor="text1"/>
        </w:rPr>
      </w:pPr>
      <w:r w:rsidRPr="003314AC">
        <w:rPr>
          <w:rFonts w:ascii="Times" w:hAnsi="Times"/>
          <w:color w:val="000000" w:themeColor="text1"/>
          <w:u w:val="single"/>
        </w:rPr>
        <w:t>Scrimmages</w:t>
      </w:r>
      <w:r>
        <w:rPr>
          <w:rFonts w:ascii="Times" w:hAnsi="Times"/>
          <w:color w:val="000000" w:themeColor="text1"/>
        </w:rPr>
        <w:t>: Periods of play designed to mimic competition parameters. The game clock and shot clock are operated within the rules of NCAA Division I basketball, fouls are called in accordance with the NCAA rulebook, and substitution procedures are equivalent to those found in a game.</w:t>
      </w:r>
    </w:p>
    <w:p w14:paraId="60CF40A8" w14:textId="77777777" w:rsidR="008E7F85" w:rsidRPr="00DA5FAE" w:rsidRDefault="008E7F85" w:rsidP="00E661DE">
      <w:pPr>
        <w:spacing w:line="480" w:lineRule="auto"/>
        <w:rPr>
          <w:rFonts w:ascii="Times" w:hAnsi="Times"/>
          <w:color w:val="000000" w:themeColor="text1"/>
        </w:rPr>
      </w:pPr>
    </w:p>
    <w:p w14:paraId="4BAAA90F" w14:textId="77777777" w:rsidR="00E661DE" w:rsidRPr="00214302" w:rsidRDefault="00E661DE" w:rsidP="00E661DE">
      <w:pPr>
        <w:pStyle w:val="Title"/>
        <w:jc w:val="center"/>
        <w:rPr>
          <w:rFonts w:ascii="Times" w:hAnsi="Times"/>
          <w:color w:val="000000" w:themeColor="text1"/>
          <w:sz w:val="32"/>
          <w:szCs w:val="32"/>
        </w:rPr>
      </w:pPr>
      <w:r w:rsidRPr="00214302">
        <w:rPr>
          <w:rFonts w:ascii="Times" w:hAnsi="Times"/>
          <w:color w:val="000000" w:themeColor="text1"/>
          <w:sz w:val="32"/>
          <w:szCs w:val="32"/>
        </w:rPr>
        <w:t>Chapter 2: Literature Review</w:t>
      </w:r>
    </w:p>
    <w:p w14:paraId="6D249391" w14:textId="77777777" w:rsidR="00E661DE" w:rsidRPr="00DA5FAE" w:rsidRDefault="00E661DE" w:rsidP="00E661DE">
      <w:pPr>
        <w:rPr>
          <w:rFonts w:ascii="Times" w:hAnsi="Times"/>
          <w:color w:val="000000" w:themeColor="text1"/>
        </w:rPr>
      </w:pPr>
    </w:p>
    <w:p w14:paraId="6A1B1BBC" w14:textId="77777777" w:rsidR="00472D10" w:rsidRDefault="00E661DE" w:rsidP="006D1DCD">
      <w:pPr>
        <w:spacing w:line="480" w:lineRule="auto"/>
        <w:rPr>
          <w:rFonts w:ascii="Times" w:hAnsi="Times"/>
        </w:rPr>
      </w:pPr>
      <w:r w:rsidRPr="00DA5FAE">
        <w:rPr>
          <w:rFonts w:ascii="Times" w:hAnsi="Times"/>
          <w:color w:val="000000" w:themeColor="text1"/>
        </w:rPr>
        <w:tab/>
      </w:r>
      <w:r w:rsidRPr="00DA5FAE">
        <w:rPr>
          <w:rFonts w:ascii="Times" w:hAnsi="Times"/>
        </w:rPr>
        <w:t xml:space="preserve">A systematic review of the literature was performed from the earliest possible date to </w:t>
      </w:r>
      <w:r>
        <w:rPr>
          <w:rFonts w:ascii="Times" w:hAnsi="Times"/>
        </w:rPr>
        <w:t>February 2023</w:t>
      </w:r>
      <w:r w:rsidRPr="00DA5FAE">
        <w:rPr>
          <w:rFonts w:ascii="Times" w:hAnsi="Times"/>
        </w:rPr>
        <w:t xml:space="preserve">. Searches were conducted utilizing three academically oriented online databases </w:t>
      </w:r>
      <w:r>
        <w:rPr>
          <w:rFonts w:ascii="Times" w:hAnsi="Times"/>
        </w:rPr>
        <w:t>(</w:t>
      </w:r>
      <w:r w:rsidRPr="00DA5FAE">
        <w:rPr>
          <w:rFonts w:ascii="Times" w:hAnsi="Times"/>
        </w:rPr>
        <w:t>Google Scholar, EBSCO, and PubMed) and searches were performed utilizing the keywords: ‘basketball load’, ‘basketball load monitoring’, ‘college basketball load’ and ‘college basketball load monitoring’, 'college load’, ‘NCAA load’, ‘college load monitoring’. The titles and abstracts were scanned by the author to determine relevance to the proposed study.</w:t>
      </w:r>
      <w:r w:rsidR="00472D10">
        <w:rPr>
          <w:rFonts w:ascii="Times" w:hAnsi="Times"/>
        </w:rPr>
        <w:t xml:space="preserve"> </w:t>
      </w:r>
    </w:p>
    <w:p w14:paraId="323A3C60" w14:textId="76A38E89" w:rsidR="00E661DE" w:rsidRPr="00DA5FAE" w:rsidRDefault="00E661DE" w:rsidP="006D1DCD">
      <w:pPr>
        <w:spacing w:line="480" w:lineRule="auto"/>
        <w:ind w:firstLine="720"/>
        <w:rPr>
          <w:rFonts w:ascii="Times" w:hAnsi="Times"/>
        </w:rPr>
      </w:pPr>
      <w:r w:rsidRPr="00DA5FAE">
        <w:rPr>
          <w:rFonts w:ascii="Times" w:hAnsi="Times"/>
          <w:color w:val="000000" w:themeColor="text1"/>
        </w:rPr>
        <w:t xml:space="preserve">Despite the benefits of having a clear understanding of the physical demands of college basketball players, very little research has been done in the area. To </w:t>
      </w:r>
      <w:r>
        <w:rPr>
          <w:rFonts w:ascii="Times" w:hAnsi="Times"/>
          <w:color w:val="000000" w:themeColor="text1"/>
        </w:rPr>
        <w:t>date</w:t>
      </w:r>
      <w:r w:rsidRPr="00DA5FAE">
        <w:rPr>
          <w:rFonts w:ascii="Times" w:hAnsi="Times"/>
          <w:color w:val="000000" w:themeColor="text1"/>
        </w:rPr>
        <w:t xml:space="preserve">, there are only </w:t>
      </w:r>
      <w:r w:rsidR="00472D10">
        <w:rPr>
          <w:rFonts w:ascii="Times" w:hAnsi="Times"/>
          <w:color w:val="000000" w:themeColor="text1"/>
        </w:rPr>
        <w:t>three</w:t>
      </w:r>
      <w:r w:rsidRPr="00DA5FAE">
        <w:rPr>
          <w:rFonts w:ascii="Times" w:hAnsi="Times"/>
          <w:color w:val="000000" w:themeColor="text1"/>
        </w:rPr>
        <w:t xml:space="preserve"> </w:t>
      </w:r>
      <w:r>
        <w:rPr>
          <w:rFonts w:ascii="Times" w:hAnsi="Times"/>
          <w:color w:val="000000" w:themeColor="text1"/>
        </w:rPr>
        <w:t xml:space="preserve">published </w:t>
      </w:r>
      <w:r w:rsidRPr="00DA5FAE">
        <w:rPr>
          <w:rFonts w:ascii="Times" w:hAnsi="Times"/>
          <w:color w:val="000000" w:themeColor="text1"/>
        </w:rPr>
        <w:t xml:space="preserve">studies that examine the load demands of college basketball players over the course of an NCAA </w:t>
      </w:r>
      <w:r w:rsidR="00472D10">
        <w:rPr>
          <w:rFonts w:ascii="Times" w:hAnsi="Times"/>
          <w:color w:val="000000" w:themeColor="text1"/>
        </w:rPr>
        <w:t>DI basketball</w:t>
      </w:r>
      <w:r w:rsidRPr="00DA5FAE">
        <w:rPr>
          <w:rFonts w:ascii="Times" w:hAnsi="Times"/>
          <w:color w:val="000000" w:themeColor="text1"/>
        </w:rPr>
        <w:t xml:space="preserve"> season, and only one such study </w:t>
      </w:r>
      <w:r>
        <w:rPr>
          <w:rFonts w:ascii="Times" w:hAnsi="Times"/>
          <w:color w:val="000000" w:themeColor="text1"/>
        </w:rPr>
        <w:t xml:space="preserve">which </w:t>
      </w:r>
      <w:r w:rsidRPr="00DA5FAE">
        <w:rPr>
          <w:rFonts w:ascii="Times" w:hAnsi="Times"/>
          <w:color w:val="000000" w:themeColor="text1"/>
        </w:rPr>
        <w:t>utilizes male athletes. Therefore, the paucity of research in this area allows this paper to contribute to the current literature regarding load demands in basketball. In order to further understand this topic, the current literature regarding the importance of load monitoring in high performance sport, the current methodologies surrounding load monitoring, and similar studies to the present study</w:t>
      </w:r>
      <w:r>
        <w:rPr>
          <w:rFonts w:ascii="Times" w:hAnsi="Times"/>
          <w:color w:val="000000" w:themeColor="text1"/>
        </w:rPr>
        <w:t xml:space="preserve"> will be discussed</w:t>
      </w:r>
      <w:r w:rsidRPr="00DA5FAE">
        <w:rPr>
          <w:rFonts w:ascii="Times" w:hAnsi="Times"/>
          <w:color w:val="000000" w:themeColor="text1"/>
        </w:rPr>
        <w:t>.</w:t>
      </w:r>
      <w:r>
        <w:rPr>
          <w:rFonts w:ascii="Times" w:hAnsi="Times"/>
          <w:color w:val="000000" w:themeColor="text1"/>
        </w:rPr>
        <w:t xml:space="preserve"> </w:t>
      </w:r>
    </w:p>
    <w:p w14:paraId="7F2AEFD6" w14:textId="77777777" w:rsidR="00E661DE" w:rsidRPr="00214302" w:rsidRDefault="00E661DE" w:rsidP="00E661DE">
      <w:pPr>
        <w:pStyle w:val="Heading1"/>
        <w:rPr>
          <w:rFonts w:ascii="Times" w:hAnsi="Times"/>
          <w:color w:val="000000" w:themeColor="text1"/>
          <w:sz w:val="28"/>
          <w:szCs w:val="28"/>
        </w:rPr>
      </w:pPr>
      <w:r w:rsidRPr="00214302">
        <w:rPr>
          <w:rFonts w:ascii="Times" w:hAnsi="Times"/>
          <w:color w:val="000000" w:themeColor="text1"/>
          <w:sz w:val="28"/>
          <w:szCs w:val="28"/>
        </w:rPr>
        <w:t>Related Literature</w:t>
      </w:r>
    </w:p>
    <w:p w14:paraId="2D3FD117" w14:textId="77777777" w:rsidR="00E661DE" w:rsidRPr="00D63B18" w:rsidRDefault="00E661DE" w:rsidP="00E661DE">
      <w:pPr>
        <w:pStyle w:val="Heading2"/>
        <w:rPr>
          <w:rFonts w:ascii="Times" w:hAnsi="Times"/>
          <w:i/>
          <w:iCs/>
          <w:color w:val="000000" w:themeColor="text1"/>
        </w:rPr>
      </w:pPr>
      <w:r w:rsidRPr="00D63B18">
        <w:rPr>
          <w:rFonts w:ascii="Times" w:hAnsi="Times"/>
          <w:i/>
          <w:iCs/>
          <w:color w:val="000000" w:themeColor="text1"/>
        </w:rPr>
        <w:t xml:space="preserve">Importance of Monitoring Load </w:t>
      </w:r>
    </w:p>
    <w:p w14:paraId="04452C03" w14:textId="77777777" w:rsidR="00E661DE" w:rsidRPr="00DA5FAE" w:rsidRDefault="00E661DE" w:rsidP="00E661DE">
      <w:pPr>
        <w:rPr>
          <w:rFonts w:ascii="Times" w:hAnsi="Times"/>
          <w:color w:val="000000" w:themeColor="text1"/>
        </w:rPr>
      </w:pPr>
    </w:p>
    <w:p w14:paraId="6CB61B98" w14:textId="5BE114A1"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rPr>
        <w:tab/>
        <w:t xml:space="preserve">One of the most important concepts in sport performance is the relationship between training/competition stimuli and its effect on physiological adaptations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{"citationID":"piuiAhPY","properties":{"formattedCitation":"(Jeffries et al., 2021)","plainCitation":"(Jeffries et al., 2021)","noteIndex":0},"citationItems":[{"id":182,"uris":["http://zotero.org/users/5493924/items/JFCEWTR6"],"itemData":{"id":182,"type":"article-journal","abstract":"A conceptual framework has a central role in the scientific process. Its purpose is to synthesize evidence, assist in understanding phenomena, inform future research and act as a reference operational guide in practical settings. We propose an updated conceptual framework intended to facilitate the validation and interpretation of physical training measures. This revised conceptual framework was constructed through a process of qualitative analysis involving a synthesis of the literature, analysis and integration with existing frameworks (Banister and PerPot models). We identified, expanded, and integrated four constructs that are important in the conceptualization of the process and outcomes of physical training. These are: (1) formal introduction of a new measurable component ‘training effects’, a higher-order construct resulting from the combined effect of four possible responses (acute and chronic, positive and negative); (2) explanation, clarification and examples of training effect measures such as performance, physiological, subjective and other measures (cognitive, biomechanical, etc.); (3) integration of the sport performance outcome continuum (from performance improvements to overtraining); (4) extension and definition of the network of linkages (uni and bidirectional) between individual and contextual factors and other constructs. Additionally, we provided constitutive and operational definitions, and examples of theoretical and practical applications of the framework. These include validation and conceptualization of constructs (e.g., performance readiness), and understanding of higher-order constructs, such as training tolerance, when monitoring training to adapt it to individual responses and effects. This proposed conceptual framework provides an overarching model that may help understand and guide the development, validation, implementation and interpretation of measures used for athlete monitoring.","container-title":"Sports Medicine","DOI":"10.1007/s40279-021-01551-5","ISSN":"0112-1642, 1179-2035","journalAbbreviation":"Sports Med","language":"en","source":"DOI.org (Crossref)","title":"Development of a revised coneptual framework of physical training for use in research and practice","URL":"https://link.springer.com/10.1007/s40279-021-01551-5","author":[{"family":"Jeffries","given":"Annie C."},{"family":"Marcora","given":"Samuele M."},{"family":"Coutts","given":"Aaron J."},{"family":"Wallace","given":"Lee"},{"family":"McCall","given":"Alan"},{"family":"Impellizzeri","given":"Franco M."}],"accessed":{"date-parts":[["2022",2,20]]},"issued":{"date-parts":[["2021",9,14]]}}}],"schema":"https://github.com/citation-style-language/schema/raw/master/csl-citation.json"}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(Jeffries et al., 2021)</w:t>
      </w:r>
      <w:r w:rsidRPr="00DA5FAE">
        <w:rPr>
          <w:rFonts w:ascii="Times" w:hAnsi="Times"/>
          <w:color w:val="000000" w:themeColor="text1"/>
        </w:rPr>
        <w:fldChar w:fldCharType="end"/>
      </w:r>
      <w:r w:rsidRPr="00DA5FAE">
        <w:rPr>
          <w:rFonts w:ascii="Times" w:hAnsi="Times"/>
          <w:color w:val="000000" w:themeColor="text1"/>
        </w:rPr>
        <w:t xml:space="preserve">. There have been a number of articles that discuss the appropriate training interventions to generate maximum </w:t>
      </w:r>
      <w:r w:rsidR="00472D10">
        <w:rPr>
          <w:rFonts w:ascii="Times" w:hAnsi="Times"/>
          <w:color w:val="000000" w:themeColor="text1"/>
        </w:rPr>
        <w:t xml:space="preserve">physical </w:t>
      </w:r>
      <w:r w:rsidRPr="00DA5FAE">
        <w:rPr>
          <w:rFonts w:ascii="Times" w:hAnsi="Times"/>
          <w:color w:val="000000" w:themeColor="text1"/>
        </w:rPr>
        <w:t>adaptations, but the focus of</w:t>
      </w:r>
      <w:r w:rsidR="00472D10">
        <w:rPr>
          <w:rFonts w:ascii="Times" w:hAnsi="Times"/>
          <w:color w:val="000000" w:themeColor="text1"/>
        </w:rPr>
        <w:t xml:space="preserve"> this </w:t>
      </w:r>
      <w:r w:rsidRPr="00DA5FAE">
        <w:rPr>
          <w:rFonts w:ascii="Times" w:hAnsi="Times"/>
          <w:color w:val="000000" w:themeColor="text1"/>
        </w:rPr>
        <w:t xml:space="preserve">review </w:t>
      </w:r>
      <w:r>
        <w:rPr>
          <w:rFonts w:ascii="Times" w:hAnsi="Times"/>
          <w:color w:val="000000" w:themeColor="text1"/>
        </w:rPr>
        <w:t>will be regarding</w:t>
      </w:r>
      <w:r w:rsidRPr="00DA5FAE">
        <w:rPr>
          <w:rFonts w:ascii="Times" w:hAnsi="Times"/>
          <w:color w:val="000000" w:themeColor="text1"/>
        </w:rPr>
        <w:t xml:space="preserve"> overapplication of training stimulus that</w:t>
      </w:r>
      <w:r>
        <w:rPr>
          <w:rFonts w:ascii="Times" w:hAnsi="Times"/>
          <w:color w:val="000000" w:themeColor="text1"/>
        </w:rPr>
        <w:t xml:space="preserve"> often</w:t>
      </w:r>
      <w:r w:rsidRPr="00DA5FAE">
        <w:rPr>
          <w:rFonts w:ascii="Times" w:hAnsi="Times"/>
          <w:color w:val="000000" w:themeColor="text1"/>
        </w:rPr>
        <w:t xml:space="preserve"> results in </w:t>
      </w:r>
      <w:r w:rsidR="00472D10">
        <w:rPr>
          <w:rFonts w:ascii="Times" w:hAnsi="Times"/>
          <w:color w:val="000000" w:themeColor="text1"/>
        </w:rPr>
        <w:t>athlete fatigue</w:t>
      </w:r>
      <w:r>
        <w:rPr>
          <w:rFonts w:ascii="Times" w:hAnsi="Times"/>
          <w:color w:val="000000" w:themeColor="text1"/>
        </w:rPr>
        <w:t xml:space="preserve"> and </w:t>
      </w:r>
      <w:r w:rsidR="00472D10">
        <w:rPr>
          <w:rFonts w:ascii="Times" w:hAnsi="Times"/>
          <w:color w:val="000000" w:themeColor="text1"/>
        </w:rPr>
        <w:t>subsequent impairment</w:t>
      </w:r>
      <w:r>
        <w:rPr>
          <w:rFonts w:ascii="Times" w:hAnsi="Times"/>
          <w:color w:val="000000" w:themeColor="text1"/>
        </w:rPr>
        <w:t xml:space="preserve"> sport performance</w:t>
      </w:r>
      <w:r w:rsidRPr="00DA5FAE">
        <w:rPr>
          <w:rFonts w:ascii="Times" w:hAnsi="Times"/>
          <w:color w:val="000000" w:themeColor="text1"/>
        </w:rPr>
        <w:t xml:space="preserve">. In order to further elucidate this concept, it is important that a </w:t>
      </w:r>
      <w:r w:rsidRPr="00DA5FAE">
        <w:rPr>
          <w:rFonts w:ascii="Times" w:hAnsi="Times"/>
          <w:color w:val="000000" w:themeColor="text1"/>
        </w:rPr>
        <w:lastRenderedPageBreak/>
        <w:t>theoretical concept of the relationship between prescription of training stimulus and performance outcomes be established. Training stimulus</w:t>
      </w:r>
      <w:r>
        <w:rPr>
          <w:rFonts w:ascii="Times" w:hAnsi="Times"/>
          <w:color w:val="000000" w:themeColor="text1"/>
        </w:rPr>
        <w:t xml:space="preserve"> can be sufficiently quantified by separating the stimulus, or load, into two different categories: </w:t>
      </w:r>
      <w:r w:rsidRPr="00DA5FAE">
        <w:rPr>
          <w:rFonts w:ascii="Times" w:hAnsi="Times"/>
          <w:color w:val="000000" w:themeColor="text1"/>
        </w:rPr>
        <w:t xml:space="preserve">internal or external load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{"citationID":"5zslhRbu","properties":{"formattedCitation":"(Jeffries et al., 2021)","plainCitation":"(Jeffries et al., 2021)","noteIndex":0},"citationItems":[{"id":182,"uris":["http://zotero.org/users/5493924/items/JFCEWTR6"],"itemData":{"id":182,"type":"article-journal","abstract":"A conceptual framework has a central role in the scientific process. Its purpose is to synthesize evidence, assist in understanding phenomena, inform future research and act as a reference operational guide in practical settings. We propose an updated conceptual framework intended to facilitate the validation and interpretation of physical training measures. This revised conceptual framework was constructed through a process of qualitative analysis involving a synthesis of the literature, analysis and integration with existing frameworks (Banister and PerPot models). We identified, expanded, and integrated four constructs that are important in the conceptualization of the process and outcomes of physical training. These are: (1) formal introduction of a new measurable component ‘training effects’, a higher-order construct resulting from the combined effect of four possible responses (acute and chronic, positive and negative); (2) explanation, clarification and examples of training effect measures such as performance, physiological, subjective and other measures (cognitive, biomechanical, etc.); (3) integration of the sport performance outcome continuum (from performance improvements to overtraining); (4) extension and definition of the network of linkages (uni and bidirectional) between individual and contextual factors and other constructs. Additionally, we provided constitutive and operational definitions, and examples of theoretical and practical applications of the framework. These include validation and conceptualization of constructs (e.g., performance readiness), and understanding of higher-order constructs, such as training tolerance, when monitoring training to adapt it to individual responses and effects. This proposed conceptual framework provides an overarching model that may help understand and guide the development, validation, implementation and interpretation of measures used for athlete monitoring.","container-title":"Sports Medicine","DOI":"10.1007/s40279-021-01551-5","ISSN":"0112-1642, 1179-2035","journalAbbreviation":"Sports Med","language":"en","source":"DOI.org (Crossref)","title":"Development of a revised coneptual framework of physical training for use in research and practice","URL":"https://link.springer.com/10.1007/s40279-021-01551-5","author":[{"family":"Jeffries","given":"Annie C."},{"family":"Marcora","given":"Samuele M."},{"family":"Coutts","given":"Aaron J."},{"family":"Wallace","given":"Lee"},{"family":"McCall","given":"Alan"},{"family":"Impellizzeri","given":"Franco M."}],"accessed":{"date-parts":[["2022",2,20]]},"issued":{"date-parts":[["2021",9,14]]}}}],"schema":"https://github.com/citation-style-language/schema/raw/master/csl-citation.json"}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(Jeffries et al., 2021)</w:t>
      </w:r>
      <w:r w:rsidRPr="00DA5FAE">
        <w:rPr>
          <w:rFonts w:ascii="Times" w:hAnsi="Times"/>
          <w:color w:val="000000" w:themeColor="text1"/>
        </w:rPr>
        <w:fldChar w:fldCharType="end"/>
      </w:r>
      <w:r w:rsidRPr="00DA5FAE">
        <w:rPr>
          <w:rFonts w:ascii="Times" w:hAnsi="Times"/>
          <w:color w:val="000000" w:themeColor="text1"/>
        </w:rPr>
        <w:t>. Internal load is defined as the physiological stresses that are imposed in response to a stimulus</w:t>
      </w:r>
      <w:r>
        <w:rPr>
          <w:rFonts w:ascii="Times" w:hAnsi="Times"/>
          <w:color w:val="000000" w:themeColor="text1"/>
        </w:rPr>
        <w:t xml:space="preserve"> </w:t>
      </w:r>
      <w:r>
        <w:rPr>
          <w:rFonts w:ascii="Times" w:hAnsi="Times"/>
          <w:color w:val="000000" w:themeColor="text1"/>
        </w:rPr>
        <w:fldChar w:fldCharType="begin"/>
      </w:r>
      <w:r>
        <w:rPr>
          <w:rFonts w:ascii="Times" w:hAnsi="Times"/>
          <w:color w:val="000000" w:themeColor="text1"/>
        </w:rPr>
        <w:instrText xml:space="preserve"> ADDIN ZOTERO_ITEM CSL_CITATION {"citationID":"EfMHviNn","properties":{"formattedCitation":"(Halson, 2014)","plainCitation":"(Halson, 2014)","noteIndex":0},"citationItems":[{"id":6,"uris":["http://zotero.org/users/5493924/items/3VL2EUHJ"],"itemData":{"id":6,"type":"article-journal","container-title":"Sports Medicine","DOI":"10.1007/s40279-014-0253-z","ISSN":"0112-1642, 1179-2035","issue":"S2","language":"en","page":"139-147","source":"Crossref","title":"Monitoring Training Load to Understand Fatigue in Athletes","volume":"44","author":[{"family":"Halson","given":"Shona L."}],"issued":{"date-parts":[["2014",11]]}}}],"schema":"https://github.com/citation-style-language/schema/raw/master/csl-citation.json"}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(Halson, 2014)</w:t>
      </w:r>
      <w:r>
        <w:rPr>
          <w:rFonts w:ascii="Times" w:hAnsi="Times"/>
          <w:color w:val="000000" w:themeColor="text1"/>
        </w:rPr>
        <w:fldChar w:fldCharType="end"/>
      </w:r>
      <w:r w:rsidRPr="00DA5FAE">
        <w:rPr>
          <w:rFonts w:ascii="Times" w:hAnsi="Times"/>
          <w:color w:val="000000" w:themeColor="text1"/>
        </w:rPr>
        <w:t>, while external load is the amount of activity done or work completed by an athlete</w:t>
      </w:r>
      <w:r>
        <w:rPr>
          <w:rFonts w:ascii="Times" w:hAnsi="Times"/>
          <w:color w:val="000000" w:themeColor="text1"/>
        </w:rPr>
        <w:t xml:space="preserve"> </w:t>
      </w:r>
      <w:r>
        <w:rPr>
          <w:rFonts w:ascii="Times" w:hAnsi="Times"/>
          <w:color w:val="000000" w:themeColor="text1"/>
        </w:rPr>
        <w:fldChar w:fldCharType="begin"/>
      </w:r>
      <w:r>
        <w:rPr>
          <w:rFonts w:ascii="Times" w:hAnsi="Times"/>
          <w:color w:val="000000" w:themeColor="text1"/>
        </w:rPr>
        <w:instrText xml:space="preserve"> ADDIN ZOTERO_ITEM CSL_CITATION {"citationID":"s7MbVzhZ","properties":{"formattedCitation":"(Torres-Ronda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Pr>
          <w:rFonts w:ascii="Cambria Math" w:hAnsi="Cambria Math" w:cs="Cambria Math"/>
          <w:color w:val="000000" w:themeColor="text1"/>
        </w:rPr>
        <w:instrText>‑</w:instrText>
      </w:r>
      <w:r>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Pr>
          <w:rFonts w:ascii="Cambria Math" w:hAnsi="Cambria Math" w:cs="Cambria Math"/>
          <w:color w:val="000000" w:themeColor="text1"/>
        </w:rPr>
        <w:instrText>‑</w:instrText>
      </w:r>
      <w:r>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(Torres-Ronda et al., 2022)</w:t>
      </w:r>
      <w:r>
        <w:rPr>
          <w:rFonts w:ascii="Times" w:hAnsi="Times"/>
          <w:color w:val="000000" w:themeColor="text1"/>
        </w:rPr>
        <w:fldChar w:fldCharType="end"/>
      </w:r>
      <w:r w:rsidRPr="00DA5FAE">
        <w:rPr>
          <w:rFonts w:ascii="Times" w:hAnsi="Times"/>
          <w:color w:val="000000" w:themeColor="text1"/>
        </w:rPr>
        <w:t xml:space="preserve">. </w:t>
      </w:r>
    </w:p>
    <w:p w14:paraId="37F545F7" w14:textId="64772CAF"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rPr>
        <w:tab/>
      </w:r>
      <w:r>
        <w:rPr>
          <w:rFonts w:ascii="Times" w:hAnsi="Times"/>
          <w:color w:val="000000" w:themeColor="text1"/>
        </w:rPr>
        <w:t>I</w:t>
      </w:r>
      <w:r w:rsidRPr="00DA5FAE">
        <w:rPr>
          <w:rFonts w:ascii="Times" w:hAnsi="Times"/>
          <w:color w:val="000000" w:themeColor="text1"/>
        </w:rPr>
        <w:t>nternal and external load contribute to acute and chronic training effects (</w:t>
      </w:r>
      <w:r>
        <w:rPr>
          <w:rFonts w:ascii="Times" w:hAnsi="Times"/>
          <w:color w:val="000000" w:themeColor="text1"/>
        </w:rPr>
        <w:t>both of which can be quantified</w:t>
      </w:r>
      <w:r w:rsidR="00472D10" w:rsidRPr="00DA5FAE">
        <w:rPr>
          <w:rFonts w:ascii="Times" w:hAnsi="Times"/>
          <w:color w:val="000000" w:themeColor="text1"/>
        </w:rPr>
        <w:t>) and</w:t>
      </w:r>
      <w:r>
        <w:rPr>
          <w:rFonts w:ascii="Times" w:hAnsi="Times"/>
          <w:color w:val="000000" w:themeColor="text1"/>
        </w:rPr>
        <w:t xml:space="preserve"> </w:t>
      </w:r>
      <w:r w:rsidRPr="00DA5FAE">
        <w:rPr>
          <w:rFonts w:ascii="Times" w:hAnsi="Times"/>
          <w:color w:val="000000" w:themeColor="text1"/>
        </w:rPr>
        <w:t>combine to produce overall outcomes in sport performance. However, an accumulation of chronic training effects</w:t>
      </w:r>
      <w:r>
        <w:rPr>
          <w:rFonts w:ascii="Times" w:hAnsi="Times"/>
          <w:color w:val="000000" w:themeColor="text1"/>
        </w:rPr>
        <w:t xml:space="preserve"> </w:t>
      </w:r>
      <w:r w:rsidRPr="00DA5FAE">
        <w:rPr>
          <w:rFonts w:ascii="Times" w:hAnsi="Times"/>
          <w:color w:val="000000" w:themeColor="text1"/>
        </w:rPr>
        <w:t>without appropriately planned rest periods can lead to</w:t>
      </w:r>
      <w:r>
        <w:rPr>
          <w:rFonts w:ascii="Times" w:hAnsi="Times"/>
          <w:color w:val="000000" w:themeColor="text1"/>
        </w:rPr>
        <w:t xml:space="preserve"> fatigue, which can result</w:t>
      </w:r>
      <w:r w:rsidRPr="00DA5FAE">
        <w:rPr>
          <w:rFonts w:ascii="Times" w:hAnsi="Times"/>
          <w:color w:val="000000" w:themeColor="text1"/>
        </w:rPr>
        <w:t xml:space="preserve"> negative outcomes in sport performance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{"citationID":"HjVYztzo","properties":{"formattedCitation":"(Jeffries et al., 2021)","plainCitation":"(Jeffries et al., 2021)","noteIndex":0},"citationItems":[{"id":182,"uris":["http://zotero.org/users/5493924/items/JFCEWTR6"],"itemData":{"id":182,"type":"article-journal","abstract":"A conceptual framework has a central role in the scientific process. Its purpose is to synthesize evidence, assist in understanding phenomena, inform future research and act as a reference operational guide in practical settings. We propose an updated conceptual framework intended to facilitate the validation and interpretation of physical training measures. This revised conceptual framework was constructed through a process of qualitative analysis involving a synthesis of the literature, analysis and integration with existing frameworks (Banister and PerPot models). We identified, expanded, and integrated four constructs that are important in the conceptualization of the process and outcomes of physical training. These are: (1) formal introduction of a new measurable component ‘training effects’, a higher-order construct resulting from the combined effect of four possible responses (acute and chronic, positive and negative); (2) explanation, clarification and examples of training effect measures such as performance, physiological, subjective and other measures (cognitive, biomechanical, etc.); (3) integration of the sport performance outcome continuum (from performance improvements to overtraining); (4) extension and definition of the network of linkages (uni and bidirectional) between individual and contextual factors and other constructs. Additionally, we provided constitutive and operational definitions, and examples of theoretical and practical applications of the framework. These include validation and conceptualization of constructs (e.g., performance readiness), and understanding of higher-order constructs, such as training tolerance, when monitoring training to adapt it to individual responses and effects. This proposed conceptual framework provides an overarching model that may help understand and guide the development, validation, implementation and interpretation of measures used for athlete monitoring.","container-title":"Sports Medicine","DOI":"10.1007/s40279-021-01551-5","ISSN":"0112-1642, 1179-2035","journalAbbreviation":"Sports Med","language":"en","source":"DOI.org (Crossref)","title":"Development of a revised coneptual framework of physical training for use in research and practice","URL":"https://link.springer.com/10.1007/s40279-021-01551-5","author":[{"family":"Jeffries","given":"Annie C."},{"family":"Marcora","given":"Samuele M."},{"family":"Coutts","given":"Aaron J."},{"family":"Wallace","given":"Lee"},{"family":"McCall","given":"Alan"},{"family":"Impellizzeri","given":"Franco M."}],"accessed":{"date-parts":[["2022",2,20]]},"issued":{"date-parts":[["2021",9,14]]}}}],"schema":"https://github.com/citation-style-language/schema/raw/master/csl-citation.json"}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(Jeffries et al., 2021)</w:t>
      </w:r>
      <w:r w:rsidRPr="00DA5FAE">
        <w:rPr>
          <w:rFonts w:ascii="Times" w:hAnsi="Times"/>
          <w:color w:val="000000" w:themeColor="text1"/>
        </w:rPr>
        <w:fldChar w:fldCharType="end"/>
      </w:r>
      <w:r w:rsidRPr="00DA5FAE">
        <w:rPr>
          <w:rFonts w:ascii="Times" w:hAnsi="Times"/>
          <w:color w:val="000000" w:themeColor="text1"/>
        </w:rPr>
        <w:t>. If chronic training effects are allowed to build over an extended period of time (weeks to months)</w:t>
      </w:r>
      <w:r w:rsidR="00472D10">
        <w:rPr>
          <w:rFonts w:ascii="Times" w:hAnsi="Times"/>
          <w:color w:val="000000" w:themeColor="text1"/>
        </w:rPr>
        <w:t>,</w:t>
      </w:r>
      <w:r w:rsidRPr="00DA5FAE">
        <w:rPr>
          <w:rFonts w:ascii="Times" w:hAnsi="Times"/>
          <w:color w:val="000000" w:themeColor="text1"/>
        </w:rPr>
        <w:t xml:space="preserve"> athlete safety can be </w:t>
      </w:r>
      <w:proofErr w:type="gramStart"/>
      <w:r w:rsidRPr="00DA5FAE">
        <w:rPr>
          <w:rFonts w:ascii="Times" w:hAnsi="Times"/>
          <w:color w:val="000000" w:themeColor="text1"/>
        </w:rPr>
        <w:t>compromised</w:t>
      </w:r>
      <w:proofErr w:type="gramEnd"/>
      <w:r w:rsidR="00472D10">
        <w:rPr>
          <w:rFonts w:ascii="Times" w:hAnsi="Times"/>
          <w:color w:val="000000" w:themeColor="text1"/>
        </w:rPr>
        <w:t xml:space="preserve"> </w:t>
      </w:r>
      <w:r w:rsidRPr="00DA5FAE">
        <w:rPr>
          <w:rFonts w:ascii="Times" w:hAnsi="Times"/>
          <w:color w:val="000000" w:themeColor="text1"/>
        </w:rPr>
        <w:t xml:space="preserve">and health issues could arise. Thus, the balance of measuring chronic training effects and appropriate rest is of the utmost importance to practitioners to not only promote athlete performance, but also ensure athlete safety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{"citationID":"cLcsq1Oh","properties":{"formattedCitation":"(Jeffries et al., 2021)","plainCitation":"(Jeffries et al., 2021)","noteIndex":0},"citationItems":[{"id":182,"uris":["http://zotero.org/users/5493924/items/JFCEWTR6"],"itemData":{"id":182,"type":"article-journal","abstract":"A conceptual framework has a central role in the scientific process. Its purpose is to synthesize evidence, assist in understanding phenomena, inform future research and act as a reference operational guide in practical settings. We propose an updated conceptual framework intended to facilitate the validation and interpretation of physical training measures. This revised conceptual framework was constructed through a process of qualitative analysis involving a synthesis of the literature, analysis and integration with existing frameworks (Banister and PerPot models). We identified, expanded, and integrated four constructs that are important in the conceptualization of the process and outcomes of physical training. These are: (1) formal introduction of a new measurable component ‘training effects’, a higher-order construct resulting from the combined effect of four possible responses (acute and chronic, positive and negative); (2) explanation, clarification and examples of training effect measures such as performance, physiological, subjective and other measures (cognitive, biomechanical, etc.); (3) integration of the sport performance outcome continuum (from performance improvements to overtraining); (4) extension and definition of the network of linkages (uni and bidirectional) between individual and contextual factors and other constructs. Additionally, we provided constitutive and operational definitions, and examples of theoretical and practical applications of the framework. These include validation and conceptualization of constructs (e.g., performance readiness), and understanding of higher-order constructs, such as training tolerance, when monitoring training to adapt it to individual responses and effects. This proposed conceptual framework provides an overarching model that may help understand and guide the development, validation, implementation and interpretation of measures used for athlete monitoring.","container-title":"Sports Medicine","DOI":"10.1007/s40279-021-01551-5","ISSN":"0112-1642, 1179-2035","journalAbbreviation":"Sports Med","language":"en","source":"DOI.org (Crossref)","title":"Development of a revised coneptual framework of physical training for use in research and practice","URL":"https://link.springer.com/10.1007/s40279-021-01551-5","author":[{"family":"Jeffries","given":"Annie C."},{"family":"Marcora","given":"Samuele M."},{"family":"Coutts","given":"Aaron J."},{"family":"Wallace","given":"Lee"},{"family":"McCall","given":"Alan"},{"family":"Impellizzeri","given":"Franco M."}],"accessed":{"date-parts":[["2022",2,20]]},"issued":{"date-parts":[["2021",9,14]]}}}],"schema":"https://github.com/citation-style-language/schema/raw/master/csl-citation.json"}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(Jeffries et al., 2021)</w:t>
      </w:r>
      <w:r w:rsidRPr="00DA5FAE">
        <w:rPr>
          <w:rFonts w:ascii="Times" w:hAnsi="Times"/>
          <w:color w:val="000000" w:themeColor="text1"/>
        </w:rPr>
        <w:fldChar w:fldCharType="end"/>
      </w:r>
      <w:r w:rsidRPr="00DA5FAE">
        <w:rPr>
          <w:rFonts w:ascii="Times" w:hAnsi="Times"/>
          <w:color w:val="000000" w:themeColor="text1"/>
        </w:rPr>
        <w:t xml:space="preserve">. In order to manage this key relationship, the load placed on an athlete must be constantly monitored. Internal load, as it is a measurement of physiological variables, can be measured through heart rate monitoring, hormonal profiles, or athlete questionnaires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{"citationID":"QsUEZzUA","properties":{"formattedCitation":"(Halson, 2014)","plainCitation":"(Halson, 2014)","noteIndex":0},"citationItems":[{"id":6,"uris":["http://zotero.org/users/5493924/items/3VL2EUHJ"],"itemData":{"id":6,"type":"article-journal","container-title":"Sports Medicine","DOI":"10.1007/s40279-014-0253-z","ISSN":"0112-1642, 1179-2035","issue":"S2","language":"en","page":"139-147","source":"Crossref","title":"Monitoring Training Load to Understand Fatigue in Athletes","volume":"44","author":[{"family":"Halson","given":"Shona L."}],"issued":{"date-parts":[["2014",11]]}}}],"schema":"https://github.com/citation-style-language/schema/raw/master/csl-citation.json"}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(Halson, 2014)</w:t>
      </w:r>
      <w:r w:rsidRPr="00DA5FAE">
        <w:rPr>
          <w:rFonts w:ascii="Times" w:hAnsi="Times"/>
          <w:color w:val="000000" w:themeColor="text1"/>
        </w:rPr>
        <w:fldChar w:fldCharType="end"/>
      </w:r>
      <w:r w:rsidRPr="00DA5FAE">
        <w:rPr>
          <w:rFonts w:ascii="Times" w:hAnsi="Times"/>
          <w:color w:val="000000" w:themeColor="text1"/>
        </w:rPr>
        <w:t xml:space="preserve">. External load, which is easier to quantify, forms the basis of most athlete monitoring systems and will be discussed in the next section. </w:t>
      </w:r>
    </w:p>
    <w:p w14:paraId="5789ED72" w14:textId="77777777" w:rsidR="00E661DE" w:rsidRPr="00D63B18" w:rsidRDefault="00E661DE" w:rsidP="00E661DE">
      <w:pPr>
        <w:pStyle w:val="Heading2"/>
        <w:rPr>
          <w:rFonts w:ascii="Times" w:hAnsi="Times"/>
          <w:i/>
          <w:iCs/>
          <w:color w:val="000000" w:themeColor="text1"/>
        </w:rPr>
      </w:pPr>
      <w:r w:rsidRPr="00D63B18">
        <w:rPr>
          <w:rFonts w:ascii="Times" w:hAnsi="Times"/>
          <w:i/>
          <w:iCs/>
          <w:color w:val="000000" w:themeColor="text1"/>
        </w:rPr>
        <w:t>External Load Monitoring</w:t>
      </w:r>
    </w:p>
    <w:p w14:paraId="61670AA6" w14:textId="77777777" w:rsidR="00E661DE" w:rsidRPr="00DA5FAE" w:rsidRDefault="00E661DE" w:rsidP="00E661DE">
      <w:pPr>
        <w:rPr>
          <w:rFonts w:ascii="Times" w:hAnsi="Times"/>
          <w:color w:val="000000" w:themeColor="text1"/>
        </w:rPr>
      </w:pPr>
    </w:p>
    <w:p w14:paraId="49107325" w14:textId="3635809C" w:rsidR="00E661DE" w:rsidRPr="00574C61" w:rsidRDefault="00E661DE" w:rsidP="00E661DE">
      <w:pPr>
        <w:spacing w:line="480" w:lineRule="auto"/>
        <w:rPr>
          <w:rFonts w:ascii="Times" w:hAnsi="Times"/>
        </w:rPr>
      </w:pPr>
      <w:r w:rsidRPr="00DA5FAE">
        <w:rPr>
          <w:rFonts w:ascii="Times" w:hAnsi="Times"/>
          <w:color w:val="000000" w:themeColor="text1"/>
        </w:rPr>
        <w:tab/>
        <w:t xml:space="preserve">The proliferation of new technologies have given practitioners a host of tools in which to monitor external load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{"citationID":"NBRB94IT","properties":{"formattedCitation":"(Torres-Ronda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Pr>
          <w:rFonts w:ascii="Cambria Math" w:hAnsi="Cambria Math" w:cs="Cambria Math"/>
          <w:color w:val="000000" w:themeColor="text1"/>
        </w:rPr>
        <w:instrText>‑</w:instrText>
      </w:r>
      <w:r>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Pr>
          <w:rFonts w:ascii="Cambria Math" w:hAnsi="Cambria Math" w:cs="Cambria Math"/>
          <w:color w:val="000000" w:themeColor="text1"/>
        </w:rPr>
        <w:instrText>‑</w:instrText>
      </w:r>
      <w:r>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(Torres-Ronda et al., 2022)</w:t>
      </w:r>
      <w:r w:rsidRPr="00DA5FAE">
        <w:rPr>
          <w:rFonts w:ascii="Times" w:hAnsi="Times"/>
          <w:color w:val="000000" w:themeColor="text1"/>
        </w:rPr>
        <w:fldChar w:fldCharType="end"/>
      </w:r>
      <w:r w:rsidRPr="00DA5FAE">
        <w:rPr>
          <w:rFonts w:ascii="Times" w:hAnsi="Times"/>
          <w:color w:val="000000" w:themeColor="text1"/>
        </w:rPr>
        <w:t>. All of these systems have been extensively studied and have been determined to be both valid and reliable, but for the purposes of this</w:t>
      </w:r>
      <w:r>
        <w:rPr>
          <w:rFonts w:ascii="Times" w:hAnsi="Times"/>
          <w:color w:val="000000" w:themeColor="text1"/>
        </w:rPr>
        <w:t xml:space="preserve"> study</w:t>
      </w:r>
      <w:r w:rsidRPr="00DA5FAE">
        <w:rPr>
          <w:rFonts w:ascii="Times" w:hAnsi="Times"/>
          <w:color w:val="000000" w:themeColor="text1"/>
        </w:rPr>
        <w:t xml:space="preserve">, </w:t>
      </w:r>
      <w:r w:rsidRPr="00DA5FAE">
        <w:rPr>
          <w:rFonts w:ascii="Times" w:hAnsi="Times"/>
          <w:color w:val="000000" w:themeColor="text1"/>
        </w:rPr>
        <w:lastRenderedPageBreak/>
        <w:t>LPS systems will be reviewed as this was the tool of choice for t</w:t>
      </w:r>
      <w:r>
        <w:rPr>
          <w:rFonts w:ascii="Times" w:hAnsi="Times"/>
          <w:color w:val="000000" w:themeColor="text1"/>
        </w:rPr>
        <w:t>he</w:t>
      </w:r>
      <w:r w:rsidR="00472D10">
        <w:rPr>
          <w:rFonts w:ascii="Times" w:hAnsi="Times"/>
          <w:color w:val="000000" w:themeColor="text1"/>
        </w:rPr>
        <w:t xml:space="preserve"> present research</w:t>
      </w:r>
      <w:r w:rsidRPr="00DA5FAE">
        <w:rPr>
          <w:rFonts w:ascii="Times" w:hAnsi="Times"/>
          <w:color w:val="000000" w:themeColor="text1"/>
        </w:rPr>
        <w:t>. Local positioning systems, or LPS, utilize sensors</w:t>
      </w:r>
      <w:r>
        <w:rPr>
          <w:rFonts w:ascii="Times" w:hAnsi="Times"/>
          <w:color w:val="000000" w:themeColor="text1"/>
        </w:rPr>
        <w:t xml:space="preserve"> or </w:t>
      </w:r>
      <w:r w:rsidRPr="00DA5FAE">
        <w:rPr>
          <w:rFonts w:ascii="Times" w:hAnsi="Times"/>
          <w:color w:val="000000" w:themeColor="text1"/>
        </w:rPr>
        <w:t xml:space="preserve">receivers placed at different points around the field of play, and players are required to wear microsensor devices on their person in order to transmit data to these sensors. </w:t>
      </w:r>
      <w:r>
        <w:rPr>
          <w:rFonts w:ascii="Times" w:hAnsi="Times"/>
          <w:color w:val="000000" w:themeColor="text1"/>
        </w:rPr>
        <w:t xml:space="preserve">Prior to usage, the field of play is mapped by the sensors so the microsensor devices are able to transmit positional data, which is then used to derive key external load metrics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{"citationID":"UXqFoaMd","properties":{"formattedCitation":"(Torres-Ronda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Pr>
          <w:rFonts w:ascii="Cambria Math" w:hAnsi="Cambria Math" w:cs="Cambria Math"/>
          <w:color w:val="000000" w:themeColor="text1"/>
        </w:rPr>
        <w:instrText>‑</w:instrText>
      </w:r>
      <w:r>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Pr>
          <w:rFonts w:ascii="Cambria Math" w:hAnsi="Cambria Math" w:cs="Cambria Math"/>
          <w:color w:val="000000" w:themeColor="text1"/>
        </w:rPr>
        <w:instrText>‑</w:instrText>
      </w:r>
      <w:r>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(Torres-Ronda et al., 2022)</w:t>
      </w:r>
      <w:r w:rsidRPr="00DA5FAE">
        <w:rPr>
          <w:rFonts w:ascii="Times" w:hAnsi="Times"/>
          <w:color w:val="000000" w:themeColor="text1"/>
        </w:rPr>
        <w:fldChar w:fldCharType="end"/>
      </w:r>
      <w:r w:rsidRPr="00DA5FAE">
        <w:rPr>
          <w:rFonts w:ascii="Times" w:hAnsi="Times"/>
          <w:color w:val="000000" w:themeColor="text1"/>
        </w:rPr>
        <w:t>. In addition to the use of sensors to tr</w:t>
      </w:r>
      <w:r w:rsidRPr="00AD64B6">
        <w:rPr>
          <w:rFonts w:ascii="Times" w:hAnsi="Times"/>
          <w:color w:val="000000" w:themeColor="text1"/>
        </w:rPr>
        <w:t xml:space="preserve">iangulate position, microsensor devices also contain triaxial accelerometers, which are able to measure vectors (i.e., magnitude and direction of movement) in order to derive load </w:t>
      </w:r>
      <w:r w:rsidRPr="00AD64B6">
        <w:rPr>
          <w:rFonts w:ascii="Times" w:hAnsi="Times"/>
          <w:color w:val="000000" w:themeColor="text1"/>
        </w:rPr>
        <w:fldChar w:fldCharType="begin"/>
      </w:r>
      <w:r w:rsidRPr="00560322">
        <w:rPr>
          <w:rFonts w:ascii="Times" w:hAnsi="Times"/>
          <w:color w:val="000000" w:themeColor="text1"/>
        </w:rPr>
        <w:instrText xml:space="preserve"> ADDIN ZOTERO_ITEM CSL_CITATION {"citationID":"8yW7RRXe","properties":{"formattedCitation":"(Torres-Ronda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sidRPr="00560322">
        <w:rPr>
          <w:rFonts w:ascii="Cambria Math" w:hAnsi="Cambria Math" w:cs="Cambria Math"/>
          <w:color w:val="000000" w:themeColor="text1"/>
        </w:rPr>
        <w:instrText>‑</w:instrText>
      </w:r>
      <w:r w:rsidRPr="00560322">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sidRPr="00560322">
        <w:rPr>
          <w:rFonts w:ascii="Cambria Math" w:hAnsi="Cambria Math" w:cs="Cambria Math"/>
          <w:color w:val="000000" w:themeColor="text1"/>
        </w:rPr>
        <w:instrText>‑</w:instrText>
      </w:r>
      <w:r w:rsidRPr="00560322">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sidRPr="00AD64B6">
        <w:rPr>
          <w:rFonts w:ascii="Times" w:hAnsi="Times"/>
          <w:color w:val="000000" w:themeColor="text1"/>
        </w:rPr>
        <w:fldChar w:fldCharType="separate"/>
      </w:r>
      <w:r w:rsidRPr="00AD64B6">
        <w:rPr>
          <w:rFonts w:ascii="Times" w:hAnsi="Times"/>
          <w:noProof/>
          <w:color w:val="000000" w:themeColor="text1"/>
        </w:rPr>
        <w:t>(Torres-Ronda et al., 2022)</w:t>
      </w:r>
      <w:r w:rsidRPr="00AD64B6">
        <w:rPr>
          <w:rFonts w:ascii="Times" w:hAnsi="Times"/>
          <w:color w:val="000000" w:themeColor="text1"/>
        </w:rPr>
        <w:fldChar w:fldCharType="end"/>
      </w:r>
      <w:r w:rsidRPr="00AD64B6">
        <w:rPr>
          <w:rFonts w:ascii="Times" w:hAnsi="Times"/>
          <w:color w:val="000000" w:themeColor="text1"/>
        </w:rPr>
        <w:t xml:space="preserve">. </w:t>
      </w:r>
      <w:r w:rsidRPr="00574C61">
        <w:rPr>
          <w:rFonts w:ascii="Times" w:hAnsi="Times"/>
        </w:rPr>
        <w:t xml:space="preserve">In each device, there are accelerometers that measure movement in 3 planes of motion: side to side (X axis), forward and backwards (Z axis), and up and down (Y Axis). At a specific moment in time, typically at a rate of 100hz, the intensity of the movement in each direction is captured. These values are then summed over the entire the length of the session to generate a specific value which is used to represent external load </w:t>
      </w:r>
      <w:r w:rsidRPr="00574C61">
        <w:rPr>
          <w:rFonts w:ascii="Times" w:hAnsi="Times"/>
        </w:rPr>
        <w:fldChar w:fldCharType="begin"/>
      </w:r>
      <w:r w:rsidR="0012636B">
        <w:rPr>
          <w:rFonts w:ascii="Times" w:hAnsi="Times"/>
        </w:rPr>
        <w:instrText xml:space="preserve"> ADDIN ZOTERO_ITEM CSL_CITATION {"citationID":"ZzxB601u","properties":{"formattedCitation":"(Nicolella et al., 2018)","plainCitation":"(Nicolella et al., 2018)","noteIndex":0},"citationItems":[{"id":"EicxuIVT/RJvJolvj","uris":["http://zotero.org/users/5493924/items/N76SPCDG"],"itemData":{"id":244,"type":"article-journal","abstract":"This study aimed to determine the intra- and inter-device accuracy and reliability of wearable athletic tracking devices, under controlled laboratory conditions. A total of nineteen portable accelerometers (Catapult OptimEye S5) were mounted to an aluminum bracket, bolted directly to an Unholtz Dickie 20K electrodynamic shaker table, and subjected to a series of oscillations in each of three orthogonal directions (front-back, side to side, and up-down), at four levels of peak acceleration (0.1g, 0.5g, 1.0g, and 3.0g), each repeated five times resulting in a total of 60 tests per unit, for a total of 1140 records. Data from each accelerometer was recorded at a sampling frequency of 100Hz. Peak accelerations recorded by the devices, Catapult PlayerLoad™, and calculated player load (using Catapult’s Cartesian formula) were used for the analysis. The devices demonstrated excellent intradevice reliability and mixed interdevice reliability. Differences were found between devices for mean peak accelerations and PlayerLoad™ for each direction and level of acceleration. Interdevice effect sizes ranged from a mean of 0.54 (95% CI: 0.34–0.74) (small) to 1.20 (95% CI: 1.08–1.30) (large) and ICCs ranged from 0.77 (95% CI: 0.62–0.89) (very large) to 1.0 (95% CI: 0.99–1.0) (nearly perfect) depending upon the magnitude and direction of the applied motion. When compared to the player load determined using the Cartesian formula, the Catapult reported PlayerLoad™ was consistently lower by approximately 15%. These results emphasize the need for industry wide standards in reporting validity, reliability and the magnitude of measurement errors. It is recommended that device reliability and accuracy are periodically quantified.","container-title":"PLOS ONE","DOI":"10.1371/journal.pone.0191823","ISSN":"1932-6203","issue":"2","journalAbbreviation":"PLoS ONE","language":"en","page":"e0191823","source":"DOI.org (Crossref)","title":"Validity and reliability of an accelerometer-based player tracking device","volume":"13","author":[{"family":"Nicolella","given":"Daniel P."},{"family":"Torres-Ronda","given":"Lorena"},{"family":"Saylor","given":"Kase J."},{"family":"Schelling","given":"Xavi"}],"editor":[{"family":"Ardigò","given":"Luca Paolo"}],"issued":{"date-parts":[["2018",2,8]]}}}],"schema":"https://github.com/citation-style-language/schema/raw/master/csl-citation.json"} </w:instrText>
      </w:r>
      <w:r w:rsidRPr="00574C61">
        <w:rPr>
          <w:rFonts w:ascii="Times" w:hAnsi="Times"/>
        </w:rPr>
        <w:fldChar w:fldCharType="separate"/>
      </w:r>
      <w:r w:rsidRPr="00574C61">
        <w:rPr>
          <w:rFonts w:ascii="Times" w:hAnsi="Times"/>
          <w:noProof/>
        </w:rPr>
        <w:t>(Nicolella et al., 2018)</w:t>
      </w:r>
      <w:r w:rsidRPr="00574C61">
        <w:rPr>
          <w:rFonts w:ascii="Times" w:hAnsi="Times"/>
        </w:rPr>
        <w:fldChar w:fldCharType="end"/>
      </w:r>
      <w:r w:rsidRPr="00574C61">
        <w:rPr>
          <w:rFonts w:ascii="Times" w:hAnsi="Times"/>
          <w:noProof/>
        </w:rPr>
        <w:t xml:space="preserve">. </w:t>
      </w:r>
      <w:r w:rsidRPr="00574C61">
        <w:rPr>
          <w:rFonts w:ascii="Times" w:hAnsi="Times"/>
        </w:rPr>
        <w:t xml:space="preserve">While each company who manufactures these devices has their own unique formula, Catapult Sports uses the below formula to generate a metric called </w:t>
      </w:r>
      <w:proofErr w:type="spellStart"/>
      <w:r w:rsidRPr="00574C61">
        <w:rPr>
          <w:rFonts w:ascii="Times" w:hAnsi="Times"/>
        </w:rPr>
        <w:t>PlayerLoad</w:t>
      </w:r>
      <w:proofErr w:type="spellEnd"/>
      <w:r w:rsidR="004822F0">
        <w:rPr>
          <w:rFonts w:ascii="Times" w:hAnsi="Times"/>
        </w:rPr>
        <w:t>™(PL)</w:t>
      </w:r>
      <w:r w:rsidRPr="00574C61">
        <w:rPr>
          <w:rFonts w:ascii="Times" w:hAnsi="Times"/>
        </w:rPr>
        <w:t>, which is a singular number used to represent the external load of an athlete.</w:t>
      </w:r>
    </w:p>
    <w:p w14:paraId="171E416A" w14:textId="77777777" w:rsidR="00E661DE" w:rsidRPr="00574C61" w:rsidRDefault="00E661DE" w:rsidP="00E661DE">
      <w:pPr>
        <w:spacing w:line="480" w:lineRule="auto"/>
        <w:ind w:firstLine="720"/>
        <w:rPr>
          <w:rFonts w:ascii="Times" w:hAnsi="Times"/>
        </w:rPr>
      </w:pPr>
    </w:p>
    <w:p w14:paraId="7EC0335B" w14:textId="77777777" w:rsidR="00E661DE" w:rsidRPr="00574C61" w:rsidRDefault="006D2D0B" w:rsidP="00E661DE">
      <w:pPr>
        <w:spacing w:line="480" w:lineRule="auto"/>
        <w:ind w:firstLine="720"/>
        <w:rPr>
          <w:rFonts w:ascii="Times" w:hAnsi="Times"/>
        </w:rPr>
      </w:pPr>
      <m:oMathPara>
        <m:oMath>
          <m:nary>
            <m:naryPr>
              <m:chr m:val="∑"/>
              <m:ctrlPr>
                <w:rPr>
                  <w:rFonts w:ascii="Cambria Math" w:hAnsi="Cambria Math"/>
                </w:rPr>
              </m:ctrlPr>
            </m:naryPr>
            <m:sub>
              <m:r>
                <m:rPr>
                  <m:sty m:val="p"/>
                </m:rPr>
                <w:rPr>
                  <w:rFonts w:ascii="Cambria Math" w:hAnsi="Cambria Math"/>
                </w:rPr>
                <m:t>i=0</m:t>
              </m:r>
            </m:sub>
            <m:sup>
              <m:r>
                <m:rPr>
                  <m:sty m:val="p"/>
                </m:rPr>
                <w:rPr>
                  <w:rFonts w:ascii="Cambria Math" w:hAnsi="Cambria Math"/>
                </w:rPr>
                <m:t>n</m:t>
              </m:r>
            </m:sup>
            <m:e>
              <m:r>
                <w:rPr>
                  <w:rFonts w:ascii="Cambria Math" w:hAnsi="Cambria Math"/>
                  <w:color w:val="FFFFFF" w:themeColor="background1"/>
                </w:rPr>
                <m:t>×</m:t>
              </m:r>
            </m:e>
          </m:nary>
          <m:rad>
            <m:radPr>
              <m:degHide m:val="1"/>
              <m:ctrlPr>
                <w:rPr>
                  <w:rFonts w:ascii="Cambria Math" w:hAnsi="Cambria Math"/>
                </w:rPr>
              </m:ctrlPr>
            </m:radPr>
            <m:deg>
              <m:ctrlPr>
                <w:rPr>
                  <w:rFonts w:ascii="Cambria Math" w:hAnsi="Cambria Math"/>
                  <w:i/>
                </w:rPr>
              </m:ctrlPr>
            </m:deg>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ax</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ax</m:t>
                      </m:r>
                    </m:e>
                    <m:sub>
                      <m:r>
                        <w:rPr>
                          <w:rFonts w:ascii="Cambria Math" w:hAnsi="Cambria Math"/>
                        </w:rPr>
                        <m:t>i-1</m:t>
                      </m:r>
                    </m:sub>
                  </m:sSub>
                  <m:r>
                    <w:rPr>
                      <w:rFonts w:ascii="Cambria Math" w:hAnsi="Cambria Math"/>
                    </w:rPr>
                    <m:t>)</m:t>
                  </m:r>
                </m:e>
                <m:sup>
                  <m:r>
                    <w:rPr>
                      <w:rFonts w:ascii="Cambria Math" w:hAnsi="Cambria Math"/>
                    </w:rPr>
                    <m:t>2</m:t>
                  </m:r>
                </m:sup>
              </m:sSup>
              <m:r>
                <w:rPr>
                  <w:rFonts w:ascii="Cambria Math" w:hAnsi="Cambria Math"/>
                </w:rPr>
                <m:t>+ </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az</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az</m:t>
                      </m:r>
                    </m:e>
                    <m:sub>
                      <m:r>
                        <w:rPr>
                          <w:rFonts w:ascii="Cambria Math" w:hAnsi="Cambria Math"/>
                        </w:rPr>
                        <m:t>i-1</m:t>
                      </m:r>
                    </m:sub>
                  </m:sSub>
                  <m:r>
                    <w:rPr>
                      <w:rFonts w:ascii="Cambria Math" w:hAnsi="Cambria Math"/>
                    </w:rPr>
                    <m:t>)</m:t>
                  </m:r>
                </m:e>
                <m:sup>
                  <m:r>
                    <w:rPr>
                      <w:rFonts w:ascii="Cambria Math" w:hAnsi="Cambria Math"/>
                    </w:rPr>
                    <m:t>2</m:t>
                  </m:r>
                </m:sup>
              </m:sSup>
              <m:r>
                <w:rPr>
                  <w:rFonts w:ascii="Cambria Math" w:hAnsi="Cambria Math"/>
                </w:rPr>
                <m:t>+ </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ay</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ay</m:t>
                      </m:r>
                    </m:e>
                    <m:sub>
                      <m:r>
                        <w:rPr>
                          <w:rFonts w:ascii="Cambria Math" w:hAnsi="Cambria Math"/>
                        </w:rPr>
                        <m:t>i-1</m:t>
                      </m:r>
                    </m:sub>
                  </m:sSub>
                  <m:r>
                    <w:rPr>
                      <w:rFonts w:ascii="Cambria Math" w:hAnsi="Cambria Math"/>
                    </w:rPr>
                    <m:t>)</m:t>
                  </m:r>
                </m:e>
                <m:sup>
                  <m:r>
                    <w:rPr>
                      <w:rFonts w:ascii="Cambria Math" w:hAnsi="Cambria Math"/>
                    </w:rPr>
                    <m:t>2</m:t>
                  </m:r>
                </m:sup>
              </m:sSup>
            </m:e>
          </m:rad>
        </m:oMath>
      </m:oMathPara>
    </w:p>
    <w:p w14:paraId="2E7F1E93" w14:textId="77777777" w:rsidR="00E661DE" w:rsidRPr="00DA5FAE" w:rsidRDefault="00E661DE" w:rsidP="00E661DE">
      <w:pPr>
        <w:spacing w:line="480" w:lineRule="auto"/>
        <w:rPr>
          <w:rFonts w:ascii="Times" w:hAnsi="Times"/>
          <w:color w:val="000000" w:themeColor="text1"/>
        </w:rPr>
      </w:pPr>
    </w:p>
    <w:p w14:paraId="5DC4B243" w14:textId="77777777" w:rsidR="00E661DE" w:rsidRPr="00DA5FAE" w:rsidRDefault="00E661DE" w:rsidP="00E661DE">
      <w:pPr>
        <w:spacing w:line="480" w:lineRule="auto"/>
        <w:ind w:firstLine="720"/>
        <w:rPr>
          <w:rFonts w:ascii="Times" w:hAnsi="Times"/>
          <w:color w:val="000000" w:themeColor="text1"/>
        </w:rPr>
      </w:pPr>
      <w:r>
        <w:rPr>
          <w:rFonts w:ascii="Times" w:hAnsi="Times"/>
          <w:color w:val="000000" w:themeColor="text1"/>
        </w:rPr>
        <w:t xml:space="preserve">A </w:t>
      </w:r>
      <w:r w:rsidRPr="00DA5FAE">
        <w:rPr>
          <w:rFonts w:ascii="Times" w:hAnsi="Times"/>
          <w:color w:val="000000" w:themeColor="text1"/>
        </w:rPr>
        <w:t xml:space="preserve">number of studies have examined the validity and reliability of Catapult systems (specifically, Catapult T6 </w:t>
      </w:r>
      <w:proofErr w:type="spellStart"/>
      <w:r w:rsidRPr="00DA5FAE">
        <w:rPr>
          <w:rFonts w:ascii="Times" w:hAnsi="Times"/>
          <w:color w:val="000000" w:themeColor="text1"/>
        </w:rPr>
        <w:t>ClearSky</w:t>
      </w:r>
      <w:proofErr w:type="spellEnd"/>
      <w:r w:rsidRPr="00DA5FAE">
        <w:rPr>
          <w:rFonts w:ascii="Times" w:hAnsi="Times"/>
          <w:color w:val="000000" w:themeColor="text1"/>
        </w:rPr>
        <w:t xml:space="preserve">, the company’s flagship model) and have found that Catapult technologies are a valid </w:t>
      </w:r>
      <w:r>
        <w:rPr>
          <w:rFonts w:ascii="Times" w:hAnsi="Times"/>
          <w:color w:val="000000" w:themeColor="text1"/>
        </w:rPr>
        <w:t xml:space="preserve">tool to measure </w:t>
      </w:r>
      <w:r w:rsidRPr="00DA5FAE">
        <w:rPr>
          <w:rFonts w:ascii="Times" w:hAnsi="Times"/>
          <w:color w:val="000000" w:themeColor="text1"/>
        </w:rPr>
        <w:t xml:space="preserve">external load. In one study, researchers set out to </w:t>
      </w:r>
      <w:r w:rsidRPr="00DA5FAE">
        <w:rPr>
          <w:rFonts w:ascii="Times" w:hAnsi="Times"/>
          <w:color w:val="000000" w:themeColor="text1"/>
        </w:rPr>
        <w:lastRenderedPageBreak/>
        <w:t xml:space="preserve">determine the validity of the Catapult T6 </w:t>
      </w:r>
      <w:proofErr w:type="spellStart"/>
      <w:r w:rsidRPr="00DA5FAE">
        <w:rPr>
          <w:rFonts w:ascii="Times" w:hAnsi="Times"/>
          <w:color w:val="000000" w:themeColor="text1"/>
        </w:rPr>
        <w:t>ClearSky</w:t>
      </w:r>
      <w:proofErr w:type="spellEnd"/>
      <w:r w:rsidRPr="00DA5FAE">
        <w:rPr>
          <w:rFonts w:ascii="Times" w:hAnsi="Times"/>
          <w:color w:val="000000" w:themeColor="text1"/>
        </w:rPr>
        <w:t xml:space="preserve"> system with regards to its use of sensors for triangulation of position and the metrics that </w:t>
      </w:r>
      <w:r>
        <w:rPr>
          <w:rFonts w:ascii="Times" w:hAnsi="Times"/>
          <w:color w:val="000000" w:themeColor="text1"/>
        </w:rPr>
        <w:t>are</w:t>
      </w:r>
      <w:r w:rsidRPr="00DA5FAE">
        <w:rPr>
          <w:rFonts w:ascii="Times" w:hAnsi="Times"/>
          <w:color w:val="000000" w:themeColor="text1"/>
        </w:rPr>
        <w:t xml:space="preserve"> derived from it. Data w</w:t>
      </w:r>
      <w:r>
        <w:rPr>
          <w:rFonts w:ascii="Times" w:hAnsi="Times"/>
          <w:color w:val="000000" w:themeColor="text1"/>
        </w:rPr>
        <w:t>as</w:t>
      </w:r>
      <w:r w:rsidRPr="00DA5FAE">
        <w:rPr>
          <w:rFonts w:ascii="Times" w:hAnsi="Times"/>
          <w:color w:val="000000" w:themeColor="text1"/>
        </w:rPr>
        <w:t xml:space="preserve"> collected from a variety of sport specific drills</w:t>
      </w:r>
      <w:r>
        <w:rPr>
          <w:rFonts w:ascii="Times" w:hAnsi="Times"/>
          <w:color w:val="000000" w:themeColor="text1"/>
        </w:rPr>
        <w:t xml:space="preserve"> involving male and female handball athletes</w:t>
      </w:r>
      <w:r w:rsidRPr="00DA5FAE">
        <w:rPr>
          <w:rFonts w:ascii="Times" w:hAnsi="Times"/>
          <w:color w:val="000000" w:themeColor="text1"/>
        </w:rPr>
        <w:t xml:space="preserve">, and researchers </w:t>
      </w:r>
      <w:r>
        <w:rPr>
          <w:rFonts w:ascii="Times" w:hAnsi="Times"/>
          <w:color w:val="000000" w:themeColor="text1"/>
        </w:rPr>
        <w:t>sought to determine the validity of position, distance travelled, and instantaneous speed</w:t>
      </w:r>
      <w:r w:rsidRPr="00DA5FAE">
        <w:rPr>
          <w:rFonts w:ascii="Times" w:hAnsi="Times"/>
          <w:color w:val="000000" w:themeColor="text1"/>
        </w:rPr>
        <w:t>. In order to determine validity, the data</w:t>
      </w:r>
      <w:r>
        <w:rPr>
          <w:rFonts w:ascii="Times" w:hAnsi="Times"/>
          <w:color w:val="000000" w:themeColor="text1"/>
        </w:rPr>
        <w:t xml:space="preserve"> from the Catapult T6 </w:t>
      </w:r>
      <w:proofErr w:type="spellStart"/>
      <w:r>
        <w:rPr>
          <w:rFonts w:ascii="Times" w:hAnsi="Times"/>
          <w:color w:val="000000" w:themeColor="text1"/>
        </w:rPr>
        <w:t>ClearSky</w:t>
      </w:r>
      <w:proofErr w:type="spellEnd"/>
      <w:r>
        <w:rPr>
          <w:rFonts w:ascii="Times" w:hAnsi="Times"/>
          <w:color w:val="000000" w:themeColor="text1"/>
        </w:rPr>
        <w:t xml:space="preserve"> devices</w:t>
      </w:r>
      <w:r w:rsidRPr="00DA5FAE">
        <w:rPr>
          <w:rFonts w:ascii="Times" w:hAnsi="Times"/>
          <w:color w:val="000000" w:themeColor="text1"/>
        </w:rPr>
        <w:t xml:space="preserve"> was compared to data from a camera system</w:t>
      </w:r>
      <w:r>
        <w:rPr>
          <w:rFonts w:ascii="Times" w:hAnsi="Times"/>
          <w:color w:val="000000" w:themeColor="text1"/>
        </w:rPr>
        <w:t xml:space="preserve"> for reference</w:t>
      </w:r>
      <w:r w:rsidRPr="00DA5FAE">
        <w:rPr>
          <w:rFonts w:ascii="Times" w:hAnsi="Times"/>
          <w:color w:val="000000" w:themeColor="text1"/>
        </w:rPr>
        <w:t xml:space="preserve"> to determine differences in position</w:t>
      </w:r>
      <w:r>
        <w:rPr>
          <w:rFonts w:ascii="Times" w:hAnsi="Times"/>
          <w:color w:val="000000" w:themeColor="text1"/>
        </w:rPr>
        <w:t xml:space="preserve"> at different time intervals. </w:t>
      </w:r>
      <w:r w:rsidRPr="00DA5FAE">
        <w:rPr>
          <w:rFonts w:ascii="Times" w:hAnsi="Times"/>
          <w:color w:val="000000" w:themeColor="text1"/>
        </w:rPr>
        <w:t xml:space="preserve">With respect to positioning and distance data, LPS data differed from the camera data by a mean difference of 0.21 ± 0.13 m and 0.31 ± 0.40 m respectively. Both differences were well below 2%, making LPS a valid measurement of position, distance, and as a result, average speed. However, the system showed greater error (&gt;35%) when measuring instantaneous speed, making the LPS sub-optimal for measuring instantaneous speed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{"citationID":"MyyWvqRJ","properties":{"formattedCitation":"(Luteberget et al., 2018)","plainCitation":"(Luteberget et al., 2018)","noteIndex":0},"citationItems":[{"id":225,"uris":["http://zotero.org/users/5493924/items/2EDGVWSJ"],"itemData":{"id":225,"type":"article-journal","abstract":"Aim: The aim of the present study was to determine the validity of position, distance traveled and instantaneous speed of team sport players as measured by a commercially available local positioning system (LPS) during indoor use. In addition, the study investigated how the placement of the ﬁeld of play relative to the anchor nodes and walls of the building affected the validity of the system. Method: The LPS (Catapult ClearSky T6, Catapult Sports, Australia) and the reference system [Qualisys Oqus, Qualisys AB, Sweden, (infra-red camera system)] were installed around the ﬁeld of play to capture the athletes’ motion. Athletes completed ﬁve tasks, all designed to imitate team-sports movements. The same protocol was completed in two sessions, one with an assumed optimal geometrical setup of the LPS (optimal condition), and once with a sub-optimal geometrical setup of the LPS (sub-optimal condition). Raw two-dimensional position data were extracted from both the LPS and the reference system for accuracy assessment. Position, distance and speed were compared. Results: The mean difference between the LPS and reference system for all position estimations was 0.21 ± 0.13 m (n = 30,166) in the optimal setup, and 1.79 ± 7.61 m (n = 22,799) in the sub-optimal setup. The average difference in distance was below 2% for all tasks in the optimal condition, while it was below 30% in the sub-optimal condition. Instantaneous speed showed the largest differences between the LPS and reference system of all variables, both in the optimal (≥35%) and sub-optimal condition (≥74%). The differences between the LPS and reference system in instantaneous speed were speed dependent, showing increased differences with increasing speed. Discussion: Measures of position, distance, and average speed from the LPS show low errors, and can be used conﬁdently in time-motion analyses for indoor team sports. The calculation of instantaneous speed from LPS raw data is not valid. To enhance instantaneous speed calculation the application of appropriate ﬁltering techniques to enhance the validity of such data should be investigated. For all measures, the placement of anchor nodes and the ﬁeld of play relative to the walls of the building inﬂuence LPS output to a large degree.","container-title":"Frontiers in Physiology","DOI":"10.3389/fphys.2018.00115","ISSN":"1664-042X","journalAbbreviation":"Front. Physiol.","language":"en","page":"115","source":"DOI.org (Crossref)","title":"Validity of the Catapult ClearSky T6 Local Positioning System for Team Sports Specific Drills, in Indoor Conditions","volume":"9","author":[{"family":"Luteberget","given":"Live S."},{"family":"Spencer","given":"Matt"},{"family":"Gilgien","given":"Matthias"}],"issued":{"date-parts":[["2018",4,4]]}}}],"schema":"https://github.com/citation-style-language/schema/raw/master/csl-citation.json"}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(Luteberget et al., 2018)</w:t>
      </w:r>
      <w:r w:rsidRPr="00DA5FAE">
        <w:rPr>
          <w:rFonts w:ascii="Times" w:hAnsi="Times"/>
          <w:color w:val="000000" w:themeColor="text1"/>
        </w:rPr>
        <w:fldChar w:fldCharType="end"/>
      </w:r>
      <w:r w:rsidRPr="00DA5FAE">
        <w:rPr>
          <w:rFonts w:ascii="Times" w:hAnsi="Times"/>
          <w:color w:val="000000" w:themeColor="text1"/>
        </w:rPr>
        <w:t xml:space="preserve">. </w:t>
      </w:r>
    </w:p>
    <w:p w14:paraId="5DF78B68" w14:textId="2E20C2F3"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rPr>
        <w:tab/>
      </w:r>
      <w:r>
        <w:rPr>
          <w:rFonts w:ascii="Times" w:hAnsi="Times"/>
          <w:color w:val="000000" w:themeColor="text1"/>
        </w:rPr>
        <w:t>Regarding the calculation of accelerometer</w:t>
      </w:r>
      <w:r w:rsidRPr="00DA5FAE">
        <w:rPr>
          <w:rFonts w:ascii="Times" w:hAnsi="Times"/>
          <w:color w:val="000000" w:themeColor="text1"/>
        </w:rPr>
        <w:t xml:space="preserve">-derived PL, Catapult systems have demonstrated mixed reliability. In a study involving another Catapult LPS (Catapult </w:t>
      </w:r>
      <w:proofErr w:type="spellStart"/>
      <w:r w:rsidRPr="00DA5FAE">
        <w:rPr>
          <w:rFonts w:ascii="Times" w:hAnsi="Times"/>
          <w:color w:val="000000" w:themeColor="text1"/>
        </w:rPr>
        <w:t>OptimEye</w:t>
      </w:r>
      <w:proofErr w:type="spellEnd"/>
      <w:r w:rsidRPr="00DA5FAE">
        <w:rPr>
          <w:rFonts w:ascii="Times" w:hAnsi="Times"/>
          <w:color w:val="000000" w:themeColor="text1"/>
        </w:rPr>
        <w:t xml:space="preserve"> S5), Catapult microsensor devices were tested at varying levels of acceleration in </w:t>
      </w:r>
      <w:r>
        <w:rPr>
          <w:rFonts w:ascii="Times" w:hAnsi="Times"/>
          <w:color w:val="000000" w:themeColor="text1"/>
        </w:rPr>
        <w:t xml:space="preserve">different </w:t>
      </w:r>
      <w:r w:rsidR="00A81800">
        <w:rPr>
          <w:rFonts w:ascii="Times" w:hAnsi="Times"/>
          <w:color w:val="000000" w:themeColor="text1"/>
        </w:rPr>
        <w:t xml:space="preserve">vectors </w:t>
      </w:r>
      <w:r w:rsidR="00A81800" w:rsidRPr="00DA5FAE">
        <w:rPr>
          <w:rFonts w:ascii="Times" w:hAnsi="Times"/>
          <w:color w:val="000000" w:themeColor="text1"/>
        </w:rPr>
        <w:t>to</w:t>
      </w:r>
      <w:r w:rsidRPr="00DA5FAE">
        <w:rPr>
          <w:rFonts w:ascii="Times" w:hAnsi="Times"/>
          <w:color w:val="000000" w:themeColor="text1"/>
        </w:rPr>
        <w:t xml:space="preserve"> determine reliability. </w:t>
      </w:r>
      <w:r>
        <w:rPr>
          <w:rFonts w:ascii="Times" w:hAnsi="Times"/>
          <w:color w:val="000000" w:themeColor="text1"/>
        </w:rPr>
        <w:t>Devices were mounted to a shaker table, which is capable of movement in all three planes of motion (X, Y, and Z) in order for researchers to be able calculate the true values of different movement vectors. These measurements would then be used to compare differences between the true movement vectors and those reported by the Catapult PL formula</w:t>
      </w:r>
      <w:r w:rsidRPr="00DA5FAE">
        <w:rPr>
          <w:rFonts w:ascii="Times" w:hAnsi="Times"/>
          <w:color w:val="000000" w:themeColor="text1"/>
        </w:rPr>
        <w:t xml:space="preserve">. </w:t>
      </w:r>
      <w:r>
        <w:rPr>
          <w:rFonts w:ascii="Times" w:hAnsi="Times"/>
          <w:color w:val="000000" w:themeColor="text1"/>
        </w:rPr>
        <w:t>The primary differences were found in mean peak accelerations and PL with the effect sizes for differences between devices being 0.54 (95% CI: 0.34 – 0.74) (small) to 1.20 (95% CI: 1.08-1.30) (large), respectively.</w:t>
      </w:r>
      <w:r w:rsidRPr="00DA5FAE">
        <w:rPr>
          <w:rFonts w:ascii="Times" w:hAnsi="Times"/>
          <w:color w:val="000000" w:themeColor="text1"/>
        </w:rPr>
        <w:t xml:space="preserve"> Additionally, PL values </w:t>
      </w:r>
      <w:r>
        <w:rPr>
          <w:rFonts w:ascii="Times" w:hAnsi="Times"/>
          <w:color w:val="000000" w:themeColor="text1"/>
        </w:rPr>
        <w:t xml:space="preserve">that were calculated from the true movement of the shaker table </w:t>
      </w:r>
      <w:r w:rsidRPr="00DA5FAE">
        <w:rPr>
          <w:rFonts w:ascii="Times" w:hAnsi="Times"/>
          <w:color w:val="000000" w:themeColor="text1"/>
        </w:rPr>
        <w:t>were found to be 15%</w:t>
      </w:r>
      <w:r>
        <w:rPr>
          <w:rFonts w:ascii="Times" w:hAnsi="Times"/>
          <w:color w:val="000000" w:themeColor="text1"/>
        </w:rPr>
        <w:t xml:space="preserve"> higher </w:t>
      </w:r>
      <w:r w:rsidRPr="00DA5FAE">
        <w:rPr>
          <w:rFonts w:ascii="Times" w:hAnsi="Times"/>
          <w:color w:val="000000" w:themeColor="text1"/>
        </w:rPr>
        <w:t>than the</w:t>
      </w:r>
      <w:r>
        <w:rPr>
          <w:rFonts w:ascii="Times" w:hAnsi="Times"/>
          <w:color w:val="000000" w:themeColor="text1"/>
        </w:rPr>
        <w:t xml:space="preserve"> values reported from the Catapult PL formula.</w:t>
      </w:r>
      <w:r w:rsidRPr="00DA5FAE">
        <w:rPr>
          <w:rFonts w:ascii="Times" w:hAnsi="Times"/>
          <w:color w:val="000000" w:themeColor="text1"/>
        </w:rPr>
        <w:t xml:space="preserve"> </w:t>
      </w:r>
      <w:r w:rsidRPr="00DA5FAE">
        <w:rPr>
          <w:rFonts w:ascii="Times" w:hAnsi="Times"/>
          <w:color w:val="000000" w:themeColor="text1"/>
        </w:rPr>
        <w:fldChar w:fldCharType="begin"/>
      </w:r>
      <w:r w:rsidR="0012636B">
        <w:rPr>
          <w:rFonts w:ascii="Times" w:hAnsi="Times"/>
          <w:color w:val="000000" w:themeColor="text1"/>
        </w:rPr>
        <w:instrText xml:space="preserve"> ADDIN ZOTERO_ITEM CSL_CITATION {"citationID":"iVHCmSHF","properties":{"formattedCitation":"(Nicolella et al., 2018)","plainCitation":"(Nicolella et al., 2018)","noteIndex":0},"citationItems":[{"id":"EicxuIVT/RJvJolvj","uris":["http://zotero.org/users/5493924/items/N76SPCDG"],"itemData":{"id":244,"type":"article-journal","abstract":"This study aimed to determine the intra- and inter-device accuracy and reliability of wearable athletic tracking devices, under controlled laboratory conditions. A total of nineteen portable accelerometers (Catapult OptimEye S5) were mounted to an aluminum bracket, bolted directly to an Unholtz Dickie 20K electrodynamic shaker table, and subjected to a series of oscillations in each of three orthogonal directions (front-back, side to side, and up-down), at four levels of peak acceleration (0.1g, 0.5g, 1.0g, and 3.0g), each repeated five times resulting in a total of 60 tests per unit, for a total of 1140 records. Data from each accelerometer was recorded at a sampling frequency of 100Hz. Peak accelerations recorded by the devices, Catapult PlayerLoad™, and calculated player load (using Catapult’s Cartesian formula) were used for the analysis. The devices demonstrated excellent intradevice reliability and mixed interdevice reliability. Differences were found between devices for mean peak accelerations and PlayerLoad™ for each direction and level of acceleration. Interdevice effect sizes ranged from a mean of 0.54 (95% CI: 0.34–0.74) (small) to 1.20 (95% CI: 1.08–1.30) (large) and ICCs ranged from 0.77 (95% CI: 0.62–0.89) (very large) to 1.0 (95% CI: 0.99–1.0) (nearly perfect) depending upon the magnitude and direction of the applied motion. When compared to the player load determined using the Cartesian formula, the Catapult reported PlayerLoad™ was consistently lower by approximately 15%. These results emphasize the need for industry wide standards in reporting validity, reliability and the magnitude of measurement errors. It is recommended that device reliability and accuracy are periodically quantified.","container-title":"PLOS ONE","DOI":"10.1371/journal.pone.0191823","ISSN":"1932-6203","issue":"2","journalAbbreviation":"PLoS ONE","language":"en","page":"e0191823","source":"DOI.org (Crossref)","title":"Validity and reliability of an accelerometer-based player tracking device","volume":"13","author":[{"family":"Nicolella","given":"Daniel P."},{"family":"Torres-Ronda","given":"Lorena"},{"family":"Saylor","given":"Kase J."},{"family":"Schelling","given":"Xavi"}],"editor":[{"family":"Ardigò","given":"Luca Paolo"}],"issued":{"date-parts":[["2018",2,8]]}}}],"schema":"https://github.com/citation-style-language/schema/raw/master/csl-citation.json"}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(Nicolella et al., 2018)</w:t>
      </w:r>
      <w:r w:rsidRPr="00DA5FAE">
        <w:rPr>
          <w:rFonts w:ascii="Times" w:hAnsi="Times"/>
          <w:color w:val="000000" w:themeColor="text1"/>
        </w:rPr>
        <w:fldChar w:fldCharType="end"/>
      </w:r>
      <w:r>
        <w:rPr>
          <w:rFonts w:ascii="Times" w:hAnsi="Times"/>
          <w:color w:val="000000" w:themeColor="text1"/>
        </w:rPr>
        <w:t>.</w:t>
      </w:r>
    </w:p>
    <w:p w14:paraId="7CABF12A" w14:textId="77777777" w:rsidR="00E661DE" w:rsidRPr="00D63B18" w:rsidRDefault="00E661DE" w:rsidP="00E661DE">
      <w:pPr>
        <w:pStyle w:val="Heading2"/>
        <w:rPr>
          <w:rFonts w:ascii="Times" w:hAnsi="Times"/>
          <w:i/>
          <w:iCs/>
          <w:color w:val="000000" w:themeColor="text1"/>
        </w:rPr>
      </w:pPr>
      <w:r w:rsidRPr="00D63B18">
        <w:rPr>
          <w:rFonts w:ascii="Times" w:hAnsi="Times"/>
          <w:i/>
          <w:iCs/>
          <w:color w:val="000000" w:themeColor="text1"/>
        </w:rPr>
        <w:lastRenderedPageBreak/>
        <w:t>Load Demands of Male College Basketball Players</w:t>
      </w:r>
    </w:p>
    <w:p w14:paraId="6B4FD709" w14:textId="77777777" w:rsidR="00E661DE" w:rsidRPr="00DA5FAE" w:rsidRDefault="00E661DE" w:rsidP="00E661DE">
      <w:pPr>
        <w:rPr>
          <w:rFonts w:ascii="Times" w:hAnsi="Times"/>
          <w:color w:val="000000" w:themeColor="text1"/>
        </w:rPr>
      </w:pPr>
      <w:r w:rsidRPr="00DA5FAE">
        <w:rPr>
          <w:rFonts w:ascii="Times" w:hAnsi="Times"/>
          <w:color w:val="000000" w:themeColor="text1"/>
        </w:rPr>
        <w:tab/>
      </w:r>
    </w:p>
    <w:p w14:paraId="70F95AFE" w14:textId="6B65315B"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rPr>
        <w:tab/>
        <w:t xml:space="preserve">To </w:t>
      </w:r>
      <w:r>
        <w:rPr>
          <w:rFonts w:ascii="Times" w:hAnsi="Times"/>
          <w:color w:val="000000" w:themeColor="text1"/>
        </w:rPr>
        <w:t>date</w:t>
      </w:r>
      <w:r w:rsidRPr="00DA5FAE">
        <w:rPr>
          <w:rFonts w:ascii="Times" w:hAnsi="Times"/>
          <w:color w:val="000000" w:themeColor="text1"/>
        </w:rPr>
        <w:t xml:space="preserve">, there are only four </w:t>
      </w:r>
      <w:r>
        <w:rPr>
          <w:rFonts w:ascii="Times" w:hAnsi="Times"/>
          <w:color w:val="000000" w:themeColor="text1"/>
        </w:rPr>
        <w:t xml:space="preserve">published </w:t>
      </w:r>
      <w:r w:rsidRPr="00DA5FAE">
        <w:rPr>
          <w:rFonts w:ascii="Times" w:hAnsi="Times"/>
          <w:color w:val="000000" w:themeColor="text1"/>
        </w:rPr>
        <w:t xml:space="preserve">studies that examine the load demands of NCAA Division I Men’s Basketball players, none of which provide a comprehensive overview of the demands of an entire season. In a 2019 study by </w:t>
      </w:r>
      <w:proofErr w:type="spellStart"/>
      <w:r w:rsidRPr="00DA5FAE">
        <w:rPr>
          <w:rFonts w:ascii="Times" w:hAnsi="Times"/>
          <w:color w:val="000000" w:themeColor="text1"/>
        </w:rPr>
        <w:t>Heishman</w:t>
      </w:r>
      <w:proofErr w:type="spellEnd"/>
      <w:r w:rsidRPr="00DA5FAE">
        <w:rPr>
          <w:rFonts w:ascii="Times" w:hAnsi="Times"/>
          <w:color w:val="000000" w:themeColor="text1"/>
        </w:rPr>
        <w:t>, et al., researchers examined the external training loads of male college basketball players over the course of a preseason and compared their relationship to the neuromuscular performance</w:t>
      </w:r>
      <w:r>
        <w:rPr>
          <w:rFonts w:ascii="Times" w:hAnsi="Times"/>
          <w:color w:val="000000" w:themeColor="text1"/>
        </w:rPr>
        <w:t xml:space="preserve">. This study involved 14 male NCAA Division </w:t>
      </w:r>
      <w:r w:rsidR="004822F0">
        <w:rPr>
          <w:rFonts w:ascii="Times" w:hAnsi="Times"/>
          <w:color w:val="000000" w:themeColor="text1"/>
        </w:rPr>
        <w:t>I</w:t>
      </w:r>
      <w:r>
        <w:rPr>
          <w:rFonts w:ascii="Times" w:hAnsi="Times"/>
          <w:color w:val="000000" w:themeColor="text1"/>
        </w:rPr>
        <w:t xml:space="preserve"> basketball players, and researchers compared external training load to neuromuscular performance using a countermovement jump (CMJ) on force plates. External training load was measured through PL, and neuromuscular performance was quantified with jump height, a flight time to contraction time ratio, and reactive strength index (RSI), all of which are calculated from countermovement jumps on force plates using </w:t>
      </w:r>
      <w:proofErr w:type="spellStart"/>
      <w:r>
        <w:rPr>
          <w:rFonts w:ascii="Times" w:hAnsi="Times"/>
          <w:color w:val="000000" w:themeColor="text1"/>
        </w:rPr>
        <w:t>ForceDecks</w:t>
      </w:r>
      <w:proofErr w:type="spellEnd"/>
      <w:r>
        <w:rPr>
          <w:rFonts w:ascii="Times" w:hAnsi="Times"/>
          <w:color w:val="000000" w:themeColor="text1"/>
        </w:rPr>
        <w:t xml:space="preserve"> software. </w:t>
      </w:r>
      <w:r w:rsidRPr="00DA5FAE">
        <w:rPr>
          <w:rFonts w:ascii="Times" w:hAnsi="Times"/>
          <w:color w:val="000000" w:themeColor="text1"/>
        </w:rPr>
        <w:t xml:space="preserve"> The research team found that external training loads </w:t>
      </w:r>
      <w:r>
        <w:rPr>
          <w:rFonts w:ascii="Times" w:hAnsi="Times"/>
          <w:color w:val="000000" w:themeColor="text1"/>
        </w:rPr>
        <w:t xml:space="preserve">had no significant effect on neuromuscular performance variables, indicating that athletes may be able to effectively manage training loads over a preseason </w:t>
      </w:r>
      <w:r w:rsidRPr="00DA5FAE">
        <w:rPr>
          <w:rFonts w:ascii="Times" w:hAnsi="Times"/>
          <w:color w:val="000000" w:themeColor="text1"/>
        </w:rPr>
        <w:fldChar w:fldCharType="begin"/>
      </w:r>
      <w:r>
        <w:rPr>
          <w:rFonts w:ascii="Times" w:hAnsi="Times"/>
          <w:color w:val="000000" w:themeColor="text1"/>
        </w:rPr>
        <w:instrText xml:space="preserve"> ADDIN ZOTERO_ITEM CSL_CITATION {"citationID":"wwluycjr","properties":{"formattedCitation":"(Heishman et al., 2019)","plainCitation":"(Heishman et al., 2019)","noteIndex":0},"citationItems":[{"id":201,"uris":["http://zotero.org/users/5493924/items/8IUU23BB"],"itemData":{"id":201,"type":"article-journal","abstract":"Limited research has paralleled concomitant changes in external training load (eTL) and countermovement jump (CMJ) performance. Therefore, this investigation characterized eTL and CMJ performance changes across preseason training in Division 1 male collegiate basketball athletes, while examining the influence of position (Guard vs. Forward/Center) and scholarship status (Scholarship = S vs. Walk-on = WO). During 22 practices, eTL was monitored in 14 male athletes, with weekly CMJs performed to quantify neuromuscular performance (Jump Height [JH], Flight Time:Contraction Time [FT:CT], Reactive Strength Index Modified [RSIMod ]). PlayerLoad per minute was significantly higher during W1 and W2 (5.4 ± 1.3au and 5.3 ± 1.2au, respectively; p &lt; 0.05) compared to subsequent weeks, but no additional differences in eTL parameters across time were observed. Scholarship athletes displayed greater PlayerLoad (S = 777.1 ± 35.6, WO = 530.1 ± 56.20; Inertial Movement Analysis (IMA) IMA_High (S = 70.9 ± 15.2, WO = 41.3 ± 15.2); IMA_Medium (S = 159.9 ± 30.7, WO = 92.7 ± 30.6); and IMA_Low (S = 700.6 ± 105.1, WO = 405 ± 105.0;) (p &lt; 0.05), with no observed differences in eTL by position. Moderate decreases in FT:CT and RSIMod paralleled increased eTL. Significant increases in practice intensity (W1 and W2) did not impact CMJ performance, suggesting athletes could cope with the prescribed training loads. However, moderate perturbations in FT:CT and RSIMod paralleled the weeks with intensified training. Cumulatively, scholarship status appears to influence eTL while player position does not.","container-title":"Journal of Sports Science &amp; Medicine","DOI":"10.1249/01.mss.0000560595.64671.b6","ISSN":"1530-0315, 0195-9131","issue":"6S","journalAbbreviation":"J Sports Sci Med","language":"en","page":"35-35","source":"DOI.org (Crossref)","title":"Monitoring external training loads and neuromuscular performance for Division I basketball players over the pre-season","title-short":"Monitoring External Training Loads and Neuromuscular Performance For Division I Basketball Players Over the Pre-Season","volume":"51","author":[{"family":"Heishman","given":"Aaron"},{"family":"Miller","given":"Ryan M."},{"family":"Freitas","given":"Eduardo D.S."},{"family":"Brown","given":"Brady S."},{"family":"Daub","given":"Bryce D."},{"family":"Bemben","given":"Michael G."}],"issued":{"date-parts":[["2019",6]]}}}],"schema":"https://github.com/citation-style-language/schema/raw/master/csl-citation.json"}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(Heishman et al., 2019)</w:t>
      </w:r>
      <w:r w:rsidRPr="00DA5FAE">
        <w:rPr>
          <w:rFonts w:ascii="Times" w:hAnsi="Times"/>
          <w:color w:val="000000" w:themeColor="text1"/>
        </w:rPr>
        <w:fldChar w:fldCharType="end"/>
      </w:r>
      <w:r w:rsidRPr="00DA5FAE">
        <w:rPr>
          <w:rFonts w:ascii="Times" w:hAnsi="Times"/>
          <w:color w:val="000000" w:themeColor="text1"/>
        </w:rPr>
        <w:t xml:space="preserve">. While this study did examine external training load in male college basketball players, the study was limited to a small portion of the season and as a result, could not provide a comprehensive overview of the training load demands over the course of an entire season. However, another study was able to examine training loads over the course of an entire NCAA </w:t>
      </w:r>
      <w:r w:rsidR="004822F0">
        <w:rPr>
          <w:rFonts w:ascii="Times" w:hAnsi="Times"/>
          <w:color w:val="000000" w:themeColor="text1"/>
        </w:rPr>
        <w:t>DI</w:t>
      </w:r>
      <w:r w:rsidRPr="00DA5FAE">
        <w:rPr>
          <w:rFonts w:ascii="Times" w:hAnsi="Times"/>
          <w:color w:val="000000" w:themeColor="text1"/>
        </w:rPr>
        <w:t xml:space="preserve"> </w:t>
      </w:r>
      <w:r w:rsidR="004822F0">
        <w:rPr>
          <w:rFonts w:ascii="Times" w:hAnsi="Times"/>
          <w:color w:val="000000" w:themeColor="text1"/>
        </w:rPr>
        <w:t>m</w:t>
      </w:r>
      <w:r w:rsidRPr="00DA5FAE">
        <w:rPr>
          <w:rFonts w:ascii="Times" w:hAnsi="Times"/>
          <w:color w:val="000000" w:themeColor="text1"/>
        </w:rPr>
        <w:t xml:space="preserve">en’s </w:t>
      </w:r>
      <w:r w:rsidR="004822F0">
        <w:rPr>
          <w:rFonts w:ascii="Times" w:hAnsi="Times"/>
          <w:color w:val="000000" w:themeColor="text1"/>
        </w:rPr>
        <w:t>b</w:t>
      </w:r>
      <w:r w:rsidRPr="00DA5FAE">
        <w:rPr>
          <w:rFonts w:ascii="Times" w:hAnsi="Times"/>
          <w:color w:val="000000" w:themeColor="text1"/>
        </w:rPr>
        <w:t xml:space="preserve">asketball season. In a 2018 study, Conte et. al. examined the weekly training loads of all </w:t>
      </w:r>
      <w:r>
        <w:rPr>
          <w:rFonts w:ascii="Times" w:hAnsi="Times"/>
          <w:color w:val="000000" w:themeColor="text1"/>
        </w:rPr>
        <w:t xml:space="preserve">10 </w:t>
      </w:r>
      <w:r w:rsidRPr="00DA5FAE">
        <w:rPr>
          <w:rFonts w:ascii="Times" w:hAnsi="Times"/>
          <w:color w:val="000000" w:themeColor="text1"/>
        </w:rPr>
        <w:t xml:space="preserve">players on a Division I men’s college basketball team. </w:t>
      </w:r>
      <w:r>
        <w:rPr>
          <w:rFonts w:ascii="Times" w:hAnsi="Times"/>
          <w:color w:val="000000" w:themeColor="text1"/>
        </w:rPr>
        <w:t xml:space="preserve">The study sought to analyze the weekly training loads experienced by NCAA </w:t>
      </w:r>
      <w:proofErr w:type="gramStart"/>
      <w:r w:rsidR="004822F0">
        <w:rPr>
          <w:rFonts w:ascii="Times" w:hAnsi="Times"/>
          <w:color w:val="000000" w:themeColor="text1"/>
        </w:rPr>
        <w:t xml:space="preserve">DI </w:t>
      </w:r>
      <w:r>
        <w:rPr>
          <w:rFonts w:ascii="Times" w:hAnsi="Times"/>
          <w:color w:val="000000" w:themeColor="text1"/>
        </w:rPr>
        <w:t xml:space="preserve"> men’s</w:t>
      </w:r>
      <w:proofErr w:type="gramEnd"/>
      <w:r>
        <w:rPr>
          <w:rFonts w:ascii="Times" w:hAnsi="Times"/>
          <w:color w:val="000000" w:themeColor="text1"/>
        </w:rPr>
        <w:t xml:space="preserve"> college basketball players over the course of a season. Training load was calculated using session rate of perceived exertion (</w:t>
      </w:r>
      <w:proofErr w:type="spellStart"/>
      <w:r>
        <w:rPr>
          <w:rFonts w:ascii="Times" w:hAnsi="Times"/>
          <w:color w:val="000000" w:themeColor="text1"/>
        </w:rPr>
        <w:t>sRPE</w:t>
      </w:r>
      <w:proofErr w:type="spellEnd"/>
      <w:r>
        <w:rPr>
          <w:rFonts w:ascii="Times" w:hAnsi="Times"/>
          <w:color w:val="000000" w:themeColor="text1"/>
        </w:rPr>
        <w:t xml:space="preserve">). The RPE scale chosen was the Borg 10-point scale, and this RPE scale value was then multiplied by the duration of each session to calculate a single training load measure in </w:t>
      </w:r>
      <w:r>
        <w:rPr>
          <w:rFonts w:ascii="Times" w:hAnsi="Times"/>
          <w:color w:val="000000" w:themeColor="text1"/>
        </w:rPr>
        <w:lastRenderedPageBreak/>
        <w:t xml:space="preserve">arbitrary units (AU). </w:t>
      </w:r>
      <w:r w:rsidRPr="00DA5FAE">
        <w:rPr>
          <w:rFonts w:ascii="Times" w:hAnsi="Times"/>
          <w:color w:val="000000" w:themeColor="text1"/>
        </w:rPr>
        <w:t>The study found that players experienced high variations in training load on a week to week basis,</w:t>
      </w:r>
      <w:r>
        <w:rPr>
          <w:rFonts w:ascii="Times" w:hAnsi="Times"/>
          <w:color w:val="000000" w:themeColor="text1"/>
        </w:rPr>
        <w:t xml:space="preserve"> with some weeks containing training load increases of 220%</w:t>
      </w:r>
      <w:r w:rsidRPr="00DA5FAE">
        <w:rPr>
          <w:rFonts w:ascii="Times" w:hAnsi="Times"/>
          <w:color w:val="000000" w:themeColor="text1"/>
        </w:rPr>
        <w:t xml:space="preserve"> and that starters experienced more training load than their teammates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{"citationID":"MzhERaVn","properties":{"formattedCitation":"(Conte et al., 2018)","plainCitation":"(Conte et al., 2018)","noteIndex":0},"citationItems":[{"id":234,"uris":["http://zotero.org/users/5493924/items/7Y4N7LK4"],"itemData":{"id":234,"type":"article-journal","abstract":"Purpose: this study aimed to characterize the weekly training load (TL) and well-being in college basketball players during the in-season phase. Methods: Ten (6 guards and 4 forwards) male basketball players (age: 20.9 ± 0.9 years; stature: 195.0 ± 8.2 cm; body mass: 91.3 ± 11.3 kg) from the same Division I National Collegiate Athletic Association team were recruited to participate in this study. Individualized training and game loads were assessed using the session rating of perceived exertion (sRPE) at the end of each training and game session, while well-being status was collected before each session. Weekly changes (%) in TL, acute:chronic workload ratio (ACWR) and well-being were determined. Differences in TL and well-being between starting and bench players and between 1-game and 2-game weeks were calculated using magnitude-based statistics. Results: Total weekly TL and ACWR demonstrated high week-to-week variation with spikes up to 226% and 220%, respectively. Starting players experienced a higher (most likely negative) total weekly TL and similar (unclear) well-being status compared to bench players. Game scheduling influenced TL with 1-game weeks demonstrating a higher (likely negative) total weekly TL and similar (most likely trivial) well-being status compared to 2-game weeks. Conclusions: These findings provide college basketball coaches information to optimize training strategies during the in-season phase. Basketball coaches should concurrently consider the number of weekly games and player status (starting vs. bench player) when creating individualized periodization plans, with increases in TL potentially needed in bench players, especially in 2-game weeks.","container-title":"International Journal of Sports Physiology and Performance","DOI":"10.1123/ijspp.2017-0689","ISSN":"1555-0265, 1555-0273","issue":"8","language":"en","page":"1067-1074","source":"DOI.org (Crossref)","title":"Monitoring Training Load and Well-Being During the In-Season Phase in National Collegiate Athletic Association Division I Men’s Basketball","volume":"13","author":[{"family":"Conte","given":"Daniele"},{"family":"Kolb","given":"Nicholas"},{"family":"Scanlan","given":"Aaron T."},{"family":"Santolamazza","given":"Fabrizio"}],"issued":{"date-parts":[["2018",9,1]]}}}],"schema":"https://github.com/citation-style-language/schema/raw/master/csl-citation.json"}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(Conte et al., 2018)</w:t>
      </w:r>
      <w:r w:rsidRPr="00DA5FAE">
        <w:rPr>
          <w:rFonts w:ascii="Times" w:hAnsi="Times"/>
          <w:color w:val="000000" w:themeColor="text1"/>
        </w:rPr>
        <w:fldChar w:fldCharType="end"/>
      </w:r>
      <w:r w:rsidRPr="00DA5FAE">
        <w:rPr>
          <w:rFonts w:ascii="Times" w:hAnsi="Times"/>
          <w:color w:val="000000" w:themeColor="text1"/>
        </w:rPr>
        <w:t xml:space="preserve">. While these findings are helpful, the research term utilized </w:t>
      </w:r>
      <w:r>
        <w:rPr>
          <w:rFonts w:ascii="Times" w:hAnsi="Times"/>
          <w:color w:val="000000" w:themeColor="text1"/>
        </w:rPr>
        <w:t xml:space="preserve">an alternative method of calculating internal training load. </w:t>
      </w:r>
      <w:r w:rsidRPr="00DA5FAE">
        <w:rPr>
          <w:rFonts w:ascii="Times" w:hAnsi="Times"/>
          <w:color w:val="000000" w:themeColor="text1"/>
        </w:rPr>
        <w:t xml:space="preserve">Therefore, the study has only marginal relevance for the purposes of this proposal. </w:t>
      </w:r>
    </w:p>
    <w:p w14:paraId="2924C3AD" w14:textId="1746DD53" w:rsidR="00E661DE" w:rsidRDefault="00E661DE" w:rsidP="00E661DE">
      <w:pPr>
        <w:spacing w:line="480" w:lineRule="auto"/>
        <w:rPr>
          <w:rFonts w:ascii="Times" w:hAnsi="Times"/>
          <w:color w:val="000000" w:themeColor="text1"/>
        </w:rPr>
      </w:pPr>
      <w:r w:rsidRPr="00DA5FAE">
        <w:rPr>
          <w:rFonts w:ascii="Times" w:hAnsi="Times"/>
          <w:color w:val="000000" w:themeColor="text1"/>
        </w:rPr>
        <w:tab/>
        <w:t xml:space="preserve">Despite these significant limitations of these two studies as they relate to the research at hand, the research team was able to find two additional studies that utilized external load monitoring techniques. In one study, the research team utilized </w:t>
      </w:r>
      <w:proofErr w:type="spellStart"/>
      <w:r>
        <w:rPr>
          <w:rFonts w:ascii="Times" w:hAnsi="Times"/>
          <w:color w:val="000000" w:themeColor="text1"/>
        </w:rPr>
        <w:t>Kinexon</w:t>
      </w:r>
      <w:proofErr w:type="spellEnd"/>
      <w:r>
        <w:rPr>
          <w:rFonts w:ascii="Times" w:hAnsi="Times"/>
          <w:color w:val="000000" w:themeColor="text1"/>
        </w:rPr>
        <w:t xml:space="preserve"> IMU </w:t>
      </w:r>
      <w:r w:rsidRPr="00DA5FAE">
        <w:rPr>
          <w:rFonts w:ascii="Times" w:hAnsi="Times"/>
          <w:color w:val="000000" w:themeColor="text1"/>
        </w:rPr>
        <w:t xml:space="preserve">devices to quantify external training load during </w:t>
      </w:r>
      <w:r>
        <w:rPr>
          <w:rFonts w:ascii="Times" w:hAnsi="Times"/>
          <w:color w:val="000000" w:themeColor="text1"/>
        </w:rPr>
        <w:t xml:space="preserve">Men’s </w:t>
      </w:r>
      <w:r w:rsidRPr="00DA5FAE">
        <w:rPr>
          <w:rFonts w:ascii="Times" w:hAnsi="Times"/>
          <w:color w:val="000000" w:themeColor="text1"/>
        </w:rPr>
        <w:t>NCAA DI competitions</w:t>
      </w:r>
      <w:r>
        <w:rPr>
          <w:rFonts w:ascii="Times" w:hAnsi="Times"/>
          <w:color w:val="000000" w:themeColor="text1"/>
        </w:rPr>
        <w:t xml:space="preserve">, as the study involved 10 NCAA </w:t>
      </w:r>
      <w:r w:rsidR="004822F0">
        <w:rPr>
          <w:rFonts w:ascii="Times" w:hAnsi="Times"/>
          <w:color w:val="000000" w:themeColor="text1"/>
        </w:rPr>
        <w:t>DI</w:t>
      </w:r>
      <w:r>
        <w:rPr>
          <w:rFonts w:ascii="Times" w:hAnsi="Times"/>
          <w:color w:val="000000" w:themeColor="text1"/>
        </w:rPr>
        <w:t xml:space="preserve"> men’s basketball athletes. </w:t>
      </w:r>
      <w:r w:rsidRPr="00DA5FAE">
        <w:rPr>
          <w:rFonts w:ascii="Times" w:hAnsi="Times"/>
          <w:color w:val="000000" w:themeColor="text1"/>
        </w:rPr>
        <w:t xml:space="preserve">The purpose of this study was </w:t>
      </w:r>
      <w:r>
        <w:rPr>
          <w:rFonts w:ascii="Times" w:hAnsi="Times"/>
          <w:color w:val="000000" w:themeColor="text1"/>
        </w:rPr>
        <w:t>to</w:t>
      </w:r>
      <w:r w:rsidRPr="00DA5FAE">
        <w:rPr>
          <w:rFonts w:ascii="Times" w:hAnsi="Times"/>
          <w:color w:val="000000" w:themeColor="text1"/>
        </w:rPr>
        <w:t xml:space="preserve"> </w:t>
      </w:r>
      <w:r>
        <w:rPr>
          <w:rFonts w:ascii="Times" w:hAnsi="Times"/>
          <w:color w:val="000000" w:themeColor="text1"/>
        </w:rPr>
        <w:t xml:space="preserve">use </w:t>
      </w:r>
      <w:r w:rsidRPr="00DA5FAE">
        <w:rPr>
          <w:rFonts w:ascii="Times" w:hAnsi="Times"/>
          <w:color w:val="000000" w:themeColor="text1"/>
        </w:rPr>
        <w:t xml:space="preserve">Principal Component Analysis (a statistical technique that reduces the size and dimensions of datasets to the data points that are most responsible for the variance </w:t>
      </w:r>
      <w:r w:rsidRPr="00DA5FAE">
        <w:rPr>
          <w:rFonts w:ascii="Times" w:hAnsi="Times"/>
          <w:color w:val="000000" w:themeColor="text1"/>
        </w:rPr>
        <w:fldChar w:fldCharType="begin"/>
      </w:r>
      <w:r w:rsidRPr="00DA5FAE">
        <w:rPr>
          <w:rFonts w:ascii="Times" w:hAnsi="Times"/>
          <w:color w:val="000000" w:themeColor="text1"/>
        </w:rPr>
        <w:instrText xml:space="preserve"> ADDIN ZOTERO_ITEM CSL_CITATION {"citationID":"njUvQSyb","properties":{"formattedCitation":"(Stone et al., 2022)","plainCitation":"(Stone et al., 2022)","noteIndex":0},"citationItems":[{"id":249,"uris":["http://zotero.org/users/5493924/items/YXE5B67T"],"itemData":{"id":249,"type":"article-journal","abstract":"The primary purpose was to simplify external load data obtained during Division-I (DI) basketball competitions via principal component analysis (PCA). A secondary purpose was to determine if the PCA results were sensitive to load demands of different positional groups (POS). Data comprised 229 observations obtained from 10 men’s basketball athletes participating in NCAA DI competitions. Each athlete donned an inertial measurement unit that was afﬁxed to the same location on their shorts prior to competition. The PCA revealed two factors that possessed eigenvalues &gt;1.0 and explained 81.42% of the total variance. The ﬁrst factor comprised total decelerations (totDEC, 0.94), average speed (avgSPD, 0.90), total accelerations (totACC, 0.85), total mechanical load (totMECH, 0.84), and total jump load (totJUMP, 0.78). Maximum speed (maxSPD, 0.94) was the lone contributor to the second factor. Based on the PCA, external load variables were included in a multinomial logistic regression that predicted POS (Overall model, p &lt; 0.0001; AUCcenters = 0.93, AUCguards = 0.88, AUCforwards = 0.80), but only maxSPD, totDEC, totJUMP, and totMECH were signiﬁcant contributors to the model’s success (p &lt; 0.0001 for each). Even with the high signiﬁcance, the model still had some issues differentiating between guards and forwards, as in-game demands often overlap between the two positions. Nevertheless, the PCA was effective at simplifying a large external load dataset collected on NCAA DI men’s basketball athletes. These data revealed that maxSPD, totDEC, totJUMP, and totMECH were the most sensitive to positional differences during competitions. To best characterize competition demands, such variables may be used to individualize training and recovery regimens most effectively.","container-title":"Frontiers in Sports and Active Living","DOI":"10.3389/fspor.2022.795897","ISSN":"2624-9367","journalAbbreviation":"Front. Sports Act. Living","language":"en","page":"795897","source":"DOI.org (Crossref)","title":"Simplifying External Load Data in NCAA Division-I Men's Basketball Competitions: A Principal Component Analysis","title-short":"Simplifying External Load Data in NCAA Division-I Men's Basketball Competitions","volume":"4","author":[{"family":"Stone","given":"Jason D."},{"family":"Merrigan","given":"Justin J."},{"family":"Ramadan","given":"Jad"},{"family":"Brown","given":"Robert Shaun"},{"family":"Cheng","given":"Gerald T."},{"family":"Hornsby","given":"W. Guy"},{"family":"Smith","given":"Holden"},{"family":"Galster","given":"Scott M."},{"family":"Hagen","given":"Joshua A."}],"issued":{"date-parts":[["2022",2,16]]}}}],"schema":"https://github.com/citation-style-language/schema/raw/master/csl-citation.json"} </w:instrText>
      </w:r>
      <w:r w:rsidRPr="00DA5FAE">
        <w:rPr>
          <w:rFonts w:ascii="Times" w:hAnsi="Times"/>
          <w:color w:val="000000" w:themeColor="text1"/>
        </w:rPr>
        <w:fldChar w:fldCharType="separate"/>
      </w:r>
      <w:r w:rsidRPr="00DA5FAE">
        <w:rPr>
          <w:rFonts w:ascii="Times" w:hAnsi="Times"/>
          <w:noProof/>
          <w:color w:val="000000" w:themeColor="text1"/>
        </w:rPr>
        <w:t>(Stone et al., 2022)</w:t>
      </w:r>
      <w:r w:rsidRPr="00DA5FAE">
        <w:rPr>
          <w:rFonts w:ascii="Times" w:hAnsi="Times"/>
          <w:color w:val="000000" w:themeColor="text1"/>
        </w:rPr>
        <w:fldChar w:fldCharType="end"/>
      </w:r>
      <w:r w:rsidRPr="00DA5FAE">
        <w:rPr>
          <w:rFonts w:ascii="Times" w:hAnsi="Times"/>
          <w:color w:val="000000" w:themeColor="text1"/>
        </w:rPr>
        <w:t>) to determine key metrics for measuring the load demands of NCAA DI basketball players</w:t>
      </w:r>
      <w:r>
        <w:rPr>
          <w:rFonts w:ascii="Times" w:hAnsi="Times"/>
          <w:color w:val="000000" w:themeColor="text1"/>
        </w:rPr>
        <w:t>. The study was able to determine that the following metrics accounted for 81.42% of the total variance in the total external load metric:</w:t>
      </w:r>
      <w:r w:rsidRPr="00DA5FAE">
        <w:rPr>
          <w:rFonts w:ascii="Times" w:hAnsi="Times"/>
          <w:color w:val="000000" w:themeColor="text1"/>
        </w:rPr>
        <w:t xml:space="preserve"> </w:t>
      </w:r>
      <w:r>
        <w:rPr>
          <w:rFonts w:ascii="Times" w:hAnsi="Times"/>
          <w:color w:val="000000" w:themeColor="text1"/>
        </w:rPr>
        <w:t xml:space="preserve">total decelerations, total accelerations, total mechanical load, and total jump load were primary responsible for determining total external load through the course of a basketball competition. While this information may be useful for practitioners in the field, the purpose of this study was not to map seasonal demands, nor did it involve the same Catapult technology used in the present research. </w:t>
      </w:r>
      <w:r w:rsidRPr="00DA5FAE">
        <w:rPr>
          <w:rFonts w:ascii="Times" w:hAnsi="Times"/>
          <w:color w:val="000000" w:themeColor="text1"/>
        </w:rPr>
        <w:t xml:space="preserve">Lastly, a final study </w:t>
      </w:r>
      <w:r>
        <w:rPr>
          <w:rFonts w:ascii="Times" w:hAnsi="Times"/>
          <w:color w:val="000000" w:themeColor="text1"/>
        </w:rPr>
        <w:t xml:space="preserve">utilized Catapult S5 devices to determine the relationship between biomechanical loads in basketball games and game performance </w:t>
      </w:r>
      <w:r>
        <w:rPr>
          <w:rFonts w:ascii="Times" w:hAnsi="Times"/>
          <w:color w:val="000000" w:themeColor="text1"/>
        </w:rPr>
        <w:fldChar w:fldCharType="begin"/>
      </w:r>
      <w:r>
        <w:rPr>
          <w:rFonts w:ascii="Times" w:hAnsi="Times"/>
          <w:color w:val="000000" w:themeColor="text1"/>
        </w:rPr>
        <w:instrText xml:space="preserve"> ADDIN ZOTERO_ITEM CSL_CITATION {"citationID":"CxJCj48f","properties":{"formattedCitation":"(Olthof et al., 2021)","plainCitation":"(Olthof et al., 2021)","noteIndex":0},"citationItems":[{"id":251,"uris":["http://zotero.org/users/5493924/items/V9RLRTET"],"itemData":{"id":251,"type":"article-journal","abstract":"Basketball games and training sessions are characterized by quick actions and many scoring attempts, which pose biomechanical loads on the bodies of the players. Inertial Measurement Units (IMUs) capture these biomechanical loads as PlayerLoad and Inertial Movement Analysis (IMA) and teams collect those data to monitor adaptations to training schedules. However, the association of biomechanical loads with game performance is a relatively unexplored area. The aims of the current study were to determine the statistical relations between biomechanical loads in games and training with game performance. Biomechanical training and game load measures and player-level and team-level game stats from one college basketball team of two seasons were included in the dataset. The training loads were obtained on the days before gameday. A three-step analysis pipeline modeled: (i) relations between team-level game stats and the win/loss probabilities of the team, (ii) associations between the player-level training and game loads and their game stats, and (iii) associations between player-level training loads and game loads. The results showed that offensive and defensive game stats increased the odds of winning, but several stats were subject to positional and individual performance variability. Further analyses, therefore, included total points [PTS], two-point ﬁeld goals, and defensive rebounds (DEF REB) that were less subject to those inﬂuences. Increases in game loads were signiﬁcantly associated with game stats. In addition, training loads signiﬁcantly affected the game loads in the following game. In particular, increased loads 2 days before the game resulted in increased expected game loads. Those ﬁndings suggested that biomechanical loads were good predictors for game performance. Speciﬁcally, the game loads were good predictors for game stats, and training loads 2 days before gameday were good predictors for the expected game load. The current analyses accounted for the variation in loads of players and stats that enabled modeling the expected game performance for each individual. Coaches, trainers, and sports scientists can use these ﬁndings to further optimize training plans and possibly make in-game decisions for individual player performance.","container-title":"Frontiers in Sports and Active Living","DOI":"10.3389/fspor.2021.670018","ISSN":"2624-9367","journalAbbreviation":"Front. Sports Act. Living","language":"en","page":"670018","source":"DOI.org (Crossref)","title":"Biomechanical Loads and Their Effects on Player Performance in NCAA D-I Male Basketball Games","volume":"3","author":[{"family":"Olthof","given":"Sigrid B. H."},{"family":"Tureen","given":"Tahmeed"},{"family":"Tran","given":"Lam"},{"family":"Brennan","given":"Benjamin"},{"family":"Winograd","given":"Blair"},{"family":"Zernicke","given":"Ronald F."}],"issued":{"date-parts":[["2021",12,15]]}}}],"schema":"https://github.com/citation-style-language/schema/raw/master/csl-citation.json"} </w:instrText>
      </w:r>
      <w:r>
        <w:rPr>
          <w:rFonts w:ascii="Times" w:hAnsi="Times"/>
          <w:color w:val="000000" w:themeColor="text1"/>
        </w:rPr>
        <w:fldChar w:fldCharType="separate"/>
      </w:r>
      <w:r>
        <w:rPr>
          <w:rFonts w:ascii="Times" w:hAnsi="Times"/>
          <w:noProof/>
          <w:color w:val="000000" w:themeColor="text1"/>
        </w:rPr>
        <w:t>(Olthof et al., 2021)</w:t>
      </w:r>
      <w:r>
        <w:rPr>
          <w:rFonts w:ascii="Times" w:hAnsi="Times"/>
          <w:color w:val="000000" w:themeColor="text1"/>
        </w:rPr>
        <w:fldChar w:fldCharType="end"/>
      </w:r>
      <w:r>
        <w:rPr>
          <w:rFonts w:ascii="Times" w:hAnsi="Times"/>
          <w:color w:val="000000" w:themeColor="text1"/>
        </w:rPr>
        <w:t xml:space="preserve">. The researchers collected data over two NCAA </w:t>
      </w:r>
      <w:r w:rsidR="004822F0">
        <w:rPr>
          <w:rFonts w:ascii="Times" w:hAnsi="Times"/>
          <w:color w:val="000000" w:themeColor="text1"/>
        </w:rPr>
        <w:t>DI</w:t>
      </w:r>
      <w:r>
        <w:rPr>
          <w:rFonts w:ascii="Times" w:hAnsi="Times"/>
          <w:color w:val="000000" w:themeColor="text1"/>
        </w:rPr>
        <w:t xml:space="preserve"> </w:t>
      </w:r>
      <w:r w:rsidR="004822F0">
        <w:rPr>
          <w:rFonts w:ascii="Times" w:hAnsi="Times"/>
          <w:color w:val="000000" w:themeColor="text1"/>
        </w:rPr>
        <w:t>m</w:t>
      </w:r>
      <w:r>
        <w:rPr>
          <w:rFonts w:ascii="Times" w:hAnsi="Times"/>
          <w:color w:val="000000" w:themeColor="text1"/>
        </w:rPr>
        <w:t xml:space="preserve">en’s basketball seasons, having 16 players from the first season and 23 players from the second season wear Catapult S5 microsensor devices.  The research team found through a mixed-effects regression model that training load two days </w:t>
      </w:r>
      <w:r>
        <w:rPr>
          <w:rFonts w:ascii="Times" w:hAnsi="Times"/>
          <w:color w:val="000000" w:themeColor="text1"/>
        </w:rPr>
        <w:lastRenderedPageBreak/>
        <w:t xml:space="preserve">prior to the game had the greatest effect on game load, and that training load two days prior to game also had a significant impact on points scored. While this information may be relevant to practitioners looking to periodize training prior to competition, it does little to elucidate the load demands of an entire NCAA Division I </w:t>
      </w:r>
      <w:r w:rsidR="00BC63F9">
        <w:rPr>
          <w:rFonts w:ascii="Times" w:hAnsi="Times"/>
          <w:color w:val="000000" w:themeColor="text1"/>
        </w:rPr>
        <w:t>men’s basketball</w:t>
      </w:r>
      <w:r>
        <w:rPr>
          <w:rFonts w:ascii="Times" w:hAnsi="Times"/>
          <w:color w:val="000000" w:themeColor="text1"/>
        </w:rPr>
        <w:t xml:space="preserve"> season. </w:t>
      </w:r>
      <w:r w:rsidRPr="00DA5FAE">
        <w:rPr>
          <w:rFonts w:ascii="Times" w:hAnsi="Times"/>
          <w:color w:val="000000" w:themeColor="text1"/>
        </w:rPr>
        <w:t>Thus, there are no studies to the authors knowledge that examine the training load demands over the course of an entire NCAA DI basketball season.</w:t>
      </w:r>
    </w:p>
    <w:p w14:paraId="379C5EAD" w14:textId="04D6E6C1" w:rsidR="000B2B5F" w:rsidRPr="00D63B18" w:rsidRDefault="000B2B5F" w:rsidP="000B2B5F">
      <w:pPr>
        <w:pStyle w:val="Heading2"/>
        <w:rPr>
          <w:rFonts w:ascii="Times" w:hAnsi="Times"/>
          <w:i/>
          <w:iCs/>
          <w:color w:val="000000" w:themeColor="text1"/>
        </w:rPr>
      </w:pPr>
      <w:r w:rsidRPr="00D63B18">
        <w:rPr>
          <w:rFonts w:ascii="Times" w:hAnsi="Times"/>
          <w:i/>
          <w:iCs/>
          <w:color w:val="000000" w:themeColor="text1"/>
        </w:rPr>
        <w:t>Differences in practice vs competition in basketball</w:t>
      </w:r>
    </w:p>
    <w:p w14:paraId="435F2592" w14:textId="77777777" w:rsidR="00CE5A3F" w:rsidRPr="00CE5A3F" w:rsidRDefault="00CE5A3F" w:rsidP="00CE5A3F"/>
    <w:p w14:paraId="24DBADCE" w14:textId="718BF0E6" w:rsidR="000B1E7C" w:rsidRDefault="000B2B5F" w:rsidP="000B1E7C">
      <w:pPr>
        <w:spacing w:line="480" w:lineRule="auto"/>
        <w:rPr>
          <w:rFonts w:ascii="Times" w:hAnsi="Times"/>
          <w:color w:val="000000" w:themeColor="text1"/>
        </w:rPr>
      </w:pPr>
      <w:r>
        <w:rPr>
          <w:rFonts w:ascii="Times" w:hAnsi="Times"/>
          <w:color w:val="000000" w:themeColor="text1"/>
        </w:rPr>
        <w:tab/>
      </w:r>
      <w:r w:rsidR="00CE5A3F">
        <w:rPr>
          <w:rFonts w:ascii="Times" w:hAnsi="Times"/>
          <w:color w:val="000000" w:themeColor="text1"/>
        </w:rPr>
        <w:t xml:space="preserve">Similar to the studies that examined the seasonal external training load demands of college basketball players, there are a limited number of studies that compare practice and competition demands within the same team. While there have been numerous studies that examine competition external training loads or practice training loads across all levels of basketball </w:t>
      </w:r>
      <w:r w:rsidR="00CE5A3F">
        <w:rPr>
          <w:rFonts w:ascii="Times" w:hAnsi="Times"/>
          <w:color w:val="000000" w:themeColor="text1"/>
        </w:rPr>
        <w:fldChar w:fldCharType="begin"/>
      </w:r>
      <w:r w:rsidR="00CE5A3F">
        <w:rPr>
          <w:rFonts w:ascii="Times" w:hAnsi="Times"/>
          <w:color w:val="000000" w:themeColor="text1"/>
        </w:rPr>
        <w:instrText xml:space="preserve"> ADDIN ZOTERO_ITEM CSL_CITATION {"citationID":"KB8CY0tc","properties":{"formattedCitation":"(Petway et al., 2020)","plainCitation":"(Petway et al., 2020)","noteIndex":0},"citationItems":[{"id":394,"uris":["http://zotero.org/users/5493924/items/K3IQG6ED"],"itemData":{"id":394,"type":"article-journal","container-title":"PLOS ONE","DOI":"10.1371/journal.pone.0229212","ISSN":"1932-6203","issue":"3","journalAbbreviation":"PLoS ONE","language":"en","page":"e0229212","source":"DOI.org (Crossref)","title":"Training load and match-play demands in basketball based on competition level: A systematic review","title-short":"Training load and match-play demands in basketball based on competition level","volume":"15","author":[{"family":"Petway","given":"Adam J."},{"family":"Freitas","given":"Tomás T."},{"family":"Calleja-González","given":"Julio"},{"family":"Medina Leal","given":"Daniel"},{"family":"Alcaraz","given":"Pedro E."}],"editor":[{"family":"Balsalobre-Fernández","given":"Carlos"}],"issued":{"date-parts":[["2020",3,5]]}}}],"schema":"https://github.com/citation-style-language/schema/raw/master/csl-citation.json"} </w:instrText>
      </w:r>
      <w:r w:rsidR="00CE5A3F">
        <w:rPr>
          <w:rFonts w:ascii="Times" w:hAnsi="Times"/>
          <w:color w:val="000000" w:themeColor="text1"/>
        </w:rPr>
        <w:fldChar w:fldCharType="separate"/>
      </w:r>
      <w:r w:rsidR="00CE5A3F">
        <w:rPr>
          <w:rFonts w:ascii="Times" w:hAnsi="Times"/>
          <w:noProof/>
          <w:color w:val="000000" w:themeColor="text1"/>
        </w:rPr>
        <w:t>(Petway et al., 2020)</w:t>
      </w:r>
      <w:r w:rsidR="00CE5A3F">
        <w:rPr>
          <w:rFonts w:ascii="Times" w:hAnsi="Times"/>
          <w:color w:val="000000" w:themeColor="text1"/>
        </w:rPr>
        <w:fldChar w:fldCharType="end"/>
      </w:r>
      <w:r w:rsidR="00CE5A3F">
        <w:rPr>
          <w:rFonts w:ascii="Times" w:hAnsi="Times"/>
          <w:color w:val="000000" w:themeColor="text1"/>
        </w:rPr>
        <w:t>, these studies do not compare the values within the same cohort. This is a key distinction, as the differences in coaching philosophies, play styles, and competition level may all</w:t>
      </w:r>
      <w:r w:rsidR="00BC63F9">
        <w:rPr>
          <w:rFonts w:ascii="Times" w:hAnsi="Times"/>
          <w:color w:val="000000" w:themeColor="text1"/>
        </w:rPr>
        <w:t xml:space="preserve"> impact</w:t>
      </w:r>
      <w:r w:rsidR="00D63B18">
        <w:rPr>
          <w:rFonts w:ascii="Times" w:hAnsi="Times"/>
          <w:color w:val="000000" w:themeColor="text1"/>
        </w:rPr>
        <w:t xml:space="preserve"> training and competition external load values </w:t>
      </w:r>
      <w:r w:rsidR="00D63B18">
        <w:rPr>
          <w:rFonts w:ascii="Times" w:hAnsi="Times"/>
          <w:color w:val="000000" w:themeColor="text1"/>
        </w:rPr>
        <w:fldChar w:fldCharType="begin"/>
      </w:r>
      <w:r w:rsidR="00D63B18">
        <w:rPr>
          <w:rFonts w:ascii="Times" w:hAnsi="Times"/>
          <w:color w:val="000000" w:themeColor="text1"/>
        </w:rPr>
        <w:instrText xml:space="preserve"> ADDIN ZOTERO_ITEM CSL_CITATION {"citationID":"SlPuFmrd","properties":{"formattedCitation":"(Petway et al., 2020)","plainCitation":"(Petway et al., 2020)","noteIndex":0},"citationItems":[{"id":394,"uris":["http://zotero.org/users/5493924/items/K3IQG6ED"],"itemData":{"id":394,"type":"article-journal","container-title":"PLOS ONE","DOI":"10.1371/journal.pone.0229212","ISSN":"1932-6203","issue":"3","journalAbbreviation":"PLoS ONE","language":"en","page":"e0229212","source":"DOI.org (Crossref)","title":"Training load and match-play demands in basketball based on competition level: A systematic review","title-short":"Training load and match-play demands in basketball based on competition level","volume":"15","author":[{"family":"Petway","given":"Adam J."},{"family":"Freitas","given":"Tomás T."},{"family":"Calleja-González","given":"Julio"},{"family":"Medina Leal","given":"Daniel"},{"family":"Alcaraz","given":"Pedro E."}],"editor":[{"family":"Balsalobre-Fernández","given":"Carlos"}],"issued":{"date-parts":[["2020",3,5]]}}}],"schema":"https://github.com/citation-style-language/schema/raw/master/csl-citation.json"} </w:instrText>
      </w:r>
      <w:r w:rsidR="00D63B18">
        <w:rPr>
          <w:rFonts w:ascii="Times" w:hAnsi="Times"/>
          <w:color w:val="000000" w:themeColor="text1"/>
        </w:rPr>
        <w:fldChar w:fldCharType="separate"/>
      </w:r>
      <w:r w:rsidR="00D63B18">
        <w:rPr>
          <w:rFonts w:ascii="Times" w:hAnsi="Times"/>
          <w:noProof/>
          <w:color w:val="000000" w:themeColor="text1"/>
        </w:rPr>
        <w:t>(Petway et al., 2020)</w:t>
      </w:r>
      <w:r w:rsidR="00D63B18">
        <w:rPr>
          <w:rFonts w:ascii="Times" w:hAnsi="Times"/>
          <w:color w:val="000000" w:themeColor="text1"/>
        </w:rPr>
        <w:fldChar w:fldCharType="end"/>
      </w:r>
      <w:r w:rsidR="00D63B18">
        <w:rPr>
          <w:rFonts w:ascii="Times" w:hAnsi="Times"/>
          <w:color w:val="000000" w:themeColor="text1"/>
        </w:rPr>
        <w:t>. However, there are three studies that examine both training and competition external load values in basketball players but none of these studies utilize the same population as the present research. In one study, researchers examined the cumulative load demands of National Basketball Association (NBA) players over the course of a season. Results indicated that players who played the most minutes (termed “starters” by the research team) experienced significantly higher levels of external load values than those who played less (</w:t>
      </w:r>
      <w:r w:rsidR="00D63B18" w:rsidRPr="00D63B18">
        <w:rPr>
          <w:rFonts w:ascii="Times" w:hAnsi="Times"/>
          <w:i/>
          <w:iCs/>
          <w:color w:val="000000" w:themeColor="text1"/>
        </w:rPr>
        <w:t>p</w:t>
      </w:r>
      <w:r w:rsidR="00D63B18">
        <w:rPr>
          <w:rFonts w:ascii="Times" w:hAnsi="Times"/>
          <w:color w:val="000000" w:themeColor="text1"/>
        </w:rPr>
        <w:t xml:space="preserve"> &lt; 0.001, </w:t>
      </w:r>
      <w:r w:rsidR="00D63B18" w:rsidRPr="00D63B18">
        <w:rPr>
          <w:rFonts w:ascii="Times" w:hAnsi="Times"/>
          <w:i/>
          <w:iCs/>
          <w:color w:val="000000" w:themeColor="text1"/>
        </w:rPr>
        <w:t>d</w:t>
      </w:r>
      <w:r w:rsidR="00D63B18">
        <w:rPr>
          <w:rFonts w:ascii="Times" w:hAnsi="Times"/>
          <w:color w:val="000000" w:themeColor="text1"/>
        </w:rPr>
        <w:t xml:space="preserve"> = 0.77), with </w:t>
      </w:r>
      <w:r w:rsidR="00BC63F9">
        <w:rPr>
          <w:rFonts w:ascii="Times" w:hAnsi="Times"/>
          <w:color w:val="000000" w:themeColor="text1"/>
        </w:rPr>
        <w:t>n</w:t>
      </w:r>
      <w:r w:rsidR="00D63B18">
        <w:rPr>
          <w:rFonts w:ascii="Times" w:hAnsi="Times"/>
          <w:color w:val="000000" w:themeColor="text1"/>
        </w:rPr>
        <w:t>o significant differences to be found between positions</w:t>
      </w:r>
      <w:r w:rsidR="00452A73">
        <w:rPr>
          <w:rFonts w:ascii="Times" w:hAnsi="Times"/>
          <w:color w:val="000000" w:themeColor="text1"/>
        </w:rPr>
        <w:t xml:space="preserve"> </w:t>
      </w:r>
      <w:r w:rsidR="00452A73">
        <w:rPr>
          <w:rFonts w:ascii="Times" w:hAnsi="Times"/>
          <w:color w:val="000000" w:themeColor="text1"/>
        </w:rPr>
        <w:fldChar w:fldCharType="begin"/>
      </w:r>
      <w:r w:rsidR="00452A73">
        <w:rPr>
          <w:rFonts w:ascii="Times" w:hAnsi="Times"/>
          <w:color w:val="000000" w:themeColor="text1"/>
        </w:rPr>
        <w:instrText xml:space="preserve"> ADDIN ZOTERO_ITEM CSL_CITATION {"citationID":"aapMnOwQ","properties":{"formattedCitation":"(Russell, McLean, Stolp, et al., 2021)","plainCitation":"(Russell, McLean, Stolp, et al., 2021)","noteIndex":0},"citationItems":[{"id":269,"uris":["http://zotero.org/users/5493924/items/TXFNZU44"],"itemData":{"id":269,"type":"article-journal","abstract":"Purpose: There are currently no data describing combined practice and game load demands throughout a National Basketball Association (NBA) season. The primary objective of this study was to integrate external load data garnered from all on-court activity throughout an NBA season, according to different activity and player characteristics.\nMethods: Data from 14 professional male basketball players (mean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SD; age, 27.3</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4.8</w:instrText>
      </w:r>
      <w:r w:rsidR="00452A73">
        <w:rPr>
          <w:color w:val="000000" w:themeColor="text1"/>
        </w:rPr>
        <w:instrText> </w:instrText>
      </w:r>
      <w:r w:rsidR="00452A73">
        <w:rPr>
          <w:rFonts w:ascii="Times" w:hAnsi="Times"/>
          <w:color w:val="000000" w:themeColor="text1"/>
        </w:rPr>
        <w:instrText>years; height, 201.0</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7.2</w:instrText>
      </w:r>
      <w:r w:rsidR="00452A73">
        <w:rPr>
          <w:color w:val="000000" w:themeColor="text1"/>
        </w:rPr>
        <w:instrText> </w:instrText>
      </w:r>
      <w:r w:rsidR="00452A73">
        <w:rPr>
          <w:rFonts w:ascii="Times" w:hAnsi="Times"/>
          <w:color w:val="000000" w:themeColor="text1"/>
        </w:rPr>
        <w:instrText>cm; body mass, 104.9</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10.6</w:instrText>
      </w:r>
      <w:r w:rsidR="00452A73">
        <w:rPr>
          <w:color w:val="000000" w:themeColor="text1"/>
        </w:rPr>
        <w:instrText> </w:instrText>
      </w:r>
      <w:r w:rsidR="00452A73">
        <w:rPr>
          <w:rFonts w:ascii="Times" w:hAnsi="Times"/>
          <w:color w:val="000000" w:themeColor="text1"/>
        </w:rPr>
        <w:instrText>kg) playing for the same club during the 2017–2018 NBA season were retrospectively analyzed. Game and training data were integrated to create a consolidated external load measure, which was termed integrated load. Players were categorized by years of NBA experience (1-2y, 3-5y, 6-9y, and 10</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y), position (frontcourt and backcourt), and playing rotation status (starter, rotation, and bench).\nResults: Total weekly duration was significantly different (p</w:instrText>
      </w:r>
      <w:r w:rsidR="00452A73">
        <w:rPr>
          <w:color w:val="000000" w:themeColor="text1"/>
        </w:rPr>
        <w:instrText> </w:instrText>
      </w:r>
      <w:r w:rsidR="00452A73">
        <w:rPr>
          <w:rFonts w:ascii="Times" w:hAnsi="Times"/>
          <w:color w:val="000000" w:themeColor="text1"/>
        </w:rPr>
        <w:instrText>&lt;</w:instrText>
      </w:r>
      <w:r w:rsidR="00452A73">
        <w:rPr>
          <w:color w:val="000000" w:themeColor="text1"/>
        </w:rPr>
        <w:instrText> </w:instrText>
      </w:r>
      <w:r w:rsidR="00452A73">
        <w:rPr>
          <w:rFonts w:ascii="Times" w:hAnsi="Times"/>
          <w:color w:val="000000" w:themeColor="text1"/>
        </w:rPr>
        <w:instrText>0.001) between years of NBA playing experience, with duration highest in 3–5</w:instrText>
      </w:r>
      <w:r w:rsidR="00452A73">
        <w:rPr>
          <w:color w:val="000000" w:themeColor="text1"/>
        </w:rPr>
        <w:instrText> </w:instrText>
      </w:r>
      <w:r w:rsidR="00452A73">
        <w:rPr>
          <w:rFonts w:ascii="Times" w:hAnsi="Times"/>
          <w:color w:val="000000" w:themeColor="text1"/>
        </w:rPr>
        <w:instrText>year players, compared with 6–9 (d</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0.46) and 10+ (d</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0.78) year players. Starters experienced the highest integrated load, compared with bench (d</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 xml:space="preserve">0.77) players. There were no significant differences in integrated load or duration between positions.\nConclusion: This is the first study to describe the seasonal training loads of NBA players for an entire season and shows that a most training load is accumulated in non-game activities. This study highlights the need for integrated and unobtrusive training load monitoring, with engagement of all stakeholders to develop well-informed individualized training prescription to optimize preparation of NBA players.","container-title":"Frontiers in Psychology","DOI":"10.3389/fpsyg.2021.793216","ISSN":"1664-1078","journalAbbreviation":"Front. Psychol.","language":"en","page":"793216","source":"DOI.org (Crossref)","title":"Quantifying training and game demands of a National Basketball Association season","volume":"12","author":[{"family":"Russell","given":"Jennifer L."},{"family":"McLean","given":"Blake D."},{"family":"Stolp","given":"Sean"},{"family":"Strack","given":"Donnie"},{"family":"Coutts","given":"Aaron J."}],"issued":{"date-parts":[["2021",12,21]]}}}],"schema":"https://github.com/citation-style-language/schema/raw/master/csl-citation.json"} </w:instrText>
      </w:r>
      <w:r w:rsidR="00452A73">
        <w:rPr>
          <w:rFonts w:ascii="Times" w:hAnsi="Times"/>
          <w:color w:val="000000" w:themeColor="text1"/>
        </w:rPr>
        <w:fldChar w:fldCharType="separate"/>
      </w:r>
      <w:r w:rsidR="00452A73">
        <w:rPr>
          <w:rFonts w:ascii="Times" w:hAnsi="Times"/>
          <w:noProof/>
          <w:color w:val="000000" w:themeColor="text1"/>
        </w:rPr>
        <w:t>(Russell, McLean, Stolp, et al., 2021)</w:t>
      </w:r>
      <w:r w:rsidR="00452A73">
        <w:rPr>
          <w:rFonts w:ascii="Times" w:hAnsi="Times"/>
          <w:color w:val="000000" w:themeColor="text1"/>
        </w:rPr>
        <w:fldChar w:fldCharType="end"/>
      </w:r>
      <w:r w:rsidR="00D63B18">
        <w:rPr>
          <w:rFonts w:ascii="Times" w:hAnsi="Times"/>
          <w:color w:val="000000" w:themeColor="text1"/>
        </w:rPr>
        <w:t xml:space="preserve">. </w:t>
      </w:r>
      <w:r w:rsidR="00452A73">
        <w:rPr>
          <w:rFonts w:ascii="Times" w:hAnsi="Times"/>
          <w:color w:val="000000" w:themeColor="text1"/>
        </w:rPr>
        <w:t xml:space="preserve">In another study involving junior male basketball players (age 19 ± 2.1 </w:t>
      </w:r>
      <w:r w:rsidR="00BC63F9">
        <w:rPr>
          <w:rFonts w:ascii="Times" w:hAnsi="Times"/>
          <w:color w:val="000000" w:themeColor="text1"/>
        </w:rPr>
        <w:t>yr.</w:t>
      </w:r>
      <w:r w:rsidR="00452A73">
        <w:rPr>
          <w:rFonts w:ascii="Times" w:hAnsi="Times"/>
          <w:color w:val="000000" w:themeColor="text1"/>
        </w:rPr>
        <w:t xml:space="preserve">), external load measurements were collected across three game days and seven practice days to determine the </w:t>
      </w:r>
      <w:r w:rsidR="00452A73">
        <w:rPr>
          <w:rFonts w:ascii="Times" w:hAnsi="Times"/>
          <w:color w:val="000000" w:themeColor="text1"/>
        </w:rPr>
        <w:lastRenderedPageBreak/>
        <w:t>differences between “live” practice drills and game play.</w:t>
      </w:r>
      <w:r w:rsidR="00D836F3">
        <w:rPr>
          <w:rFonts w:ascii="Times" w:hAnsi="Times"/>
          <w:color w:val="000000" w:themeColor="text1"/>
        </w:rPr>
        <w:t xml:space="preserve"> This is one major weakness with this selected research, as it fails to quantify data across an entire season. </w:t>
      </w:r>
      <w:r w:rsidR="00452A73">
        <w:rPr>
          <w:rFonts w:ascii="Times" w:hAnsi="Times"/>
          <w:color w:val="000000" w:themeColor="text1"/>
        </w:rPr>
        <w:t>The results found that accumulated load compared between competition and practice drills indicated a moderate difference (</w:t>
      </w:r>
      <w:r w:rsidR="00452A73">
        <w:rPr>
          <w:rFonts w:ascii="Times" w:hAnsi="Times"/>
          <w:i/>
          <w:iCs/>
          <w:color w:val="000000" w:themeColor="text1"/>
        </w:rPr>
        <w:t>d =</w:t>
      </w:r>
      <w:r w:rsidR="00452A73">
        <w:rPr>
          <w:rFonts w:ascii="Times" w:hAnsi="Times"/>
          <w:color w:val="000000" w:themeColor="text1"/>
        </w:rPr>
        <w:t xml:space="preserve"> 1.17), </w:t>
      </w:r>
      <w:r w:rsidR="00BC63F9">
        <w:rPr>
          <w:rFonts w:ascii="Times" w:hAnsi="Times"/>
          <w:color w:val="000000" w:themeColor="text1"/>
        </w:rPr>
        <w:t xml:space="preserve">with “live” </w:t>
      </w:r>
      <w:r w:rsidR="00452A73">
        <w:rPr>
          <w:rFonts w:ascii="Times" w:hAnsi="Times"/>
          <w:color w:val="000000" w:themeColor="text1"/>
        </w:rPr>
        <w:t xml:space="preserve">drills averaging 171 ± 84 </w:t>
      </w:r>
      <w:r w:rsidR="002311CB">
        <w:rPr>
          <w:rFonts w:ascii="Times" w:hAnsi="Times"/>
          <w:color w:val="000000" w:themeColor="text1"/>
        </w:rPr>
        <w:t>AU</w:t>
      </w:r>
      <w:r w:rsidR="00452A73">
        <w:rPr>
          <w:rFonts w:ascii="Times" w:hAnsi="Times"/>
          <w:color w:val="000000" w:themeColor="text1"/>
        </w:rPr>
        <w:t xml:space="preserve"> and game periods averaging 279 ± 58 </w:t>
      </w:r>
      <w:r w:rsidR="002311CB">
        <w:rPr>
          <w:rFonts w:ascii="Times" w:hAnsi="Times"/>
          <w:color w:val="000000" w:themeColor="text1"/>
        </w:rPr>
        <w:t>AU</w:t>
      </w:r>
      <w:r w:rsidR="00452A73">
        <w:rPr>
          <w:rFonts w:ascii="Times" w:hAnsi="Times"/>
          <w:color w:val="000000" w:themeColor="text1"/>
        </w:rPr>
        <w:t>. T</w:t>
      </w:r>
      <w:r w:rsidR="00D624DE">
        <w:rPr>
          <w:rFonts w:ascii="Times" w:hAnsi="Times"/>
          <w:color w:val="000000" w:themeColor="text1"/>
        </w:rPr>
        <w:t xml:space="preserve">hese results indicate </w:t>
      </w:r>
      <w:r w:rsidR="00D836F3">
        <w:rPr>
          <w:rFonts w:ascii="Times" w:hAnsi="Times"/>
          <w:color w:val="000000" w:themeColor="text1"/>
        </w:rPr>
        <w:t xml:space="preserve">that practice drills designed to replicate game demands may not </w:t>
      </w:r>
      <w:r w:rsidR="00450618">
        <w:rPr>
          <w:rFonts w:ascii="Times" w:hAnsi="Times"/>
          <w:color w:val="000000" w:themeColor="text1"/>
        </w:rPr>
        <w:t xml:space="preserve">provide enough of a stimulus to replicate competition demands when viewed through the lens of external training load. </w:t>
      </w:r>
      <w:r w:rsidR="000B3BC5">
        <w:rPr>
          <w:rFonts w:ascii="Times" w:hAnsi="Times"/>
          <w:color w:val="000000" w:themeColor="text1"/>
        </w:rPr>
        <w:t xml:space="preserve">Lastly, in a study involving semi-professional basketball players, </w:t>
      </w:r>
      <w:r w:rsidR="002311CB">
        <w:rPr>
          <w:rFonts w:ascii="Times" w:hAnsi="Times"/>
          <w:color w:val="000000" w:themeColor="text1"/>
        </w:rPr>
        <w:t>results demonstrated that physical preparation training sessions (</w:t>
      </w:r>
      <w:r w:rsidR="002311CB" w:rsidRPr="002311CB">
        <w:rPr>
          <w:rFonts w:ascii="Times" w:hAnsi="Times"/>
          <w:color w:val="000000" w:themeColor="text1"/>
        </w:rPr>
        <w:t>632 ± 139 AU</w:t>
      </w:r>
      <w:r w:rsidR="002311CB">
        <w:rPr>
          <w:rFonts w:ascii="Times" w:hAnsi="Times"/>
          <w:color w:val="000000" w:themeColor="text1"/>
        </w:rPr>
        <w:t>) and practice sessions (</w:t>
      </w:r>
      <w:r w:rsidR="002311CB" w:rsidRPr="002311CB">
        <w:rPr>
          <w:rFonts w:ascii="Times" w:hAnsi="Times"/>
          <w:color w:val="000000" w:themeColor="text1"/>
        </w:rPr>
        <w:t>624 ± 113 AU</w:t>
      </w:r>
      <w:r w:rsidR="002311CB">
        <w:rPr>
          <w:rFonts w:ascii="Times" w:hAnsi="Times"/>
          <w:color w:val="000000" w:themeColor="text1"/>
        </w:rPr>
        <w:t>) exceeded the external load values of competition sessions (</w:t>
      </w:r>
      <w:r w:rsidR="002311CB" w:rsidRPr="002311CB">
        <w:rPr>
          <w:rFonts w:ascii="Times" w:hAnsi="Times"/>
          <w:color w:val="000000" w:themeColor="text1"/>
        </w:rPr>
        <w:t>449 ± 118 AU</w:t>
      </w:r>
      <w:r w:rsidR="002311CB">
        <w:rPr>
          <w:rFonts w:ascii="Times" w:hAnsi="Times"/>
          <w:color w:val="000000" w:themeColor="text1"/>
        </w:rPr>
        <w:t>)</w:t>
      </w:r>
      <w:r w:rsidR="00061062">
        <w:rPr>
          <w:rFonts w:ascii="Times" w:hAnsi="Times"/>
          <w:color w:val="000000" w:themeColor="text1"/>
        </w:rPr>
        <w:t xml:space="preserve"> </w:t>
      </w:r>
      <w:r w:rsidR="00061062">
        <w:rPr>
          <w:rFonts w:ascii="Times" w:hAnsi="Times"/>
          <w:color w:val="000000" w:themeColor="text1"/>
        </w:rPr>
        <w:fldChar w:fldCharType="begin"/>
      </w:r>
      <w:r w:rsidR="007912F9">
        <w:rPr>
          <w:rFonts w:ascii="Times" w:hAnsi="Times"/>
          <w:color w:val="000000" w:themeColor="text1"/>
        </w:rPr>
        <w:instrText xml:space="preserve"> ADDIN ZOTERO_ITEM CSL_CITATION {"citationID":"moJX2VCL","properties":{"formattedCitation":"(J. L. Fox et al., 2018)","plainCitation":"(J. L. Fox et al., 2018)","noteIndex":0},"citationItems":[{"id":195,"uris":["http://zotero.org/users/5493924/items/H5LEBQ88"],"itemData":{"id":195,"type":"article-journal","abstract":"Purpose: The purpose of this study was to quantify and compare training and competition demands in basketball. Methods: Fifteen semiprofessional male basketball players wore microsensors during physical conditioning training (PCT), games-based training (GBT), and competition to measure absolute and relative (·min−1) PlayerLoadTM (PL) and estimated equivalent distance (EED). Internal responses were calculated using absolute and relative session rating of perceived exertion (sRPE) and summated heart rate zones (SHRZ). Integrated measures were calculated as sRPE:PL and SHRZ:PL ratios. Results: PlayerLoad (arbitrary units [AU]) and EED (m) were statistically significantly (p &lt; .05) higher during PCT (632 ± 139 AU, d = 1.36; 5,964 ± 1,312 m, d = 1.36; 6.50 ± 0.81 AU·min−1, d = 2.44; 61.88 ± 7.22 m·min−1, d = 2.60) and GBT (624 ± 113 AU, d = 1.54; 5,892 ± 1,080 m, d = 1.53; 6.10 ± 0.77 AU·min−1, d = 2.14; 56.76 ± 6.49 m·min−1, d = 2.22) than they were during competition (449 ± 118 AU; 3,722 ± 1474 m; 4.35 ± 1.09 AU·min−1; 41.01 ± 10.29 m·min−1). Summated heart rate zones were statistically significantly (p &lt; .05) higher during PCT (314 ± 86 AU, d = 1.05; 3.22 ± 0.50 AU·min−1, d = 1.94) and GBT (334 ± 79 AU, d = 1.38; 3.19 ± 0.54 AU·min−1, d = 1.83) than they were during competition (225 ± 77 AU; 2.17 ± 0.69 AU·min−1). The ratio of sRPE:PL was statistically significantly (p &lt; .05) higher during competition (1.58 ± 0.85) than during PCT (0.98 ± 0.22, d = 1.44) and GBT (0.91 ± 0.24, d = 1.90). Conclusion: Training demands exceeded competition demands.","container-title":"Research Quarterly for Exercise and Sport","DOI":"10.1080/02701367.2017.1410693","ISSN":"0270-1367, 2168-3824","issue":"1","journalAbbreviation":"Research Quarterly for Exercise and Sport","language":"en","page":"103-111","source":"DOI.org (Crossref)","title":"A Comparison of Training and Competition Demands in Semiprofessional Male Basketball Players","volume":"89","author":[{"family":"Fox","given":"Jordan L."},{"family":"Stanton","given":"Robert"},{"family":"Scanlan","given":"Aaron T."}],"issued":{"date-parts":[["2018",1,2]]}}}],"schema":"https://github.com/citation-style-language/schema/raw/master/csl-citation.json"} </w:instrText>
      </w:r>
      <w:r w:rsidR="00061062">
        <w:rPr>
          <w:rFonts w:ascii="Times" w:hAnsi="Times"/>
          <w:color w:val="000000" w:themeColor="text1"/>
        </w:rPr>
        <w:fldChar w:fldCharType="separate"/>
      </w:r>
      <w:r w:rsidR="007912F9">
        <w:rPr>
          <w:rFonts w:ascii="Times" w:hAnsi="Times"/>
          <w:noProof/>
          <w:color w:val="000000" w:themeColor="text1"/>
        </w:rPr>
        <w:t>(J. L. Fox et al., 2018)</w:t>
      </w:r>
      <w:r w:rsidR="00061062">
        <w:rPr>
          <w:rFonts w:ascii="Times" w:hAnsi="Times"/>
          <w:color w:val="000000" w:themeColor="text1"/>
        </w:rPr>
        <w:fldChar w:fldCharType="end"/>
      </w:r>
      <w:r w:rsidR="002311CB">
        <w:rPr>
          <w:rFonts w:ascii="Times" w:hAnsi="Times"/>
          <w:color w:val="000000" w:themeColor="text1"/>
        </w:rPr>
        <w:t xml:space="preserve">. </w:t>
      </w:r>
      <w:r w:rsidR="00BC63F9">
        <w:rPr>
          <w:rFonts w:ascii="Times" w:hAnsi="Times"/>
          <w:color w:val="000000" w:themeColor="text1"/>
        </w:rPr>
        <w:t>Because</w:t>
      </w:r>
      <w:r w:rsidR="002311CB">
        <w:rPr>
          <w:rFonts w:ascii="Times" w:hAnsi="Times"/>
          <w:color w:val="000000" w:themeColor="text1"/>
        </w:rPr>
        <w:t xml:space="preserve"> these results run contrary to the previously discussed study</w:t>
      </w:r>
      <w:r w:rsidR="00BC63F9">
        <w:rPr>
          <w:rFonts w:ascii="Times" w:hAnsi="Times"/>
          <w:color w:val="000000" w:themeColor="text1"/>
        </w:rPr>
        <w:t>, the contradictory evidence would</w:t>
      </w:r>
      <w:r w:rsidR="002311CB">
        <w:rPr>
          <w:rFonts w:ascii="Times" w:hAnsi="Times"/>
          <w:color w:val="000000" w:themeColor="text1"/>
        </w:rPr>
        <w:t xml:space="preserve"> indicate that there is no clear consensus among the differences in practice and competition demands of basketball players</w:t>
      </w:r>
      <w:r w:rsidR="00BC63F9">
        <w:rPr>
          <w:rFonts w:ascii="Times" w:hAnsi="Times"/>
          <w:color w:val="000000" w:themeColor="text1"/>
        </w:rPr>
        <w:t xml:space="preserve"> and </w:t>
      </w:r>
      <w:r w:rsidR="002311CB">
        <w:rPr>
          <w:rFonts w:ascii="Times" w:hAnsi="Times"/>
          <w:color w:val="000000" w:themeColor="text1"/>
        </w:rPr>
        <w:t>th</w:t>
      </w:r>
      <w:r w:rsidR="00BC63F9">
        <w:rPr>
          <w:rFonts w:ascii="Times" w:hAnsi="Times"/>
          <w:color w:val="000000" w:themeColor="text1"/>
        </w:rPr>
        <w:t>at</w:t>
      </w:r>
      <w:r w:rsidR="002311CB">
        <w:rPr>
          <w:rFonts w:ascii="Times" w:hAnsi="Times"/>
          <w:color w:val="000000" w:themeColor="text1"/>
        </w:rPr>
        <w:t xml:space="preserve"> external training loads experienced may be highly variable across teams or playing levels, indicating the need for further research to examine this area.</w:t>
      </w:r>
    </w:p>
    <w:p w14:paraId="026C944F" w14:textId="447B495A" w:rsidR="007D62D2" w:rsidRPr="00214302" w:rsidRDefault="00E661DE" w:rsidP="007D62D2">
      <w:pPr>
        <w:pStyle w:val="Heading1"/>
        <w:rPr>
          <w:rFonts w:ascii="Times" w:hAnsi="Times"/>
          <w:color w:val="000000" w:themeColor="text1"/>
          <w:sz w:val="28"/>
          <w:szCs w:val="28"/>
        </w:rPr>
      </w:pPr>
      <w:r w:rsidRPr="00214302">
        <w:rPr>
          <w:rFonts w:ascii="Times" w:hAnsi="Times"/>
          <w:color w:val="000000" w:themeColor="text1"/>
          <w:sz w:val="28"/>
          <w:szCs w:val="28"/>
        </w:rPr>
        <w:t>Summary</w:t>
      </w:r>
    </w:p>
    <w:p w14:paraId="26B4CEC9" w14:textId="77777777" w:rsidR="00E661DE" w:rsidRPr="00DA5FAE" w:rsidRDefault="00E661DE" w:rsidP="00E661DE">
      <w:pPr>
        <w:rPr>
          <w:rFonts w:ascii="Times" w:hAnsi="Times"/>
        </w:rPr>
      </w:pPr>
    </w:p>
    <w:p w14:paraId="016DC520" w14:textId="312D3A63" w:rsidR="00E661DE" w:rsidRPr="00DA5FAE" w:rsidRDefault="007D62D2" w:rsidP="0059317D">
      <w:pPr>
        <w:spacing w:line="480" w:lineRule="auto"/>
        <w:rPr>
          <w:rFonts w:ascii="Times" w:hAnsi="Times"/>
          <w:color w:val="000000" w:themeColor="text1"/>
        </w:rPr>
      </w:pPr>
      <w:r>
        <w:rPr>
          <w:rFonts w:ascii="Times" w:hAnsi="Times"/>
        </w:rPr>
        <w:tab/>
      </w:r>
      <w:r w:rsidR="00E661DE" w:rsidRPr="00DA5FAE">
        <w:rPr>
          <w:rFonts w:ascii="Times" w:hAnsi="Times"/>
        </w:rPr>
        <w:t xml:space="preserve">Upon examination of the literature, </w:t>
      </w:r>
      <w:r w:rsidR="00E661DE">
        <w:rPr>
          <w:rFonts w:ascii="Times" w:hAnsi="Times"/>
        </w:rPr>
        <w:t xml:space="preserve">there is a </w:t>
      </w:r>
      <w:r w:rsidR="00E661DE" w:rsidRPr="00DA5FAE">
        <w:rPr>
          <w:rFonts w:ascii="Times" w:hAnsi="Times"/>
        </w:rPr>
        <w:t xml:space="preserve">lack of knowledge regarding the external load demands of NCAA DI </w:t>
      </w:r>
      <w:r w:rsidR="00BC63F9">
        <w:rPr>
          <w:rFonts w:ascii="Times" w:hAnsi="Times"/>
        </w:rPr>
        <w:t>m</w:t>
      </w:r>
      <w:r w:rsidR="00E661DE" w:rsidRPr="00DA5FAE">
        <w:rPr>
          <w:rFonts w:ascii="Times" w:hAnsi="Times"/>
        </w:rPr>
        <w:t xml:space="preserve">en’s </w:t>
      </w:r>
      <w:r w:rsidR="00BC63F9">
        <w:rPr>
          <w:rFonts w:ascii="Times" w:hAnsi="Times"/>
        </w:rPr>
        <w:t>b</w:t>
      </w:r>
      <w:r w:rsidR="00E661DE" w:rsidRPr="00DA5FAE">
        <w:rPr>
          <w:rFonts w:ascii="Times" w:hAnsi="Times"/>
        </w:rPr>
        <w:t xml:space="preserve">asketball players. Despite this, there is a great deal of research in the field that points to this being a topic that requires further examination. The theoretical concepts behind load have been well documented, as have the need for monitoring load in practical and applied settings </w:t>
      </w:r>
      <w:r w:rsidR="00E661DE" w:rsidRPr="00DA5FAE">
        <w:rPr>
          <w:rFonts w:ascii="Times" w:hAnsi="Times"/>
        </w:rPr>
        <w:fldChar w:fldCharType="begin"/>
      </w:r>
      <w:r w:rsidR="00E661DE">
        <w:rPr>
          <w:rFonts w:ascii="Times" w:hAnsi="Times"/>
        </w:rPr>
        <w:instrText xml:space="preserve"> ADDIN ZOTERO_ITEM CSL_CITATION {"citationID":"m1nkaXel","properties":{"formattedCitation":"(Halson, 2014; Jeffries et al., 2021; Torres-Ronda et al., 2022)","plainCitation":"(Halson, 2014; Jeffries et al., 2021; Torres-Ronda et al., 2022)","noteIndex":0},"citationItems":[{"id":6,"uris":["http://zotero.org/users/5493924/items/3VL2EUHJ"],"itemData":{"id":6,"type":"article-journal","container-title":"Sports Medicine","DOI":"10.1007/s40279-014-0253-z","ISSN":"0112-1642, 1179-2035","issue":"S2","language":"en","page":"139-147","source":"Crossref","title":"Monitoring Training Load to Understand Fatigue in Athletes","volume":"44","author":[{"family":"Halson","given":"Shona L."}],"issued":{"date-parts":[["2014",11]]}}},{"id":182,"uris":["http://zotero.org/users/5493924/items/JFCEWTR6"],"itemData":{"id":182,"type":"article-journal","abstract":"A conceptual framework has a central role in the scientific process. Its purpose is to synthesize evidence, assist in understanding phenomena, inform future research and act as a reference operational guide in practical settings. We propose an updated conceptual framework intended to facilitate the validation and interpretation of physical training measures. This revised conceptual framework was constructed through a process of qualitative analysis involving a synthesis of the literature, analysis and integration with existing frameworks (Banister and PerPot models). We identified, expanded, and integrated four constructs that are important in the conceptualization of the process and outcomes of physical training. These are: (1) formal introduction of a new measurable component ‘training effects’, a higher-order construct resulting from the combined effect of four possible responses (acute and chronic, positive and negative); (2) explanation, clarification and examples of training effect measures such as performance, physiological, subjective and other measures (cognitive, biomechanical, etc.); (3) integration of the sport performance outcome continuum (from performance improvements to overtraining); (4) extension and definition of the network of linkages (uni and bidirectional) between individual and contextual factors and other constructs. Additionally, we provided constitutive and operational definitions, and examples of theoretical and practical applications of the framework. These include validation and conceptualization of constructs (e.g., performance readiness), and understanding of higher-order constructs, such as training tolerance, when monitoring training to adapt it to individual responses and effects. This proposed conceptual framework provides an overarching model that may help understand and guide the development, validation, implementation and interpretation of measures used for athlete monitoring.","container-title":"Sports Medicine","DOI":"10.1007/s40279-021-01551-5","ISSN":"0112-1642, 1179-2035","journalAbbreviation":"Sports Med","language":"en","source":"DOI.org (Crossref)","title":"Development of a revised coneptual framework of physical training for use in research and practice","URL":"https://link.springer.com/10.1007/s40279-021-01551-5","author":[{"family":"Jeffries","given":"Annie C."},{"family":"Marcora","given":"Samuele M."},{"family":"Coutts","given":"Aaron J."},{"family":"Wallace","given":"Lee"},{"family":"McCall","given":"Alan"},{"family":"Impellizzeri","given":"Franco M."}],"accessed":{"date-parts":[["2022",2,20]]},"issued":{"date-parts":[["2021",9,14]]}}},{"id":172,"uris":["http://zotero.org/users/5493924/items/B6KTDJ9M"],"itemData":{"id":172,"type":"article-journal","abstract":"Seeking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sidR="00E661DE">
        <w:rPr>
          <w:rFonts w:ascii="Cambria Math" w:hAnsi="Cambria Math" w:cs="Cambria Math"/>
        </w:rPr>
        <w:instrText>‑</w:instrText>
      </w:r>
      <w:r w:rsidR="00E661DE">
        <w:rPr>
          <w:rFonts w:ascii="Times" w:hAnsi="Times"/>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sidR="00E661DE">
        <w:rPr>
          <w:rFonts w:ascii="Cambria Math" w:hAnsi="Cambria Math" w:cs="Cambria Math"/>
        </w:rPr>
        <w:instrText>‑</w:instrText>
      </w:r>
      <w:r w:rsidR="00E661DE">
        <w:rPr>
          <w:rFonts w:ascii="Times" w:hAnsi="Times"/>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sidR="00E661DE" w:rsidRPr="00DA5FAE">
        <w:rPr>
          <w:rFonts w:ascii="Times" w:hAnsi="Times"/>
        </w:rPr>
        <w:fldChar w:fldCharType="separate"/>
      </w:r>
      <w:r w:rsidR="00E661DE" w:rsidRPr="00DA5FAE">
        <w:rPr>
          <w:rFonts w:ascii="Times" w:hAnsi="Times"/>
          <w:noProof/>
        </w:rPr>
        <w:t>(Halson, 2014; Jeffries et al., 2021; Torres-Ronda et al., 2022)</w:t>
      </w:r>
      <w:r w:rsidR="00E661DE" w:rsidRPr="00DA5FAE">
        <w:rPr>
          <w:rFonts w:ascii="Times" w:hAnsi="Times"/>
        </w:rPr>
        <w:fldChar w:fldCharType="end"/>
      </w:r>
      <w:r w:rsidR="00E661DE" w:rsidRPr="00DA5FAE">
        <w:rPr>
          <w:rFonts w:ascii="Times" w:hAnsi="Times"/>
        </w:rPr>
        <w:t xml:space="preserve">. The increase of technology within applied settings, such as the use of LPS systems like Catapult, have made the monitoring and manipulation of training loads significantly easier. </w:t>
      </w:r>
      <w:r w:rsidR="00E661DE">
        <w:rPr>
          <w:rFonts w:ascii="Times" w:hAnsi="Times"/>
        </w:rPr>
        <w:t xml:space="preserve">Although Catapult systems have demonstrated mixed reliability, they have become the tool of </w:t>
      </w:r>
      <w:r w:rsidR="00E661DE">
        <w:rPr>
          <w:rFonts w:ascii="Times" w:hAnsi="Times"/>
        </w:rPr>
        <w:lastRenderedPageBreak/>
        <w:t xml:space="preserve">choice for applied load monitoring in the field of sport performance due to the practicality and ease of use of the system </w:t>
      </w:r>
      <w:r w:rsidR="00E661DE" w:rsidRPr="00DA5FAE">
        <w:rPr>
          <w:rFonts w:ascii="Times" w:hAnsi="Times"/>
        </w:rPr>
        <w:fldChar w:fldCharType="begin"/>
      </w:r>
      <w:r w:rsidR="0012636B">
        <w:rPr>
          <w:rFonts w:ascii="Times" w:hAnsi="Times"/>
        </w:rPr>
        <w:instrText xml:space="preserve"> ADDIN ZOTERO_ITEM CSL_CITATION {"citationID":"2gz0Cdnd","properties":{"formattedCitation":"(Bredt et al., 2020; Nicolella et al., 2018; Schelling &amp; Torres-Ronda, 2013)","plainCitation":"(Bredt et al., 2020; Nicolella et al., 2018; Schelling &amp; Torres-Ronda, 2013)","noteIndex":0},"citationItems":[{"id":223,"uris":["http://zotero.org/users/5493924/items/4LAHHCDV"],"itemData":{"id":223,"type":"article-journal","abstract":"We present a critical reflection on the mechanical variable Player Load, which is based on acceleration data and commonly used in sports. Our motivation to write this paper came from the difficulties that we encountered in the calculation and interpretation of Player Load using our own data, since we did not use the Catapult Sports equipment, which is a merchandise of the company that proposed this variable. We reviewed existing literature in order to understand Player Load better; we found many inconsistencies in PL calculation methods and in the meanings attached to it. Accordingly, this paper presents a brief discussion on the meanings that have been assigned to Player Load, its limitations, and the lack of clear and complete information about Player Load calculation methods. Moreover, the use of arbitrary units and different practical meanings in the literature has associated Player Load with many physical quantities, thereby resulting in difficulties in determining what Player Load measures within the context of sports. It seems that Player Load is related to the magnitude of changes in acceleration, but not the magnitude of acceleration itself. Therefore, coaches and sports scientists should take this information into account when they use Player Load to prescribe and monitor external loads. We concluded that a deeper discussion of Player Load as a descriptor of external load is warranted in the sports sciences literature.","container-title":"Journal of Human Kinetics","DOI":"10.2478/hukin-2019-0072","ISSN":"1899-7562","issue":"1","language":"en","page":"5-9","source":"DOI.org (Crossref)","title":"Understanding Player Load: Meanings and Limitations","title-short":"Understanding Player Load","volume":"71","author":[{"family":"Bredt","given":"Sarah da Glória Teles"},{"family":"Chagas","given":"Mauro Heleno"},{"family":"Peixoto","given":"Gustavo Henrique"},{"family":"Menzel","given":"Hans Joachim"},{"family":"Andrade","given":"André Gustavo Pereira","dropping-particle":"de"}],"issued":{"date-parts":[["2020",1,31]]}}},{"id":"EicxuIVT/RJvJolvj","uris":["http://zotero.org/users/5493924/items/N76SPCDG"],"itemData":{"id":244,"type":"article-journal","abstract":"This study aimed to determine the intra- and inter-device accuracy and reliability of wearable athletic tracking devices, under controlled laboratory conditions. A total of nineteen portable accelerometers (Catapult OptimEye S5) were mounted to an aluminum bracket, bolted directly to an Unholtz Dickie 20K electrodynamic shaker table, and subjected to a series of oscillations in each of three orthogonal directions (front-back, side to side, and up-down), at four levels of peak acceleration (0.1g, 0.5g, 1.0g, and 3.0g), each repeated five times resulting in a total of 60 tests per unit, for a total of 1140 records. Data from each accelerometer was recorded at a sampling frequency of 100Hz. Peak accelerations recorded by the devices, Catapult PlayerLoad™, and calculated player load (using Catapult’s Cartesian formula) were used for the analysis. The devices demonstrated excellent intradevice reliability and mixed interdevice reliability. Differences were found between devices for mean peak accelerations and PlayerLoad™ for each direction and level of acceleration. Interdevice effect sizes ranged from a mean of 0.54 (95% CI: 0.34–0.74) (small) to 1.20 (95% CI: 1.08–1.30) (large) and ICCs ranged from 0.77 (95% CI: 0.62–0.89) (very large) to 1.0 (95% CI: 0.99–1.0) (nearly perfect) depending upon the magnitude and direction of the applied motion. When compared to the player load determined using the Cartesian formula, the Catapult reported PlayerLoad™ was consistently lower by approximately 15%. These results emphasize the need for industry wide standards in reporting validity, reliability and the magnitude of measurement errors. It is recommended that device reliability and accuracy are periodically quantified.","container-title":"PLOS ONE","DOI":"10.1371/journal.pone.0191823","ISSN":"1932-6203","issue":"2","journalAbbreviation":"PLoS ONE","language":"en","page":"e0191823","source":"DOI.org (Crossref)","title":"Validity and reliability of an accelerometer-based player tracking device","volume":"13","author":[{"family":"Nicolella","given":"Daniel P."},{"family":"Torres-Ronda","given":"Lorena"},{"family":"Saylor","given":"Kase J."},{"family":"Schelling","given":"Xavi"}],"editor":[{"family":"Ardigò","given":"Luca Paolo"}],"issued":{"date-parts":[["2018",2,8]]}}},{"id":218,"uris":["http://zotero.org/users/5493924/items/HNLEMZ4T"],"itemData":{"id":218,"type":"article-journal","abstract":"THE PURPOSE OF THIS PAPER IS TO FILL THE GAP ON THIS TOPIC PROPOSING A TRAINING METHODOLOGY FOR BASKETBALL CONDITIONING. THE METHODOLOGY IS BASED ON SPECIFIC PROGRESSION ACCORDING TO TASK ORIENTATION, APPROACHING LEVELS, AND PLAYER’S INDIVIDUAL NEEDS AND DEMANDS OF THE APPROACHING LEVELS. THIS INCLUDES TRAINING ORGANIZATION, CONTENT PROGRESSION (GENERIC ENDURANCE TRAINING, HIGH-INTENSITY INTERVAL TRAINING, REPEATED-SPRINT TRAINING, WITH OR WITHOUT CHANGES OF DIRECTION, SMALL-SIDED GAMES, AND ACTUAL BASKETBALL), AND GENERAL RECOMMENDATIONS FOR CONDITIONING TRAINING FOR BASKETBALL. THE PROPOSED METHODOLOGY IS BASED ON THE LATEST SCIENTIFIC EVIDENCE AND THE AUTHORS’ PRACTICAL EXPERIENCE WITH ELITE PLAYERS. FOR A VIDEO ABSTRACT OF THIS ARTICLE, SEE VIDEO SUPPLEMENTAL DIGITAL CONTENT 1, HTTP:// LINKS.LWW.COM/SCJ/A128.","container-title":"Strength &amp; Conditioning Journal","DOI":"10.1519/SSC.0000000000000018","ISSN":"1524-1602","issue":"6","language":"en","page":"89-94","source":"DOI.org (Crossref)","title":"Conditioning for Basketball: Quality and Quantity of Training","title-short":"Conditioning for Basketball","volume":"35","author":[{"family":"Schelling","given":"Xavi"},{"family":"Torres-Ronda","given":"Lorena"}],"issued":{"date-parts":[["2013",12]]}}}],"schema":"https://github.com/citation-style-language/schema/raw/master/csl-citation.json"} </w:instrText>
      </w:r>
      <w:r w:rsidR="00E661DE" w:rsidRPr="00DA5FAE">
        <w:rPr>
          <w:rFonts w:ascii="Times" w:hAnsi="Times"/>
        </w:rPr>
        <w:fldChar w:fldCharType="separate"/>
      </w:r>
      <w:r w:rsidR="00E661DE" w:rsidRPr="00DA5FAE">
        <w:rPr>
          <w:rFonts w:ascii="Times" w:hAnsi="Times"/>
          <w:noProof/>
        </w:rPr>
        <w:t>(Bredt et al., 2020; Nicolella et al., 2018; Schelling &amp; Torres-Ronda, 2013)</w:t>
      </w:r>
      <w:r w:rsidR="00E661DE" w:rsidRPr="00DA5FAE">
        <w:rPr>
          <w:rFonts w:ascii="Times" w:hAnsi="Times"/>
        </w:rPr>
        <w:fldChar w:fldCharType="end"/>
      </w:r>
      <w:r w:rsidR="00E661DE" w:rsidRPr="00DA5FAE">
        <w:rPr>
          <w:rFonts w:ascii="Times" w:hAnsi="Times"/>
        </w:rPr>
        <w:t xml:space="preserve">. </w:t>
      </w:r>
      <w:r w:rsidR="00E661DE">
        <w:rPr>
          <w:rFonts w:ascii="Times" w:hAnsi="Times"/>
        </w:rPr>
        <w:t>Therefore,</w:t>
      </w:r>
      <w:r w:rsidR="00E661DE" w:rsidRPr="00DA5FAE">
        <w:rPr>
          <w:rFonts w:ascii="Times" w:hAnsi="Times"/>
        </w:rPr>
        <w:t xml:space="preserve"> the purpose </w:t>
      </w:r>
      <w:r w:rsidR="00E661DE" w:rsidRPr="00DA5FAE">
        <w:rPr>
          <w:rFonts w:ascii="Times" w:hAnsi="Times"/>
          <w:color w:val="000000" w:themeColor="text1"/>
        </w:rPr>
        <w:t xml:space="preserve">of this study is to explore the external loads of NCAA Division I </w:t>
      </w:r>
      <w:r w:rsidR="00BC63F9">
        <w:rPr>
          <w:rFonts w:ascii="Times" w:hAnsi="Times"/>
          <w:color w:val="000000" w:themeColor="text1"/>
        </w:rPr>
        <w:t>m</w:t>
      </w:r>
      <w:r w:rsidR="00E661DE" w:rsidRPr="00DA5FAE">
        <w:rPr>
          <w:rFonts w:ascii="Times" w:hAnsi="Times"/>
          <w:color w:val="000000" w:themeColor="text1"/>
        </w:rPr>
        <w:t xml:space="preserve">en’s </w:t>
      </w:r>
      <w:r w:rsidR="00BC63F9">
        <w:rPr>
          <w:rFonts w:ascii="Times" w:hAnsi="Times"/>
          <w:color w:val="000000" w:themeColor="text1"/>
        </w:rPr>
        <w:t>b</w:t>
      </w:r>
      <w:r w:rsidR="00E661DE" w:rsidRPr="00DA5FAE">
        <w:rPr>
          <w:rFonts w:ascii="Times" w:hAnsi="Times"/>
          <w:color w:val="000000" w:themeColor="text1"/>
        </w:rPr>
        <w:t>asketball athletes across a competitive season</w:t>
      </w:r>
      <w:r w:rsidR="00BC63F9">
        <w:rPr>
          <w:rFonts w:ascii="Times" w:hAnsi="Times"/>
          <w:color w:val="000000" w:themeColor="text1"/>
        </w:rPr>
        <w:t xml:space="preserve"> and to determine the differences in external training load values </w:t>
      </w:r>
      <w:r>
        <w:rPr>
          <w:rFonts w:ascii="Times" w:hAnsi="Times"/>
          <w:color w:val="000000" w:themeColor="text1"/>
        </w:rPr>
        <w:t>between</w:t>
      </w:r>
      <w:r w:rsidR="00BC63F9">
        <w:rPr>
          <w:rFonts w:ascii="Times" w:hAnsi="Times"/>
          <w:color w:val="000000" w:themeColor="text1"/>
        </w:rPr>
        <w:t xml:space="preserve"> practice and competition at this level of basketball.</w:t>
      </w:r>
    </w:p>
    <w:p w14:paraId="7B4630AB" w14:textId="1EC8EF03" w:rsidR="00E661DE" w:rsidRPr="00DA5FAE" w:rsidRDefault="00E661DE" w:rsidP="00E661DE">
      <w:pPr>
        <w:rPr>
          <w:rFonts w:ascii="Times" w:hAnsi="Times"/>
        </w:rPr>
      </w:pPr>
    </w:p>
    <w:p w14:paraId="4EC60648" w14:textId="77777777" w:rsidR="00E661DE" w:rsidRPr="00214302" w:rsidRDefault="00E661DE" w:rsidP="00E661DE">
      <w:pPr>
        <w:pStyle w:val="Title"/>
        <w:jc w:val="center"/>
        <w:rPr>
          <w:rFonts w:ascii="Times" w:hAnsi="Times" w:cs="Times New Roman"/>
          <w:noProof/>
          <w:color w:val="000000" w:themeColor="text1"/>
          <w:sz w:val="32"/>
          <w:szCs w:val="32"/>
        </w:rPr>
      </w:pPr>
      <w:r w:rsidRPr="00214302">
        <w:rPr>
          <w:rFonts w:ascii="Times" w:hAnsi="Times" w:cs="Times New Roman"/>
          <w:noProof/>
          <w:color w:val="000000" w:themeColor="text1"/>
          <w:sz w:val="32"/>
          <w:szCs w:val="32"/>
        </w:rPr>
        <w:t>Chapter 3: Methodology</w:t>
      </w:r>
    </w:p>
    <w:p w14:paraId="1DEBE33B" w14:textId="77777777" w:rsidR="00E661DE" w:rsidRPr="00DA5FAE" w:rsidRDefault="00E661DE" w:rsidP="00E661DE">
      <w:pPr>
        <w:rPr>
          <w:rFonts w:ascii="Times" w:hAnsi="Times"/>
        </w:rPr>
      </w:pPr>
    </w:p>
    <w:p w14:paraId="7D79178F" w14:textId="77777777" w:rsidR="00E661DE" w:rsidRPr="00DA5FAE" w:rsidRDefault="00E661DE" w:rsidP="00E661DE">
      <w:pPr>
        <w:rPr>
          <w:rFonts w:ascii="Times" w:hAnsi="Times"/>
          <w:color w:val="000000" w:themeColor="text1"/>
        </w:rPr>
      </w:pPr>
    </w:p>
    <w:p w14:paraId="2989D3F1" w14:textId="17F8E0BC" w:rsidR="00E661DE" w:rsidRPr="00DA5FAE" w:rsidRDefault="006C1590" w:rsidP="00BC63F9">
      <w:pPr>
        <w:spacing w:line="480" w:lineRule="auto"/>
        <w:ind w:firstLine="720"/>
        <w:rPr>
          <w:rFonts w:ascii="Times" w:hAnsi="Times"/>
          <w:color w:val="000000" w:themeColor="text1"/>
        </w:rPr>
      </w:pPr>
      <w:r>
        <w:rPr>
          <w:rFonts w:ascii="Times" w:hAnsi="Times"/>
          <w:color w:val="000000" w:themeColor="text1"/>
        </w:rPr>
        <w:t xml:space="preserve">As </w:t>
      </w:r>
      <w:r w:rsidRPr="00DA5FAE">
        <w:rPr>
          <w:rFonts w:ascii="Times" w:hAnsi="Times"/>
          <w:color w:val="000000" w:themeColor="text1"/>
        </w:rPr>
        <w:t>previously</w:t>
      </w:r>
      <w:r>
        <w:rPr>
          <w:rFonts w:ascii="Times" w:hAnsi="Times"/>
          <w:color w:val="000000" w:themeColor="text1"/>
        </w:rPr>
        <w:t xml:space="preserve"> mentioned</w:t>
      </w:r>
      <w:r w:rsidRPr="00DA5FAE">
        <w:rPr>
          <w:rFonts w:ascii="Times" w:hAnsi="Times"/>
          <w:color w:val="000000" w:themeColor="text1"/>
        </w:rPr>
        <w:t xml:space="preserve">, the use of external load monitoring that is made possible through commercially available athlete tracking systems has become the most common form of measuring and managing athlete </w:t>
      </w:r>
      <w:r w:rsidR="004E07A9">
        <w:rPr>
          <w:rFonts w:ascii="Times" w:hAnsi="Times"/>
          <w:color w:val="000000" w:themeColor="text1"/>
        </w:rPr>
        <w:t>load across a season</w:t>
      </w:r>
      <w:r>
        <w:rPr>
          <w:rFonts w:ascii="Times" w:hAnsi="Times"/>
          <w:color w:val="000000" w:themeColor="text1"/>
        </w:rPr>
        <w:t xml:space="preserve">. While the technology available to practitioners has </w:t>
      </w:r>
      <w:r w:rsidR="004E07A9">
        <w:rPr>
          <w:rFonts w:ascii="Times" w:hAnsi="Times"/>
          <w:color w:val="000000" w:themeColor="text1"/>
        </w:rPr>
        <w:t>made quantifying load significantly easier</w:t>
      </w:r>
      <w:r>
        <w:rPr>
          <w:rFonts w:ascii="Times" w:hAnsi="Times"/>
          <w:color w:val="000000" w:themeColor="text1"/>
        </w:rPr>
        <w:t xml:space="preserve">, there are still a number of other factors </w:t>
      </w:r>
      <w:r w:rsidR="004E07A9">
        <w:rPr>
          <w:rFonts w:ascii="Times" w:hAnsi="Times"/>
          <w:color w:val="000000" w:themeColor="text1"/>
        </w:rPr>
        <w:t>that make a comprehensive understanding of physical demands challenging.</w:t>
      </w:r>
      <w:r>
        <w:rPr>
          <w:rFonts w:ascii="Times" w:hAnsi="Times"/>
          <w:color w:val="000000" w:themeColor="text1"/>
        </w:rPr>
        <w:t xml:space="preserve"> Available funds, athlete compliance, and the acceptance of information provided by external load monitoring technology are some of the issues that are most prevalent. </w:t>
      </w:r>
      <w:r w:rsidR="004E07A9">
        <w:rPr>
          <w:rFonts w:ascii="Times" w:hAnsi="Times"/>
          <w:color w:val="000000" w:themeColor="text1"/>
        </w:rPr>
        <w:t>In the context of this research project, a major limiting factor is the inability for external load data to be collected during competitions, meaning that a significant portion of physical demands are unable to be quantified. Therefore,</w:t>
      </w:r>
      <w:r w:rsidR="00E661DE" w:rsidRPr="00DA5FAE">
        <w:rPr>
          <w:rFonts w:ascii="Times" w:hAnsi="Times"/>
          <w:color w:val="000000" w:themeColor="text1"/>
        </w:rPr>
        <w:t xml:space="preserve"> </w:t>
      </w:r>
      <w:r w:rsidR="00BC63F9">
        <w:rPr>
          <w:rFonts w:ascii="Times" w:hAnsi="Times"/>
          <w:color w:val="000000" w:themeColor="text1"/>
        </w:rPr>
        <w:t>linear</w:t>
      </w:r>
      <w:r w:rsidR="00AC16EC">
        <w:rPr>
          <w:rFonts w:ascii="Times" w:hAnsi="Times"/>
          <w:color w:val="000000" w:themeColor="text1"/>
        </w:rPr>
        <w:t xml:space="preserve"> </w:t>
      </w:r>
      <w:r w:rsidR="00BC63F9">
        <w:rPr>
          <w:rFonts w:ascii="Times" w:hAnsi="Times"/>
          <w:color w:val="000000" w:themeColor="text1"/>
        </w:rPr>
        <w:t xml:space="preserve">regression </w:t>
      </w:r>
      <w:r w:rsidR="007D62D2">
        <w:rPr>
          <w:rFonts w:ascii="Times" w:hAnsi="Times"/>
          <w:color w:val="000000" w:themeColor="text1"/>
        </w:rPr>
        <w:t>estimates were used</w:t>
      </w:r>
      <w:r w:rsidR="00AC16EC">
        <w:rPr>
          <w:rFonts w:ascii="Times" w:hAnsi="Times"/>
          <w:color w:val="000000" w:themeColor="text1"/>
        </w:rPr>
        <w:t xml:space="preserve"> to</w:t>
      </w:r>
      <w:r w:rsidR="00E661DE" w:rsidRPr="00DA5FAE">
        <w:rPr>
          <w:rFonts w:ascii="Times" w:hAnsi="Times"/>
          <w:color w:val="000000" w:themeColor="text1"/>
        </w:rPr>
        <w:t xml:space="preserve"> explore the external training loads of NCAA </w:t>
      </w:r>
      <w:r w:rsidR="00BC63F9">
        <w:rPr>
          <w:rFonts w:ascii="Times" w:hAnsi="Times"/>
          <w:color w:val="000000" w:themeColor="text1"/>
        </w:rPr>
        <w:t>DI</w:t>
      </w:r>
      <w:r w:rsidR="00E661DE" w:rsidRPr="00DA5FAE">
        <w:rPr>
          <w:rFonts w:ascii="Times" w:hAnsi="Times"/>
          <w:color w:val="000000" w:themeColor="text1"/>
        </w:rPr>
        <w:t xml:space="preserve"> </w:t>
      </w:r>
      <w:r w:rsidR="00BC63F9">
        <w:rPr>
          <w:rFonts w:ascii="Times" w:hAnsi="Times"/>
          <w:color w:val="000000" w:themeColor="text1"/>
        </w:rPr>
        <w:t>m</w:t>
      </w:r>
      <w:r w:rsidR="00E661DE" w:rsidRPr="00DA5FAE">
        <w:rPr>
          <w:rFonts w:ascii="Times" w:hAnsi="Times"/>
          <w:color w:val="000000" w:themeColor="text1"/>
        </w:rPr>
        <w:t xml:space="preserve">en’s </w:t>
      </w:r>
      <w:r w:rsidR="00BC63F9">
        <w:rPr>
          <w:rFonts w:ascii="Times" w:hAnsi="Times"/>
          <w:color w:val="000000" w:themeColor="text1"/>
        </w:rPr>
        <w:t>b</w:t>
      </w:r>
      <w:r w:rsidR="00E661DE" w:rsidRPr="00DA5FAE">
        <w:rPr>
          <w:rFonts w:ascii="Times" w:hAnsi="Times"/>
          <w:color w:val="000000" w:themeColor="text1"/>
        </w:rPr>
        <w:t>asketball players, and quantify the physical demands encountered</w:t>
      </w:r>
      <w:r w:rsidR="00163A8D">
        <w:rPr>
          <w:rFonts w:ascii="Times" w:hAnsi="Times"/>
          <w:color w:val="000000" w:themeColor="text1"/>
        </w:rPr>
        <w:t xml:space="preserve">. </w:t>
      </w:r>
    </w:p>
    <w:p w14:paraId="27949C4B" w14:textId="41D25760" w:rsidR="00E661DE" w:rsidRPr="00DA5FAE" w:rsidRDefault="00BC63F9" w:rsidP="00E661DE">
      <w:pPr>
        <w:spacing w:line="480" w:lineRule="auto"/>
        <w:rPr>
          <w:rFonts w:ascii="Times" w:hAnsi="Times"/>
          <w:color w:val="000000" w:themeColor="text1"/>
        </w:rPr>
      </w:pPr>
      <w:r>
        <w:rPr>
          <w:rFonts w:ascii="Times" w:hAnsi="Times"/>
          <w:color w:val="000000" w:themeColor="text1"/>
        </w:rPr>
        <w:t>In the following section, th</w:t>
      </w:r>
      <w:r w:rsidR="00E661DE" w:rsidRPr="00DA5FAE">
        <w:rPr>
          <w:rFonts w:ascii="Times" w:hAnsi="Times"/>
          <w:color w:val="000000" w:themeColor="text1"/>
        </w:rPr>
        <w:t>e methods</w:t>
      </w:r>
      <w:r>
        <w:rPr>
          <w:rFonts w:ascii="Times" w:hAnsi="Times"/>
          <w:color w:val="000000" w:themeColor="text1"/>
        </w:rPr>
        <w:t>,</w:t>
      </w:r>
      <w:r w:rsidR="00E661DE" w:rsidRPr="00DA5FAE">
        <w:rPr>
          <w:rFonts w:ascii="Times" w:hAnsi="Times"/>
          <w:color w:val="000000" w:themeColor="text1"/>
        </w:rPr>
        <w:t xml:space="preserve"> procedures</w:t>
      </w:r>
      <w:r>
        <w:rPr>
          <w:rFonts w:ascii="Times" w:hAnsi="Times"/>
          <w:color w:val="000000" w:themeColor="text1"/>
        </w:rPr>
        <w:t>, and overall research design</w:t>
      </w:r>
      <w:r w:rsidR="00E661DE" w:rsidRPr="00DA5FAE">
        <w:rPr>
          <w:rFonts w:ascii="Times" w:hAnsi="Times"/>
          <w:color w:val="000000" w:themeColor="text1"/>
        </w:rPr>
        <w:t xml:space="preserve"> used to answer this question will be discussed. </w:t>
      </w:r>
    </w:p>
    <w:p w14:paraId="0B3CB7A0" w14:textId="77777777" w:rsidR="00E661DE" w:rsidRPr="00214302" w:rsidRDefault="00E661DE" w:rsidP="00E661DE">
      <w:pPr>
        <w:pStyle w:val="Heading1"/>
        <w:rPr>
          <w:rFonts w:ascii="Times" w:hAnsi="Times" w:cs="Times New Roman"/>
          <w:color w:val="000000" w:themeColor="text1"/>
          <w:sz w:val="28"/>
          <w:szCs w:val="28"/>
        </w:rPr>
      </w:pPr>
      <w:r w:rsidRPr="00214302">
        <w:rPr>
          <w:rFonts w:ascii="Times" w:hAnsi="Times" w:cs="Times New Roman"/>
          <w:color w:val="000000" w:themeColor="text1"/>
          <w:sz w:val="28"/>
          <w:szCs w:val="28"/>
        </w:rPr>
        <w:t>Population and Sampling</w:t>
      </w:r>
    </w:p>
    <w:p w14:paraId="335D2874" w14:textId="77777777" w:rsidR="00E661DE" w:rsidRPr="00DA5FAE" w:rsidRDefault="00E661DE" w:rsidP="00E661DE">
      <w:pPr>
        <w:rPr>
          <w:rFonts w:ascii="Times" w:hAnsi="Times"/>
          <w:color w:val="000000" w:themeColor="text1"/>
        </w:rPr>
      </w:pPr>
    </w:p>
    <w:p w14:paraId="17E5ADE1" w14:textId="6A983F30"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rPr>
        <w:tab/>
        <w:t xml:space="preserve">A total of 15 NCAA Division I </w:t>
      </w:r>
      <w:r w:rsidR="00BC63F9">
        <w:rPr>
          <w:rFonts w:ascii="Times" w:hAnsi="Times"/>
          <w:color w:val="000000" w:themeColor="text1"/>
        </w:rPr>
        <w:t>m</w:t>
      </w:r>
      <w:r w:rsidRPr="00DA5FAE">
        <w:rPr>
          <w:rFonts w:ascii="Times" w:hAnsi="Times"/>
          <w:color w:val="000000" w:themeColor="text1"/>
        </w:rPr>
        <w:t xml:space="preserve">en’s </w:t>
      </w:r>
      <w:r w:rsidR="00BC63F9">
        <w:rPr>
          <w:rFonts w:ascii="Times" w:hAnsi="Times"/>
          <w:color w:val="000000" w:themeColor="text1"/>
        </w:rPr>
        <w:t>b</w:t>
      </w:r>
      <w:r w:rsidRPr="00DA5FAE">
        <w:rPr>
          <w:rFonts w:ascii="Times" w:hAnsi="Times"/>
          <w:color w:val="000000" w:themeColor="text1"/>
        </w:rPr>
        <w:t xml:space="preserve">asketball players from one NCAA Division I University </w:t>
      </w:r>
      <w:r w:rsidR="00BC63F9">
        <w:rPr>
          <w:rFonts w:ascii="Times" w:hAnsi="Times"/>
          <w:color w:val="000000" w:themeColor="text1"/>
        </w:rPr>
        <w:t>were</w:t>
      </w:r>
      <w:r>
        <w:rPr>
          <w:rFonts w:ascii="Times" w:hAnsi="Times"/>
          <w:color w:val="000000" w:themeColor="text1"/>
        </w:rPr>
        <w:t xml:space="preserve"> </w:t>
      </w:r>
      <w:r w:rsidRPr="00DA5FAE">
        <w:rPr>
          <w:rFonts w:ascii="Times" w:hAnsi="Times"/>
          <w:color w:val="000000" w:themeColor="text1"/>
        </w:rPr>
        <w:t>chosen as the sample</w:t>
      </w:r>
      <w:r w:rsidR="004C1CDD">
        <w:rPr>
          <w:rFonts w:ascii="Times" w:hAnsi="Times"/>
          <w:color w:val="000000" w:themeColor="text1"/>
        </w:rPr>
        <w:t xml:space="preserve"> </w:t>
      </w:r>
      <w:r w:rsidRPr="00DA5FAE">
        <w:rPr>
          <w:rFonts w:ascii="Times" w:hAnsi="Times"/>
          <w:color w:val="000000" w:themeColor="text1"/>
        </w:rPr>
        <w:t xml:space="preserve">for this study. Participants were selected for this study due </w:t>
      </w:r>
      <w:r w:rsidRPr="00DA5FAE">
        <w:rPr>
          <w:rFonts w:ascii="Times" w:hAnsi="Times"/>
          <w:color w:val="000000" w:themeColor="text1"/>
        </w:rPr>
        <w:lastRenderedPageBreak/>
        <w:t xml:space="preserve">to their status as members of an NCAA Division I basketball team. This specific team was selected due to physical proximity of the </w:t>
      </w:r>
      <w:r w:rsidR="00BC63F9">
        <w:rPr>
          <w:rFonts w:ascii="Times" w:hAnsi="Times"/>
          <w:color w:val="000000" w:themeColor="text1"/>
        </w:rPr>
        <w:t>researcher</w:t>
      </w:r>
      <w:r w:rsidRPr="00DA5FAE">
        <w:rPr>
          <w:rFonts w:ascii="Times" w:hAnsi="Times"/>
          <w:color w:val="000000" w:themeColor="text1"/>
        </w:rPr>
        <w:t xml:space="preserve">, as well as the fact that the use of external load monitoring with an LPS (Catapult T6 </w:t>
      </w:r>
      <w:proofErr w:type="spellStart"/>
      <w:r w:rsidRPr="00DA5FAE">
        <w:rPr>
          <w:rFonts w:ascii="Times" w:hAnsi="Times"/>
          <w:color w:val="000000" w:themeColor="text1"/>
        </w:rPr>
        <w:t>ClearSky</w:t>
      </w:r>
      <w:proofErr w:type="spellEnd"/>
      <w:r w:rsidRPr="00DA5FAE">
        <w:rPr>
          <w:rFonts w:ascii="Times" w:hAnsi="Times"/>
          <w:color w:val="000000" w:themeColor="text1"/>
        </w:rPr>
        <w:t>, Catapult Sports, Melbourne, Australia) had already been implemented within the normal day-to-day operation of the chosen team, making data collection unobstructive and non-invasive to team and player operations. Subjects were</w:t>
      </w:r>
      <w:r w:rsidR="004C1CDD">
        <w:rPr>
          <w:rFonts w:ascii="Times" w:hAnsi="Times"/>
          <w:color w:val="000000" w:themeColor="text1"/>
        </w:rPr>
        <w:t xml:space="preserve"> previously</w:t>
      </w:r>
      <w:r w:rsidRPr="00DA5FAE">
        <w:rPr>
          <w:rFonts w:ascii="Times" w:hAnsi="Times"/>
          <w:color w:val="000000" w:themeColor="text1"/>
        </w:rPr>
        <w:t xml:space="preserve"> informed of the data being utilized for research purposes. </w:t>
      </w:r>
    </w:p>
    <w:p w14:paraId="614C4C01" w14:textId="77777777" w:rsidR="00E661DE" w:rsidRPr="00214302" w:rsidRDefault="00E661DE" w:rsidP="00E661DE">
      <w:pPr>
        <w:pStyle w:val="Heading1"/>
        <w:rPr>
          <w:rFonts w:ascii="Times" w:hAnsi="Times" w:cs="Times New Roman"/>
          <w:color w:val="000000" w:themeColor="text1"/>
          <w:sz w:val="28"/>
          <w:szCs w:val="28"/>
        </w:rPr>
      </w:pPr>
      <w:r w:rsidRPr="00214302">
        <w:rPr>
          <w:rFonts w:ascii="Times" w:hAnsi="Times" w:cs="Times New Roman"/>
          <w:color w:val="000000" w:themeColor="text1"/>
          <w:sz w:val="28"/>
          <w:szCs w:val="28"/>
        </w:rPr>
        <w:t>Research Design</w:t>
      </w:r>
    </w:p>
    <w:p w14:paraId="470CB634" w14:textId="77777777" w:rsidR="00E661DE" w:rsidRPr="00DA5FAE" w:rsidRDefault="00E661DE" w:rsidP="00E661DE">
      <w:pPr>
        <w:rPr>
          <w:rFonts w:ascii="Times" w:hAnsi="Times"/>
          <w:color w:val="000000" w:themeColor="text1"/>
        </w:rPr>
      </w:pPr>
    </w:p>
    <w:p w14:paraId="764B1DC2" w14:textId="4833DA57" w:rsidR="00E661DE" w:rsidRPr="00DA5FAE" w:rsidRDefault="00E661DE" w:rsidP="00E661DE">
      <w:pPr>
        <w:spacing w:line="480" w:lineRule="auto"/>
        <w:rPr>
          <w:rFonts w:ascii="Times" w:hAnsi="Times"/>
          <w:color w:val="000000" w:themeColor="text1"/>
        </w:rPr>
      </w:pPr>
      <w:r w:rsidRPr="00DA5FAE">
        <w:rPr>
          <w:rFonts w:ascii="Times" w:hAnsi="Times"/>
          <w:color w:val="000000" w:themeColor="text1"/>
        </w:rPr>
        <w:tab/>
        <w:t xml:space="preserve">The design of this experiment </w:t>
      </w:r>
      <w:r w:rsidR="00BC63F9">
        <w:rPr>
          <w:rFonts w:ascii="Times" w:hAnsi="Times"/>
          <w:color w:val="000000" w:themeColor="text1"/>
        </w:rPr>
        <w:t>was</w:t>
      </w:r>
      <w:r w:rsidRPr="00DA5FAE">
        <w:rPr>
          <w:rFonts w:ascii="Times" w:hAnsi="Times"/>
          <w:color w:val="000000" w:themeColor="text1"/>
        </w:rPr>
        <w:t xml:space="preserve"> longitudinal in nature and employ</w:t>
      </w:r>
      <w:r w:rsidR="00BC63F9">
        <w:rPr>
          <w:rFonts w:ascii="Times" w:hAnsi="Times"/>
          <w:color w:val="000000" w:themeColor="text1"/>
        </w:rPr>
        <w:t>ed</w:t>
      </w:r>
      <w:r w:rsidRPr="00DA5FAE">
        <w:rPr>
          <w:rFonts w:ascii="Times" w:hAnsi="Times"/>
          <w:color w:val="000000" w:themeColor="text1"/>
        </w:rPr>
        <w:t xml:space="preserve"> a retroactive analysis of data collected over the course of the 202</w:t>
      </w:r>
      <w:r w:rsidR="00FB1E13">
        <w:rPr>
          <w:rFonts w:ascii="Times" w:hAnsi="Times"/>
          <w:color w:val="000000" w:themeColor="text1"/>
        </w:rPr>
        <w:t>2</w:t>
      </w:r>
      <w:r w:rsidRPr="00DA5FAE">
        <w:rPr>
          <w:rFonts w:ascii="Times" w:hAnsi="Times"/>
          <w:color w:val="000000" w:themeColor="text1"/>
        </w:rPr>
        <w:t>-202</w:t>
      </w:r>
      <w:r w:rsidR="00FB1E13">
        <w:rPr>
          <w:rFonts w:ascii="Times" w:hAnsi="Times"/>
          <w:color w:val="000000" w:themeColor="text1"/>
        </w:rPr>
        <w:t>3</w:t>
      </w:r>
      <w:r w:rsidRPr="00DA5FAE">
        <w:rPr>
          <w:rFonts w:ascii="Times" w:hAnsi="Times"/>
          <w:color w:val="000000" w:themeColor="text1"/>
        </w:rPr>
        <w:t xml:space="preserve"> NCAA Division I </w:t>
      </w:r>
      <w:r w:rsidR="00BC63F9">
        <w:rPr>
          <w:rFonts w:ascii="Times" w:hAnsi="Times"/>
          <w:color w:val="000000" w:themeColor="text1"/>
        </w:rPr>
        <w:t>m</w:t>
      </w:r>
      <w:r w:rsidRPr="00DA5FAE">
        <w:rPr>
          <w:rFonts w:ascii="Times" w:hAnsi="Times"/>
          <w:color w:val="000000" w:themeColor="text1"/>
        </w:rPr>
        <w:t xml:space="preserve">en’s </w:t>
      </w:r>
      <w:r w:rsidR="00BC63F9">
        <w:rPr>
          <w:rFonts w:ascii="Times" w:hAnsi="Times"/>
          <w:color w:val="000000" w:themeColor="text1"/>
        </w:rPr>
        <w:t>b</w:t>
      </w:r>
      <w:r w:rsidRPr="00DA5FAE">
        <w:rPr>
          <w:rFonts w:ascii="Times" w:hAnsi="Times"/>
          <w:color w:val="000000" w:themeColor="text1"/>
        </w:rPr>
        <w:t xml:space="preserve">asketball season. The season </w:t>
      </w:r>
      <w:r w:rsidR="00BC63F9">
        <w:rPr>
          <w:rFonts w:ascii="Times" w:hAnsi="Times"/>
          <w:color w:val="000000" w:themeColor="text1"/>
        </w:rPr>
        <w:t>began</w:t>
      </w:r>
      <w:r w:rsidRPr="00DA5FAE">
        <w:rPr>
          <w:rFonts w:ascii="Times" w:hAnsi="Times"/>
          <w:color w:val="000000" w:themeColor="text1"/>
        </w:rPr>
        <w:t xml:space="preserve"> in </w:t>
      </w:r>
      <w:r>
        <w:rPr>
          <w:rFonts w:ascii="Times" w:hAnsi="Times"/>
          <w:color w:val="000000" w:themeColor="text1"/>
        </w:rPr>
        <w:t>October</w:t>
      </w:r>
      <w:r w:rsidR="00BC63F9">
        <w:rPr>
          <w:rFonts w:ascii="Times" w:hAnsi="Times"/>
          <w:color w:val="000000" w:themeColor="text1"/>
        </w:rPr>
        <w:t xml:space="preserve"> 2022</w:t>
      </w:r>
      <w:r>
        <w:rPr>
          <w:rFonts w:ascii="Times" w:hAnsi="Times"/>
          <w:color w:val="000000" w:themeColor="text1"/>
        </w:rPr>
        <w:t xml:space="preserve"> with the opening of fall practices</w:t>
      </w:r>
      <w:r w:rsidRPr="00DA5FAE">
        <w:rPr>
          <w:rFonts w:ascii="Times" w:hAnsi="Times"/>
          <w:color w:val="000000" w:themeColor="text1"/>
        </w:rPr>
        <w:t xml:space="preserve"> and </w:t>
      </w:r>
      <w:r w:rsidR="00BC63F9">
        <w:rPr>
          <w:rFonts w:ascii="Times" w:hAnsi="Times"/>
          <w:color w:val="000000" w:themeColor="text1"/>
        </w:rPr>
        <w:t>ran</w:t>
      </w:r>
      <w:r w:rsidRPr="00DA5FAE">
        <w:rPr>
          <w:rFonts w:ascii="Times" w:hAnsi="Times"/>
          <w:color w:val="000000" w:themeColor="text1"/>
        </w:rPr>
        <w:t xml:space="preserve"> until the beginning of March</w:t>
      </w:r>
      <w:r w:rsidR="00BC63F9">
        <w:rPr>
          <w:rFonts w:ascii="Times" w:hAnsi="Times"/>
          <w:color w:val="000000" w:themeColor="text1"/>
        </w:rPr>
        <w:t xml:space="preserve"> 2023</w:t>
      </w:r>
      <w:r w:rsidRPr="00DA5FAE">
        <w:rPr>
          <w:rFonts w:ascii="Times" w:hAnsi="Times"/>
          <w:color w:val="000000" w:themeColor="text1"/>
        </w:rPr>
        <w:t xml:space="preserve">. </w:t>
      </w:r>
      <w:r w:rsidR="00BC63F9">
        <w:rPr>
          <w:rFonts w:ascii="Times" w:hAnsi="Times"/>
          <w:color w:val="000000" w:themeColor="text1"/>
        </w:rPr>
        <w:t>There are a selected number of</w:t>
      </w:r>
      <w:r w:rsidRPr="00DA5FAE">
        <w:rPr>
          <w:rFonts w:ascii="Times" w:hAnsi="Times"/>
          <w:color w:val="000000" w:themeColor="text1"/>
        </w:rPr>
        <w:t xml:space="preserve"> threats to the validity of the study that must be discussed. With respect to internal validity, the variable nature of team sport means that a wide number of events (injuries, cancelled practices, etc.) impact</w:t>
      </w:r>
      <w:r w:rsidR="00BC63F9">
        <w:rPr>
          <w:rFonts w:ascii="Times" w:hAnsi="Times"/>
          <w:color w:val="000000" w:themeColor="text1"/>
        </w:rPr>
        <w:t>ed</w:t>
      </w:r>
      <w:r w:rsidRPr="00DA5FAE">
        <w:rPr>
          <w:rFonts w:ascii="Times" w:hAnsi="Times"/>
          <w:color w:val="000000" w:themeColor="text1"/>
        </w:rPr>
        <w:t xml:space="preserve"> data collection. Unfortunatel</w:t>
      </w:r>
      <w:r>
        <w:rPr>
          <w:rFonts w:ascii="Times" w:hAnsi="Times"/>
          <w:color w:val="000000" w:themeColor="text1"/>
        </w:rPr>
        <w:t xml:space="preserve">y, </w:t>
      </w:r>
      <w:r w:rsidRPr="00DA5FAE">
        <w:rPr>
          <w:rFonts w:ascii="Times" w:hAnsi="Times"/>
          <w:color w:val="000000" w:themeColor="text1"/>
        </w:rPr>
        <w:t xml:space="preserve">these events </w:t>
      </w:r>
      <w:r w:rsidR="00BC63F9">
        <w:rPr>
          <w:rFonts w:ascii="Times" w:hAnsi="Times"/>
          <w:color w:val="000000" w:themeColor="text1"/>
        </w:rPr>
        <w:t>were</w:t>
      </w:r>
      <w:r w:rsidRPr="00DA5FAE">
        <w:rPr>
          <w:rFonts w:ascii="Times" w:hAnsi="Times"/>
          <w:color w:val="000000" w:themeColor="text1"/>
        </w:rPr>
        <w:t xml:space="preserve"> almost always at random and c</w:t>
      </w:r>
      <w:r w:rsidR="00BC63F9">
        <w:rPr>
          <w:rFonts w:ascii="Times" w:hAnsi="Times"/>
          <w:color w:val="000000" w:themeColor="text1"/>
        </w:rPr>
        <w:t>ould not</w:t>
      </w:r>
      <w:r w:rsidRPr="00DA5FAE">
        <w:rPr>
          <w:rFonts w:ascii="Times" w:hAnsi="Times"/>
          <w:color w:val="000000" w:themeColor="text1"/>
        </w:rPr>
        <w:t xml:space="preserve"> be controlled by the research team. </w:t>
      </w:r>
      <w:r>
        <w:rPr>
          <w:rFonts w:ascii="Times" w:hAnsi="Times"/>
          <w:color w:val="000000" w:themeColor="text1"/>
        </w:rPr>
        <w:t>The use of only one basketball team could pose a threat to the generalizability of the study, as</w:t>
      </w:r>
      <w:r w:rsidR="00D643B8">
        <w:rPr>
          <w:rFonts w:ascii="Times" w:hAnsi="Times"/>
          <w:color w:val="000000" w:themeColor="text1"/>
        </w:rPr>
        <w:t xml:space="preserve"> the</w:t>
      </w:r>
      <w:r>
        <w:rPr>
          <w:rFonts w:ascii="Times" w:hAnsi="Times"/>
          <w:color w:val="000000" w:themeColor="text1"/>
        </w:rPr>
        <w:t xml:space="preserve"> specific coaching staff and seasonal schedules make the data specific to only one basketball team.</w:t>
      </w:r>
      <w:r w:rsidRPr="00DA5FAE">
        <w:rPr>
          <w:rFonts w:ascii="Times" w:hAnsi="Times"/>
          <w:color w:val="000000" w:themeColor="text1"/>
        </w:rPr>
        <w:t xml:space="preserve"> This could lead to </w:t>
      </w:r>
      <w:r w:rsidR="00D643B8">
        <w:rPr>
          <w:rFonts w:ascii="Times" w:hAnsi="Times"/>
          <w:color w:val="000000" w:themeColor="text1"/>
        </w:rPr>
        <w:t>findings that</w:t>
      </w:r>
      <w:r w:rsidR="00BC63F9">
        <w:rPr>
          <w:rFonts w:ascii="Times" w:hAnsi="Times"/>
          <w:color w:val="000000" w:themeColor="text1"/>
        </w:rPr>
        <w:t xml:space="preserve"> may</w:t>
      </w:r>
      <w:r w:rsidRPr="00DA5FAE">
        <w:rPr>
          <w:rFonts w:ascii="Times" w:hAnsi="Times"/>
          <w:color w:val="000000" w:themeColor="text1"/>
        </w:rPr>
        <w:t xml:space="preserve"> not truly be indicative of all NCAA </w:t>
      </w:r>
      <w:r w:rsidR="00BC63F9">
        <w:rPr>
          <w:rFonts w:ascii="Times" w:hAnsi="Times"/>
          <w:color w:val="000000" w:themeColor="text1"/>
        </w:rPr>
        <w:t>DI m</w:t>
      </w:r>
      <w:r w:rsidRPr="00DA5FAE">
        <w:rPr>
          <w:rFonts w:ascii="Times" w:hAnsi="Times"/>
          <w:color w:val="000000" w:themeColor="text1"/>
        </w:rPr>
        <w:t xml:space="preserve">en’s </w:t>
      </w:r>
      <w:r w:rsidR="00BC63F9">
        <w:rPr>
          <w:rFonts w:ascii="Times" w:hAnsi="Times"/>
          <w:color w:val="000000" w:themeColor="text1"/>
        </w:rPr>
        <w:t>b</w:t>
      </w:r>
      <w:r w:rsidRPr="00DA5FAE">
        <w:rPr>
          <w:rFonts w:ascii="Times" w:hAnsi="Times"/>
          <w:color w:val="000000" w:themeColor="text1"/>
        </w:rPr>
        <w:t xml:space="preserve">asketball programs. However, </w:t>
      </w:r>
      <w:r w:rsidR="00D643B8">
        <w:rPr>
          <w:rFonts w:ascii="Times" w:hAnsi="Times"/>
          <w:color w:val="000000" w:themeColor="text1"/>
        </w:rPr>
        <w:t>additional</w:t>
      </w:r>
      <w:r w:rsidRPr="00DA5FAE">
        <w:rPr>
          <w:rFonts w:ascii="Times" w:hAnsi="Times"/>
          <w:color w:val="000000" w:themeColor="text1"/>
        </w:rPr>
        <w:t xml:space="preserve"> research into this area could alleviate some of these concerns. </w:t>
      </w:r>
    </w:p>
    <w:p w14:paraId="3AC19EFA" w14:textId="77777777" w:rsidR="00E661DE" w:rsidRPr="00214302" w:rsidRDefault="00E661DE" w:rsidP="00E661DE">
      <w:pPr>
        <w:pStyle w:val="Heading1"/>
        <w:rPr>
          <w:rFonts w:ascii="Times" w:hAnsi="Times" w:cs="Times New Roman"/>
          <w:color w:val="000000" w:themeColor="text1"/>
          <w:sz w:val="28"/>
          <w:szCs w:val="28"/>
        </w:rPr>
      </w:pPr>
      <w:r w:rsidRPr="00214302">
        <w:rPr>
          <w:rFonts w:ascii="Times" w:hAnsi="Times" w:cs="Times New Roman"/>
          <w:color w:val="000000" w:themeColor="text1"/>
          <w:sz w:val="28"/>
          <w:szCs w:val="28"/>
        </w:rPr>
        <w:t>Measurement Protocols</w:t>
      </w:r>
    </w:p>
    <w:p w14:paraId="30FCAE45" w14:textId="77777777" w:rsidR="00E661DE" w:rsidRPr="00DA5FAE" w:rsidRDefault="00E661DE" w:rsidP="00E661DE">
      <w:pPr>
        <w:rPr>
          <w:rFonts w:ascii="Times" w:hAnsi="Times"/>
          <w:color w:val="000000" w:themeColor="text1"/>
        </w:rPr>
      </w:pPr>
    </w:p>
    <w:p w14:paraId="248C74DA" w14:textId="6F1BA21B" w:rsidR="008E7F85" w:rsidRPr="00DA5FAE" w:rsidRDefault="00E661DE" w:rsidP="00E661DE">
      <w:pPr>
        <w:spacing w:line="480" w:lineRule="auto"/>
        <w:rPr>
          <w:rFonts w:ascii="Times" w:hAnsi="Times"/>
          <w:color w:val="000000" w:themeColor="text1"/>
        </w:rPr>
      </w:pPr>
      <w:r w:rsidRPr="00DA5FAE">
        <w:rPr>
          <w:rFonts w:ascii="Times" w:hAnsi="Times"/>
          <w:color w:val="000000" w:themeColor="text1"/>
        </w:rPr>
        <w:tab/>
        <w:t xml:space="preserve">In order to collect data on external load, an LPS (Catapult T6 </w:t>
      </w:r>
      <w:proofErr w:type="spellStart"/>
      <w:r w:rsidRPr="00DA5FAE">
        <w:rPr>
          <w:rFonts w:ascii="Times" w:hAnsi="Times"/>
          <w:color w:val="000000" w:themeColor="text1"/>
        </w:rPr>
        <w:t>ClearSky</w:t>
      </w:r>
      <w:proofErr w:type="spellEnd"/>
      <w:r w:rsidRPr="00DA5FAE">
        <w:rPr>
          <w:rFonts w:ascii="Times" w:hAnsi="Times"/>
          <w:color w:val="000000" w:themeColor="text1"/>
        </w:rPr>
        <w:t>, Catapult Sports, Melbourne, Australia) w</w:t>
      </w:r>
      <w:r w:rsidR="00BC63F9">
        <w:rPr>
          <w:rFonts w:ascii="Times" w:hAnsi="Times"/>
          <w:color w:val="000000" w:themeColor="text1"/>
        </w:rPr>
        <w:t xml:space="preserve">as </w:t>
      </w:r>
      <w:r w:rsidRPr="00DA5FAE">
        <w:rPr>
          <w:rFonts w:ascii="Times" w:hAnsi="Times"/>
          <w:color w:val="000000" w:themeColor="text1"/>
        </w:rPr>
        <w:t xml:space="preserve">utilized as part of the day-to-day operations of an NCAA </w:t>
      </w:r>
      <w:r w:rsidR="00BC63F9">
        <w:rPr>
          <w:rFonts w:ascii="Times" w:hAnsi="Times"/>
          <w:color w:val="000000" w:themeColor="text1"/>
        </w:rPr>
        <w:t>DI</w:t>
      </w:r>
      <w:r w:rsidRPr="00DA5FAE">
        <w:rPr>
          <w:rFonts w:ascii="Times" w:hAnsi="Times"/>
          <w:color w:val="000000" w:themeColor="text1"/>
        </w:rPr>
        <w:t xml:space="preserve"> </w:t>
      </w:r>
      <w:r w:rsidR="00BC63F9">
        <w:rPr>
          <w:rFonts w:ascii="Times" w:hAnsi="Times"/>
          <w:color w:val="000000" w:themeColor="text1"/>
        </w:rPr>
        <w:t>m</w:t>
      </w:r>
      <w:r w:rsidRPr="00DA5FAE">
        <w:rPr>
          <w:rFonts w:ascii="Times" w:hAnsi="Times"/>
          <w:color w:val="000000" w:themeColor="text1"/>
        </w:rPr>
        <w:t xml:space="preserve">en’s </w:t>
      </w:r>
      <w:r w:rsidR="00BC63F9">
        <w:rPr>
          <w:rFonts w:ascii="Times" w:hAnsi="Times"/>
          <w:color w:val="000000" w:themeColor="text1"/>
        </w:rPr>
        <w:lastRenderedPageBreak/>
        <w:t>b</w:t>
      </w:r>
      <w:r w:rsidRPr="00DA5FAE">
        <w:rPr>
          <w:rFonts w:ascii="Times" w:hAnsi="Times"/>
          <w:color w:val="000000" w:themeColor="text1"/>
        </w:rPr>
        <w:t xml:space="preserve">asketball team. </w:t>
      </w:r>
      <w:r>
        <w:rPr>
          <w:rFonts w:ascii="Times" w:hAnsi="Times"/>
          <w:color w:val="000000" w:themeColor="text1"/>
        </w:rPr>
        <w:t>The system chosen</w:t>
      </w:r>
      <w:r w:rsidRPr="00DA5FAE">
        <w:rPr>
          <w:rFonts w:ascii="Times" w:hAnsi="Times"/>
          <w:color w:val="000000" w:themeColor="text1"/>
        </w:rPr>
        <w:t xml:space="preserve"> has been determined to be a reliable and valid measure of external training load, and is one of the most commonly utilized systems for measuring external training load </w:t>
      </w:r>
      <w:r w:rsidRPr="00DA5FAE">
        <w:rPr>
          <w:rFonts w:ascii="Times" w:hAnsi="Times"/>
          <w:color w:val="000000" w:themeColor="text1"/>
        </w:rPr>
        <w:fldChar w:fldCharType="begin"/>
      </w:r>
      <w:r w:rsidR="00452A73">
        <w:rPr>
          <w:rFonts w:ascii="Times" w:hAnsi="Times"/>
          <w:color w:val="000000" w:themeColor="text1"/>
        </w:rPr>
        <w:instrText xml:space="preserve"> ADDIN ZOTERO_ITEM CSL_CITATION {"citationID":"QOQ8xWXt","properties":{"formattedCitation":"(Hoppe et al., 2018; Luteberget et al., 2018; Rico-Gonz\\uc0\\u225{}lez et al., 2020; Russell, McLean, Impellizzeri, et al., 2021; Torres-Ronda et al., 2022)","plainCitation":"(Hoppe et al., 2018; Luteberget et al., 2018; Rico-González et al., 2020; Russell, McLean, Impellizzeri, et al., 2021; Torres-Ronda et al., 2022)","noteIndex":0},"citationItems":[{"id":220,"uris":["http://zotero.org/users/5493924/items/ER338SIJ"],"itemData":{"id":220,"type":"article-journal","abstract":"This study aimed to investigate the validity and reliability of global (GPS) and local (LPS) positioning systems for measuring distances covered and sprint mechanical properties in team sports. Here, we evaluated two recently released 18 Hz GPS and 20 Hz LPS technologies together with one established 10 Hz GPS technology. Six male athletes (age: 27±2 years; VO2max: 48.8±4.7 ml/min/kg) performed outdoors on 10 trials of a team sport-specific circuit that was equipped with double-light timing gates. The circuit included various walking, jogging, and sprinting sections that were performed either in straight-lines or with changes of direction. During the circuit, athletes wore two devices of each positioning system. From the reported and filtered velocity data, the distances covered and sprint mechanical properties (i.e., the theoretical maximal horizontal velocity, force, and power output) were computed. The sprint mechanical properties were modeled via an inverse dynamic approach applied to the center of mass. The validity was determined by comparing the measured and criterion data via the typical error of estimate (TEE), whereas the reliability was examined by comparing the two devices of each technology (i.e., the between-device reliability) via the coefficient of variation (CV). Outliers due to measurement errors were statistically identified and excluded from validity and reliability analyses. The 18 Hz GPS showed better validity and reliability for determining the distances covered (TEE: 1.6–8.0%; CV: 1.1–5.1%) and sprint mechanical properties (TEE: 4.5–14.3%; CV: 3.1–7.5%) than the 10 Hz GPS (TEE: 3.0–12.9%; CV: 2.5–13.0% and TEE: 4.1–23.1%; CV: 3.3–20.0%). However, the 20 Hz LPS demonstrated superior validity and reliability overall (TEE: 1.0–6.0%; CV: 0.7–5.0% and TEE: 2.1–9.2%; CV: 1.6–7.3%). For the 10 Hz GPS, 18 Hz GPS, and 20 Hz LPS, the relative loss of data sets due to measurement errors was 10.0%, 20.0%, and 15.8%, respectively. This study shows that 18 Hz GPS has enhanced validity and reliability for determining movement patterns in team sports compared to 10 Hz GPS, whereas 20 Hz LPS had superior validity and reliability overall. However, compared to 10 Hz GPS, 18 Hz GPS and 20 Hz LPS technologies had more outliers due to measurement errors, which limits their practical applications at this time.","container-title":"PLOS ONE","DOI":"10.1371/journal.pone.0192708","ISSN":"1932-6203","issue":"2","journalAbbreviation":"PLoS ONE","language":"en","page":"e0192708","source":"DOI.org (Crossref)","title":"Validity and reliability of GPS and LPS for measuring distances covered and sprint mechanical properties in team sports","volume":"13","author":[{"family":"Hoppe","given":"Matthias W."},{"family":"Baumgart","given":"Christian"},{"family":"Polglaze","given":"Ted"},{"family":"Freiwald","given":"Jürgen"}],"editor":[{"family":"Ardigò","given":"Luca Paolo"}],"issued":{"date-parts":[["2018",2,8]]}}},{"id":225,"uris":["http://zotero.org/users/5493924/items/2EDGVWSJ"],"itemData":{"id":225,"type":"article-journal","abstract":"Aim: The aim of the present study was to determine the validity of position, distance traveled and instantaneous speed of team sport players as measured by a commercially available local positioning system (LPS) during indoor use. In addition, the study investigated how the placement of the ﬁeld of play relative to the anchor nodes and walls of the building affected the validity of the system. Method: The LPS (Catapult ClearSky T6, Catapult Sports, Australia) and the reference system [Qualisys Oqus, Qualisys AB, Sweden, (infra-red camera system)] were installed around the ﬁeld of play to capture the athletes’ motion. Athletes completed ﬁve tasks, all designed to imitate team-sports movements. The same protocol was completed in two sessions, one with an assumed optimal geometrical setup of the LPS (optimal condition), and once with a sub-optimal geometrical setup of the LPS (sub-optimal condition). Raw two-dimensional position data were extracted from both the LPS and the reference system for accuracy assessment. Position, distance and speed were compared. Results: The mean difference between the LPS and reference system for all position estimations was 0.21 ± 0.13 m (n = 30,166) in the optimal setup, and 1.79 ± 7.61 m (n = 22,799) in the sub-optimal setup. The average difference in distance was below 2% for all tasks in the optimal condition, while it was below 30% in the sub-optimal condition. Instantaneous speed showed the largest differences between the LPS and reference system of all variables, both in the optimal (≥35%) and sub-optimal condition (≥74%). The differences between the LPS and reference system in instantaneous speed were speed dependent, showing increased differences with increasing speed. Discussion: Measures of position, distance, and average speed from the LPS show low errors, and can be used conﬁdently in time-motion analyses for indoor team sports. The calculation of instantaneous speed from LPS raw data is not valid. To enhance instantaneous speed calculation the application of appropriate ﬁltering techniques to enhance the validity of such data should be investigated. For all measures, the placement of anchor nodes and the ﬁeld of play relative to the walls of the building inﬂuence LPS output to a large degree.","container-title":"Frontiers in Physiology","DOI":"10.3389/fphys.2018.00115","ISSN":"1664-042X","journalAbbreviation":"Front. Physiol.","language":"en","page":"115","source":"DOI.org (Crossref)","title":"Validity of the Catapult ClearSky T6 Local Positioning System for Team Sports Specific Drills, in Indoor Conditions","volume":"9","author":[{"family":"Luteberget","given":"Live S."},{"family":"Spencer","given":"Matt"},{"family":"Gilgien","given":"Matthias"}],"issued":{"date-parts":[["2018",4,4]]}}},{"id":238,"uris":["http://zotero.org/users/5493924/items/QRHVR2D4"],"itemData":{"id":238,"type":"article-journal","abstract":"The use of valid, accurate and reliable systems is decisive for ensuring the data collection and correct interpretation of the values. Several studies have reviewed these aspects on the measurement of movement patterns by high-deﬁnition cameras (VID) and Global Positioning Systems (GPS) but not by Local Positioning Systems (LPS). Thus, the aim of the review was to summarize the evidence about the validity and reliability of LPS technology to measure movement patterns at human level in outdoor and indoor stadium-scale. The authors systematically searched three electronic databases (PubMed, Web of Science and SPORTDiscus) to extract studies published before 21 October 2019. A Boolean search phrase was created to include sport (population; 8 keywords), search terms relevant to intervention technology (intervention technology; 6 keywords) and measure outcomes of the technology (outcomes; 7 keywords). From the 62 articles found, 16 were included in the qualitative synthesis. This systematic review revealed that the tested LPS systems proved to be valid and accurate in determining the position and estimating distances and speeds, although they were not valid or their accuracy decreased when measuring instantaneous speed, peak accelerations or decelerations or monitoring particular conditions (e.g., changes of direction, turns). Considering the variability levels, the included studies showed that LPS provide a reliable way to measure distance variables and athletes’ average speed.","container-title":"Applied Sciences","DOI":"10.3390/app10175994","ISSN":"2076-3417","issue":"17","journalAbbreviation":"Applied Sciences","language":"en","page":"5994","source":"DOI.org (Crossref)","title":"Accuracy and Reliability of Local Positioning Systems for Measuring Sport Movement Patterns in Stadium-Scale: A Systematic Review","title-short":"Accuracy and Reliability of Local Positioning Systems for Measuring Sport Movement Patterns in Stadium-Scale","volume":"10","author":[{"family":"Rico-González","given":"Markel"},{"family":"Los Arcos","given":"Asier"},{"family":"Clemente","given":"Filipe M."},{"family":"Rojas-Valverde","given":"Daniel"},{"family":"Pino-Ortega","given":"José"}],"issued":{"date-parts":[["2020",8,29]]}}},{"id":174,"uris":["http://zotero.org/users/5493924/items/HCGMQXHJ"],"itemData":{"id":174,"type":"article-journal","abstract":"Background  Measuring the physical work and resultant acute psychobiological responses of basketball can help to better understand and inform physical preparation models and improve overall athlete health and performance. Recent advancements in training load monitoring solutions have coincided with increases in the literature describing the physical demands of basketball, but there are currently no reviews that summarize all the available basketball research. Additionally, a thorough appraisal of the load monitoring methodologies and measures used in basketball is lacking in the current literature. This type of critical analysis would allow for consistent comparison between studies to better understand physical demands across the sport.\nObjectives  The objective of this systematic review was to assess and critically evaluate the methods and technologies used for monitoring physical demands in competitive basketball athletes. We used the term ‘training load’ to encompass the physical demands of both training and game activities, with the latter assumed to provide a training stimulus as well. This review aimed to critique methodological inconsistencies, establish operational definitions specific to the sport, and make recommendations for basketball training load monitoring practice and reporting within the literature.\nMethods  A systematic review of the literature was performed using EBSCO, PubMed, SCOPUS, and Web of Science to identify studies through March 2020. Electronic databases were searched using terms related to basketball and training load. Records were included if they used a competitive basketball population and incorporated a measure of training load. This systematic review was registered with the International Prospective Register of Systematic Reviews (PROSPERO Registration # CRD42019123603), and approved under the National Basketball Association (NBA) Health Related Research Policy.\nResults  Electronic and manual searches identified 122 papers that met the inclusion criteria. These studies reported the physical demands of basketball during training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56), competition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36), and both training and competition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30). Physical demands were quantified with a measure of internal training load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52), external training load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29), or both internal and external measures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41). These studies examined males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76), females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34), both male and female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9), and a combination of youth (i.e. under 18 years,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37), adults (i.e. 18 years or older,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77), and both adults and youth (n</w:instrText>
      </w:r>
      <w:r w:rsidR="00452A73">
        <w:rPr>
          <w:color w:val="000000" w:themeColor="text1"/>
        </w:rPr>
        <w:instrText> </w:instrText>
      </w:r>
      <w:r w:rsidR="00452A73">
        <w:rPr>
          <w:rFonts w:ascii="Times" w:hAnsi="Times"/>
          <w:color w:val="000000" w:themeColor="text1"/>
        </w:rPr>
        <w:instrText>=</w:instrText>
      </w:r>
      <w:r w:rsidR="00452A73">
        <w:rPr>
          <w:color w:val="000000" w:themeColor="text1"/>
        </w:rPr>
        <w:instrText> </w:instrText>
      </w:r>
      <w:r w:rsidR="00452A73">
        <w:rPr>
          <w:rFonts w:ascii="Times" w:hAnsi="Times"/>
          <w:color w:val="000000" w:themeColor="text1"/>
        </w:rPr>
        <w:instrText>4). Inconsistencies related to the reporting of competition level, methodology for recording duration, participant inclusion criteria, and validity of measurement systems were identified as key factors relating to the reporting of physical demands in basketball and summarized for each study.\nConclusions  This review comprehensively evaluated the current body of literature related to training load monitoring in basketball. Within this literature, there is a clear lack of alignment in applied practices and methodological framework, and with only small data sets and short study periods available at this time, it is not possible to draw definitive conclusions about the true physical demands of basketball. A detailed understanding of modern technologies in basketball is also lacking, and we provide specific guidelines for defining and applying duration measurement methodologies, vetting the validity and reliability of measurement tools, and classifying competition level in basketball to address some of the identified knowledge gaps. Creating alignment in best-practice basketball research methodology, terminology and reporting may lead to a more robust understanding of the physical demands associated with the sport, thereby allowing for exploration of other research areas (e.g. injury, performance), and improved understanding and decision making in applying these methods directly with basketball athletes.","container-title":"Sports Medicine","DOI":"10.1007/s40279-020-01375-9","ISSN":"0112-1642, 1179-2035","issue":"1","journalAbbreviation":"Sports Med","language":"en","page":"81-112","source":"DOI.org (Crossref)","title":"Measuring physical demands in basketball: An explorative systematic review of practices","title-short":"Measuring Physical Demands in Basketball","volume":"51","author":[{"family":"Russell","given":"Jennifer L."},{"family":"McLean","given":"Blake D."},{"family":"Impellizzeri","given":"Franco M."},{"family":"Strack","given":"Donnie S."},{"family":"Coutts","given":"Aaron J."}],"issued":{"date-parts":[["2021",1]]}}},{"id":172,"uris":["http://zotero.org/users/5493924/items/B6KTDJ9M"],"itemData":{"id":172,"type":"article-journal","abstract":"Seeking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sidR="00452A73">
        <w:rPr>
          <w:rFonts w:ascii="Cambria Math" w:hAnsi="Cambria Math" w:cs="Cambria Math"/>
          <w:color w:val="000000" w:themeColor="text1"/>
        </w:rPr>
        <w:instrText>‑</w:instrText>
      </w:r>
      <w:r w:rsidR="00452A73">
        <w:rPr>
          <w:rFonts w:ascii="Times" w:hAnsi="Times"/>
          <w:color w:val="000000" w:themeColor="text1"/>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sidR="00452A73">
        <w:rPr>
          <w:rFonts w:ascii="Cambria Math" w:hAnsi="Cambria Math" w:cs="Cambria Math"/>
          <w:color w:val="000000" w:themeColor="text1"/>
        </w:rPr>
        <w:instrText>‑</w:instrText>
      </w:r>
      <w:r w:rsidR="00452A73">
        <w:rPr>
          <w:rFonts w:ascii="Times" w:hAnsi="Times"/>
          <w:color w:val="000000" w:themeColor="text1"/>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sidRPr="00DA5FAE">
        <w:rPr>
          <w:rFonts w:ascii="Times" w:hAnsi="Times"/>
          <w:color w:val="000000" w:themeColor="text1"/>
        </w:rPr>
        <w:fldChar w:fldCharType="separate"/>
      </w:r>
      <w:r w:rsidR="00452A73" w:rsidRPr="00452A73">
        <w:rPr>
          <w:rFonts w:ascii="Times" w:hAnsi="Times"/>
          <w:color w:val="000000"/>
        </w:rPr>
        <w:t>(Hoppe et al., 2018; Luteberget et al., 2018; Rico-González et al., 2020; Russell, McLean, Impellizzeri, et al., 2021; Torres-Ronda et al., 2022)</w:t>
      </w:r>
      <w:r w:rsidRPr="00DA5FAE">
        <w:rPr>
          <w:rFonts w:ascii="Times" w:hAnsi="Times"/>
          <w:color w:val="000000" w:themeColor="text1"/>
        </w:rPr>
        <w:fldChar w:fldCharType="end"/>
      </w:r>
      <w:r w:rsidRPr="00DA5FAE">
        <w:rPr>
          <w:rFonts w:ascii="Times" w:hAnsi="Times"/>
          <w:color w:val="000000" w:themeColor="text1"/>
        </w:rPr>
        <w:t xml:space="preserve">. External training load </w:t>
      </w:r>
      <w:r w:rsidR="00DE1754">
        <w:rPr>
          <w:rFonts w:ascii="Times" w:hAnsi="Times"/>
          <w:color w:val="000000" w:themeColor="text1"/>
        </w:rPr>
        <w:t>was</w:t>
      </w:r>
      <w:r w:rsidR="007C2217">
        <w:rPr>
          <w:rFonts w:ascii="Times" w:hAnsi="Times"/>
          <w:color w:val="000000" w:themeColor="text1"/>
        </w:rPr>
        <w:t xml:space="preserve"> </w:t>
      </w:r>
      <w:r w:rsidR="00DE1754">
        <w:rPr>
          <w:rFonts w:ascii="Times" w:hAnsi="Times"/>
          <w:color w:val="000000" w:themeColor="text1"/>
        </w:rPr>
        <w:t xml:space="preserve">quantified using the metric derived from a </w:t>
      </w:r>
      <w:r w:rsidRPr="00DA5FAE">
        <w:rPr>
          <w:rFonts w:ascii="Times" w:hAnsi="Times"/>
          <w:color w:val="000000" w:themeColor="text1"/>
        </w:rPr>
        <w:t xml:space="preserve">Catapult Sports proprietary formula, </w:t>
      </w:r>
      <w:r>
        <w:rPr>
          <w:rFonts w:ascii="Times" w:hAnsi="Times"/>
          <w:color w:val="000000" w:themeColor="text1"/>
        </w:rPr>
        <w:t>known</w:t>
      </w:r>
      <w:r w:rsidRPr="00DA5FAE">
        <w:rPr>
          <w:rFonts w:ascii="Times" w:hAnsi="Times"/>
          <w:color w:val="000000" w:themeColor="text1"/>
        </w:rPr>
        <w:t xml:space="preserve"> as </w:t>
      </w:r>
      <w:proofErr w:type="spellStart"/>
      <w:r w:rsidRPr="00DA5FAE">
        <w:rPr>
          <w:rFonts w:ascii="Times" w:hAnsi="Times"/>
          <w:color w:val="000000" w:themeColor="text1"/>
        </w:rPr>
        <w:t>PlayerLoad</w:t>
      </w:r>
      <w:proofErr w:type="spellEnd"/>
      <w:r w:rsidRPr="00DA5FAE">
        <w:rPr>
          <w:rFonts w:ascii="Times" w:hAnsi="Times"/>
          <w:color w:val="000000" w:themeColor="text1"/>
        </w:rPr>
        <w:sym w:font="Symbol" w:char="F0D4"/>
      </w:r>
      <w:r w:rsidRPr="00DA5FAE">
        <w:rPr>
          <w:rFonts w:ascii="Times" w:hAnsi="Times"/>
          <w:color w:val="000000" w:themeColor="text1"/>
        </w:rPr>
        <w:t xml:space="preserve"> (PL).  </w:t>
      </w:r>
    </w:p>
    <w:p w14:paraId="356368D0" w14:textId="77777777" w:rsidR="00E661DE" w:rsidRPr="00214302" w:rsidRDefault="00E661DE" w:rsidP="00E661DE">
      <w:pPr>
        <w:pStyle w:val="Heading1"/>
        <w:rPr>
          <w:rFonts w:ascii="Times" w:hAnsi="Times" w:cs="Times New Roman"/>
          <w:color w:val="000000" w:themeColor="text1"/>
          <w:sz w:val="28"/>
          <w:szCs w:val="28"/>
        </w:rPr>
      </w:pPr>
      <w:r w:rsidRPr="00214302">
        <w:rPr>
          <w:rFonts w:ascii="Times" w:hAnsi="Times" w:cs="Times New Roman"/>
          <w:color w:val="000000" w:themeColor="text1"/>
          <w:sz w:val="28"/>
          <w:szCs w:val="28"/>
        </w:rPr>
        <w:t>Data Collection Procedures</w:t>
      </w:r>
    </w:p>
    <w:p w14:paraId="41B8BE31" w14:textId="77777777" w:rsidR="00E661DE" w:rsidRPr="00DA5FAE" w:rsidRDefault="00E661DE" w:rsidP="00E661DE">
      <w:pPr>
        <w:rPr>
          <w:rFonts w:ascii="Times" w:hAnsi="Times"/>
          <w:color w:val="000000" w:themeColor="text1"/>
        </w:rPr>
      </w:pPr>
    </w:p>
    <w:p w14:paraId="5F7E829A" w14:textId="71FB16DF" w:rsidR="0030680E" w:rsidRDefault="00E661DE" w:rsidP="00E661DE">
      <w:pPr>
        <w:spacing w:line="480" w:lineRule="auto"/>
        <w:rPr>
          <w:rFonts w:ascii="Times" w:hAnsi="Times"/>
          <w:color w:val="000000" w:themeColor="text1"/>
        </w:rPr>
      </w:pPr>
      <w:r w:rsidRPr="00DA5FAE">
        <w:rPr>
          <w:rFonts w:ascii="Times" w:hAnsi="Times"/>
          <w:color w:val="000000" w:themeColor="text1"/>
        </w:rPr>
        <w:tab/>
        <w:t xml:space="preserve">External training load data through the use of </w:t>
      </w:r>
      <w:r>
        <w:rPr>
          <w:rFonts w:ascii="Times" w:hAnsi="Times"/>
          <w:color w:val="000000" w:themeColor="text1"/>
        </w:rPr>
        <w:t xml:space="preserve">a Catapult T6 </w:t>
      </w:r>
      <w:proofErr w:type="spellStart"/>
      <w:r>
        <w:rPr>
          <w:rFonts w:ascii="Times" w:hAnsi="Times"/>
          <w:color w:val="000000" w:themeColor="text1"/>
        </w:rPr>
        <w:t>ClearSky</w:t>
      </w:r>
      <w:proofErr w:type="spellEnd"/>
      <w:r>
        <w:rPr>
          <w:rFonts w:ascii="Times" w:hAnsi="Times"/>
          <w:color w:val="000000" w:themeColor="text1"/>
        </w:rPr>
        <w:t xml:space="preserve"> system (hereby referred to as Catapult)</w:t>
      </w:r>
      <w:r w:rsidRPr="00DA5FAE">
        <w:rPr>
          <w:rFonts w:ascii="Times" w:hAnsi="Times"/>
          <w:color w:val="000000" w:themeColor="text1"/>
        </w:rPr>
        <w:t xml:space="preserve"> </w:t>
      </w:r>
      <w:r w:rsidR="007C2217">
        <w:rPr>
          <w:rFonts w:ascii="Times" w:hAnsi="Times"/>
          <w:color w:val="000000" w:themeColor="text1"/>
        </w:rPr>
        <w:t>was</w:t>
      </w:r>
      <w:r>
        <w:rPr>
          <w:rFonts w:ascii="Times" w:hAnsi="Times"/>
          <w:color w:val="000000" w:themeColor="text1"/>
        </w:rPr>
        <w:t xml:space="preserve"> </w:t>
      </w:r>
      <w:r w:rsidRPr="00DA5FAE">
        <w:rPr>
          <w:rFonts w:ascii="Times" w:hAnsi="Times"/>
          <w:color w:val="000000" w:themeColor="text1"/>
        </w:rPr>
        <w:t xml:space="preserve">collected over the course of </w:t>
      </w:r>
      <w:r>
        <w:rPr>
          <w:rFonts w:ascii="Times" w:hAnsi="Times"/>
          <w:color w:val="000000" w:themeColor="text1"/>
        </w:rPr>
        <w:t>the</w:t>
      </w:r>
      <w:r w:rsidRPr="00DA5FAE">
        <w:rPr>
          <w:rFonts w:ascii="Times" w:hAnsi="Times"/>
          <w:color w:val="000000" w:themeColor="text1"/>
        </w:rPr>
        <w:t xml:space="preserve"> NCAA </w:t>
      </w:r>
      <w:r w:rsidR="007C2217">
        <w:rPr>
          <w:rFonts w:ascii="Times" w:hAnsi="Times"/>
          <w:color w:val="000000" w:themeColor="text1"/>
        </w:rPr>
        <w:t>DI</w:t>
      </w:r>
      <w:r w:rsidRPr="00DA5FAE">
        <w:rPr>
          <w:rFonts w:ascii="Times" w:hAnsi="Times"/>
          <w:color w:val="000000" w:themeColor="text1"/>
        </w:rPr>
        <w:t xml:space="preserve"> </w:t>
      </w:r>
      <w:r w:rsidR="007C2217">
        <w:rPr>
          <w:rFonts w:ascii="Times" w:hAnsi="Times"/>
          <w:color w:val="000000" w:themeColor="text1"/>
        </w:rPr>
        <w:t>m</w:t>
      </w:r>
      <w:r w:rsidRPr="00DA5FAE">
        <w:rPr>
          <w:rFonts w:ascii="Times" w:hAnsi="Times"/>
          <w:color w:val="000000" w:themeColor="text1"/>
        </w:rPr>
        <w:t xml:space="preserve">en’s </w:t>
      </w:r>
      <w:r w:rsidR="007C2217">
        <w:rPr>
          <w:rFonts w:ascii="Times" w:hAnsi="Times"/>
          <w:color w:val="000000" w:themeColor="text1"/>
        </w:rPr>
        <w:t>b</w:t>
      </w:r>
      <w:r w:rsidRPr="00DA5FAE">
        <w:rPr>
          <w:rFonts w:ascii="Times" w:hAnsi="Times"/>
          <w:color w:val="000000" w:themeColor="text1"/>
        </w:rPr>
        <w:t xml:space="preserve">asketball season. Pre-season practices </w:t>
      </w:r>
      <w:r w:rsidR="007C2217">
        <w:rPr>
          <w:rFonts w:ascii="Times" w:hAnsi="Times"/>
          <w:color w:val="000000" w:themeColor="text1"/>
        </w:rPr>
        <w:t>began</w:t>
      </w:r>
      <w:r w:rsidRPr="00DA5FAE">
        <w:rPr>
          <w:rFonts w:ascii="Times" w:hAnsi="Times"/>
          <w:color w:val="000000" w:themeColor="text1"/>
        </w:rPr>
        <w:t xml:space="preserve"> in October</w:t>
      </w:r>
      <w:r w:rsidR="007C2217">
        <w:rPr>
          <w:rFonts w:ascii="Times" w:hAnsi="Times"/>
          <w:color w:val="000000" w:themeColor="text1"/>
        </w:rPr>
        <w:t xml:space="preserve"> 2022</w:t>
      </w:r>
      <w:r w:rsidRPr="00DA5FAE">
        <w:rPr>
          <w:rFonts w:ascii="Times" w:hAnsi="Times"/>
          <w:color w:val="000000" w:themeColor="text1"/>
        </w:rPr>
        <w:t xml:space="preserve">, with games beginning at the start of November and running to the beginning of March. Data </w:t>
      </w:r>
      <w:r w:rsidR="007C2217">
        <w:rPr>
          <w:rFonts w:ascii="Times" w:hAnsi="Times"/>
          <w:color w:val="000000" w:themeColor="text1"/>
        </w:rPr>
        <w:t xml:space="preserve">was </w:t>
      </w:r>
      <w:r w:rsidRPr="00DA5FAE">
        <w:rPr>
          <w:rFonts w:ascii="Times" w:hAnsi="Times"/>
          <w:color w:val="000000" w:themeColor="text1"/>
        </w:rPr>
        <w:t xml:space="preserve">collected during all practices with the selected team, but data </w:t>
      </w:r>
      <w:r w:rsidR="007C2217">
        <w:rPr>
          <w:rFonts w:ascii="Times" w:hAnsi="Times"/>
          <w:color w:val="000000" w:themeColor="text1"/>
        </w:rPr>
        <w:t>was</w:t>
      </w:r>
      <w:r w:rsidRPr="00DA5FAE">
        <w:rPr>
          <w:rFonts w:ascii="Times" w:hAnsi="Times"/>
          <w:color w:val="000000" w:themeColor="text1"/>
        </w:rPr>
        <w:t xml:space="preserve"> unable to be collected during games due to the preferences of the coaching staff and NCAA uniform restrictions. During practices, the preparation and operation of the </w:t>
      </w:r>
      <w:r>
        <w:rPr>
          <w:rFonts w:ascii="Times" w:hAnsi="Times"/>
          <w:color w:val="000000" w:themeColor="text1"/>
        </w:rPr>
        <w:t>Catapult</w:t>
      </w:r>
      <w:r w:rsidRPr="00DA5FAE">
        <w:rPr>
          <w:rFonts w:ascii="Times" w:hAnsi="Times"/>
          <w:color w:val="000000" w:themeColor="text1"/>
        </w:rPr>
        <w:t xml:space="preserve"> system </w:t>
      </w:r>
      <w:r w:rsidR="007C2217">
        <w:rPr>
          <w:rFonts w:ascii="Times" w:hAnsi="Times"/>
          <w:color w:val="000000" w:themeColor="text1"/>
        </w:rPr>
        <w:t>was</w:t>
      </w:r>
      <w:r w:rsidRPr="00DA5FAE">
        <w:rPr>
          <w:rFonts w:ascii="Times" w:hAnsi="Times"/>
          <w:color w:val="000000" w:themeColor="text1"/>
        </w:rPr>
        <w:t xml:space="preserve"> performed by</w:t>
      </w:r>
      <w:r>
        <w:rPr>
          <w:rFonts w:ascii="Times" w:hAnsi="Times"/>
          <w:color w:val="000000" w:themeColor="text1"/>
        </w:rPr>
        <w:t xml:space="preserve"> </w:t>
      </w:r>
      <w:r w:rsidR="00D9027A">
        <w:rPr>
          <w:rFonts w:ascii="Times" w:hAnsi="Times"/>
          <w:color w:val="000000" w:themeColor="text1"/>
        </w:rPr>
        <w:t>team staff</w:t>
      </w:r>
      <w:r>
        <w:rPr>
          <w:rFonts w:ascii="Times" w:hAnsi="Times"/>
          <w:color w:val="000000" w:themeColor="text1"/>
        </w:rPr>
        <w:t xml:space="preserve">. </w:t>
      </w:r>
      <w:r w:rsidRPr="00DA5FAE">
        <w:rPr>
          <w:rFonts w:ascii="Times" w:hAnsi="Times"/>
          <w:color w:val="000000" w:themeColor="text1"/>
        </w:rPr>
        <w:t xml:space="preserve">Data </w:t>
      </w:r>
      <w:r w:rsidR="007C2217">
        <w:rPr>
          <w:rFonts w:ascii="Times" w:hAnsi="Times"/>
          <w:color w:val="000000" w:themeColor="text1"/>
        </w:rPr>
        <w:t>was</w:t>
      </w:r>
      <w:r w:rsidRPr="00DA5FAE">
        <w:rPr>
          <w:rFonts w:ascii="Times" w:hAnsi="Times"/>
          <w:color w:val="000000" w:themeColor="text1"/>
        </w:rPr>
        <w:t xml:space="preserve"> collected by placing a microsensor device into a specially fitted</w:t>
      </w:r>
      <w:r>
        <w:rPr>
          <w:rFonts w:ascii="Times" w:hAnsi="Times"/>
          <w:color w:val="000000" w:themeColor="text1"/>
        </w:rPr>
        <w:t>, manufacturer provided</w:t>
      </w:r>
      <w:r w:rsidRPr="00DA5FAE">
        <w:rPr>
          <w:rFonts w:ascii="Times" w:hAnsi="Times"/>
          <w:color w:val="000000" w:themeColor="text1"/>
        </w:rPr>
        <w:t xml:space="preserve"> garment that </w:t>
      </w:r>
      <w:r w:rsidR="007C2217">
        <w:rPr>
          <w:rFonts w:ascii="Times" w:hAnsi="Times"/>
          <w:color w:val="000000" w:themeColor="text1"/>
        </w:rPr>
        <w:t>was</w:t>
      </w:r>
      <w:r>
        <w:rPr>
          <w:rFonts w:ascii="Times" w:hAnsi="Times"/>
          <w:color w:val="000000" w:themeColor="text1"/>
        </w:rPr>
        <w:t xml:space="preserve"> worn </w:t>
      </w:r>
      <w:r w:rsidRPr="00DA5FAE">
        <w:rPr>
          <w:rFonts w:ascii="Times" w:hAnsi="Times"/>
          <w:color w:val="000000" w:themeColor="text1"/>
        </w:rPr>
        <w:t>by all players during the entire duration of a practice. Each garment contain</w:t>
      </w:r>
      <w:r w:rsidR="00D9027A">
        <w:rPr>
          <w:rFonts w:ascii="Times" w:hAnsi="Times"/>
          <w:color w:val="000000" w:themeColor="text1"/>
        </w:rPr>
        <w:t>ed</w:t>
      </w:r>
      <w:r w:rsidRPr="00DA5FAE">
        <w:rPr>
          <w:rFonts w:ascii="Times" w:hAnsi="Times"/>
          <w:color w:val="000000" w:themeColor="text1"/>
        </w:rPr>
        <w:t xml:space="preserve"> a pouch that </w:t>
      </w:r>
      <w:r w:rsidR="00D9027A">
        <w:rPr>
          <w:rFonts w:ascii="Times" w:hAnsi="Times"/>
          <w:color w:val="000000" w:themeColor="text1"/>
        </w:rPr>
        <w:t>was</w:t>
      </w:r>
      <w:r w:rsidRPr="00DA5FAE">
        <w:rPr>
          <w:rFonts w:ascii="Times" w:hAnsi="Times"/>
          <w:color w:val="000000" w:themeColor="text1"/>
        </w:rPr>
        <w:t xml:space="preserve"> located between the scapulae to house the unit. Data </w:t>
      </w:r>
      <w:r w:rsidR="00D9027A">
        <w:rPr>
          <w:rFonts w:ascii="Times" w:hAnsi="Times"/>
          <w:color w:val="000000" w:themeColor="text1"/>
        </w:rPr>
        <w:t>was</w:t>
      </w:r>
      <w:r w:rsidRPr="00DA5FAE">
        <w:rPr>
          <w:rFonts w:ascii="Times" w:hAnsi="Times"/>
          <w:color w:val="000000" w:themeColor="text1"/>
        </w:rPr>
        <w:t xml:space="preserve"> sampled at 100hz</w:t>
      </w:r>
      <w:r>
        <w:rPr>
          <w:rFonts w:ascii="Times" w:hAnsi="Times"/>
          <w:color w:val="000000" w:themeColor="text1"/>
        </w:rPr>
        <w:t xml:space="preserve">, which is the standard sampling frequency for the Catapult T6 </w:t>
      </w:r>
      <w:proofErr w:type="spellStart"/>
      <w:r>
        <w:rPr>
          <w:rFonts w:ascii="Times" w:hAnsi="Times"/>
          <w:color w:val="000000" w:themeColor="text1"/>
        </w:rPr>
        <w:t>ClearSky</w:t>
      </w:r>
      <w:proofErr w:type="spellEnd"/>
      <w:r>
        <w:rPr>
          <w:rFonts w:ascii="Times" w:hAnsi="Times"/>
          <w:color w:val="000000" w:themeColor="text1"/>
        </w:rPr>
        <w:t xml:space="preserve"> system.</w:t>
      </w:r>
      <w:r w:rsidR="0030680E">
        <w:rPr>
          <w:rFonts w:ascii="Times" w:hAnsi="Times"/>
          <w:color w:val="000000" w:themeColor="text1"/>
        </w:rPr>
        <w:t xml:space="preserve"> </w:t>
      </w:r>
      <w:r w:rsidRPr="00DA5FAE">
        <w:rPr>
          <w:rFonts w:ascii="Times" w:hAnsi="Times"/>
          <w:color w:val="000000" w:themeColor="text1"/>
        </w:rPr>
        <w:t xml:space="preserve">Before practice, </w:t>
      </w:r>
      <w:r>
        <w:rPr>
          <w:rFonts w:ascii="Times" w:hAnsi="Times"/>
          <w:color w:val="000000" w:themeColor="text1"/>
        </w:rPr>
        <w:t>the Catapult</w:t>
      </w:r>
      <w:r w:rsidRPr="00DA5FAE">
        <w:rPr>
          <w:rFonts w:ascii="Times" w:hAnsi="Times"/>
          <w:color w:val="000000" w:themeColor="text1"/>
        </w:rPr>
        <w:t xml:space="preserve"> </w:t>
      </w:r>
      <w:r>
        <w:rPr>
          <w:rFonts w:ascii="Times" w:hAnsi="Times"/>
          <w:color w:val="000000" w:themeColor="text1"/>
        </w:rPr>
        <w:t xml:space="preserve">software </w:t>
      </w:r>
      <w:r w:rsidR="007C2217">
        <w:rPr>
          <w:rFonts w:ascii="Times" w:hAnsi="Times"/>
          <w:color w:val="000000" w:themeColor="text1"/>
        </w:rPr>
        <w:t>was</w:t>
      </w:r>
      <w:r>
        <w:rPr>
          <w:rFonts w:ascii="Times" w:hAnsi="Times"/>
          <w:color w:val="000000" w:themeColor="text1"/>
        </w:rPr>
        <w:t xml:space="preserve"> opened and connected to a </w:t>
      </w:r>
      <w:r w:rsidRPr="00DA5FAE">
        <w:rPr>
          <w:rFonts w:ascii="Times" w:hAnsi="Times"/>
          <w:color w:val="000000" w:themeColor="text1"/>
        </w:rPr>
        <w:t>receiver unit provided by the manufacturer</w:t>
      </w:r>
      <w:r>
        <w:rPr>
          <w:rFonts w:ascii="Times" w:hAnsi="Times"/>
          <w:color w:val="000000" w:themeColor="text1"/>
        </w:rPr>
        <w:t xml:space="preserve"> </w:t>
      </w:r>
      <w:r w:rsidRPr="00DA5FAE">
        <w:rPr>
          <w:rFonts w:ascii="Times" w:hAnsi="Times"/>
          <w:color w:val="000000" w:themeColor="text1"/>
        </w:rPr>
        <w:t xml:space="preserve">which </w:t>
      </w:r>
      <w:r>
        <w:rPr>
          <w:rFonts w:ascii="Times" w:hAnsi="Times"/>
          <w:color w:val="000000" w:themeColor="text1"/>
        </w:rPr>
        <w:t>allow</w:t>
      </w:r>
      <w:r w:rsidR="00D9027A">
        <w:rPr>
          <w:rFonts w:ascii="Times" w:hAnsi="Times"/>
          <w:color w:val="000000" w:themeColor="text1"/>
        </w:rPr>
        <w:t>ed</w:t>
      </w:r>
      <w:r>
        <w:rPr>
          <w:rFonts w:ascii="Times" w:hAnsi="Times"/>
          <w:color w:val="000000" w:themeColor="text1"/>
        </w:rPr>
        <w:t xml:space="preserve"> the </w:t>
      </w:r>
      <w:r w:rsidRPr="00DA5FAE">
        <w:rPr>
          <w:rFonts w:ascii="Times" w:hAnsi="Times"/>
          <w:color w:val="000000" w:themeColor="text1"/>
        </w:rPr>
        <w:t>monitor</w:t>
      </w:r>
      <w:r>
        <w:rPr>
          <w:rFonts w:ascii="Times" w:hAnsi="Times"/>
          <w:color w:val="000000" w:themeColor="text1"/>
        </w:rPr>
        <w:t>ing</w:t>
      </w:r>
      <w:r w:rsidRPr="00DA5FAE">
        <w:rPr>
          <w:rFonts w:ascii="Times" w:hAnsi="Times"/>
          <w:color w:val="000000" w:themeColor="text1"/>
        </w:rPr>
        <w:t xml:space="preserve"> and record</w:t>
      </w:r>
      <w:r>
        <w:rPr>
          <w:rFonts w:ascii="Times" w:hAnsi="Times"/>
          <w:color w:val="000000" w:themeColor="text1"/>
        </w:rPr>
        <w:t>ing of</w:t>
      </w:r>
      <w:r w:rsidRPr="00DA5FAE">
        <w:rPr>
          <w:rFonts w:ascii="Times" w:hAnsi="Times"/>
          <w:color w:val="000000" w:themeColor="text1"/>
        </w:rPr>
        <w:t xml:space="preserve"> live data during practices. During practices, team data </w:t>
      </w:r>
      <w:r w:rsidR="007C2217">
        <w:rPr>
          <w:rFonts w:ascii="Times" w:hAnsi="Times"/>
          <w:color w:val="000000" w:themeColor="text1"/>
        </w:rPr>
        <w:t>was</w:t>
      </w:r>
      <w:r>
        <w:rPr>
          <w:rFonts w:ascii="Times" w:hAnsi="Times"/>
          <w:color w:val="000000" w:themeColor="text1"/>
        </w:rPr>
        <w:t xml:space="preserve"> recorded </w:t>
      </w:r>
      <w:r w:rsidRPr="00DA5FAE">
        <w:rPr>
          <w:rFonts w:ascii="Times" w:hAnsi="Times"/>
          <w:color w:val="000000" w:themeColor="text1"/>
        </w:rPr>
        <w:t xml:space="preserve">using software provided by the manufacturer. </w:t>
      </w:r>
      <w:r>
        <w:rPr>
          <w:rFonts w:ascii="Times" w:hAnsi="Times"/>
          <w:color w:val="000000" w:themeColor="text1"/>
        </w:rPr>
        <w:t>P</w:t>
      </w:r>
      <w:r w:rsidRPr="00DA5FAE">
        <w:rPr>
          <w:rFonts w:ascii="Times" w:hAnsi="Times"/>
          <w:color w:val="000000" w:themeColor="text1"/>
        </w:rPr>
        <w:t>ractic</w:t>
      </w:r>
      <w:r>
        <w:rPr>
          <w:rFonts w:ascii="Times" w:hAnsi="Times"/>
          <w:color w:val="000000" w:themeColor="text1"/>
        </w:rPr>
        <w:t xml:space="preserve">e </w:t>
      </w:r>
      <w:r w:rsidR="007C2217">
        <w:rPr>
          <w:rFonts w:ascii="Times" w:hAnsi="Times"/>
          <w:color w:val="000000" w:themeColor="text1"/>
        </w:rPr>
        <w:t>was</w:t>
      </w:r>
      <w:r>
        <w:rPr>
          <w:rFonts w:ascii="Times" w:hAnsi="Times"/>
          <w:color w:val="000000" w:themeColor="text1"/>
        </w:rPr>
        <w:t xml:space="preserve"> observed in order to name </w:t>
      </w:r>
      <w:r w:rsidR="007C2217">
        <w:rPr>
          <w:rFonts w:ascii="Times" w:hAnsi="Times"/>
          <w:color w:val="000000" w:themeColor="text1"/>
        </w:rPr>
        <w:t xml:space="preserve">and classify </w:t>
      </w:r>
      <w:r>
        <w:rPr>
          <w:rFonts w:ascii="Times" w:hAnsi="Times"/>
          <w:color w:val="000000" w:themeColor="text1"/>
        </w:rPr>
        <w:t>specific practice drills</w:t>
      </w:r>
      <w:r w:rsidR="00D9027A">
        <w:rPr>
          <w:rFonts w:ascii="Times" w:hAnsi="Times"/>
          <w:color w:val="000000" w:themeColor="text1"/>
        </w:rPr>
        <w:t xml:space="preserve"> </w:t>
      </w:r>
      <w:r>
        <w:rPr>
          <w:rFonts w:ascii="Times" w:hAnsi="Times"/>
          <w:color w:val="000000" w:themeColor="text1"/>
        </w:rPr>
        <w:t xml:space="preserve">to ensure accurate data collection and </w:t>
      </w:r>
      <w:r w:rsidR="007C2217">
        <w:rPr>
          <w:rFonts w:ascii="Times" w:hAnsi="Times"/>
          <w:color w:val="000000" w:themeColor="text1"/>
        </w:rPr>
        <w:t>organization</w:t>
      </w:r>
      <w:r>
        <w:rPr>
          <w:rFonts w:ascii="Times" w:hAnsi="Times"/>
          <w:color w:val="000000" w:themeColor="text1"/>
        </w:rPr>
        <w:t xml:space="preserve">. </w:t>
      </w:r>
    </w:p>
    <w:p w14:paraId="3323515E" w14:textId="026B43E7" w:rsidR="0030680E" w:rsidRDefault="0030680E" w:rsidP="0030680E">
      <w:pPr>
        <w:spacing w:line="480" w:lineRule="auto"/>
        <w:ind w:firstLine="720"/>
        <w:rPr>
          <w:rFonts w:ascii="Times" w:hAnsi="Times"/>
          <w:color w:val="000000" w:themeColor="text1"/>
        </w:rPr>
      </w:pPr>
      <w:r>
        <w:rPr>
          <w:rFonts w:ascii="Times" w:hAnsi="Times"/>
        </w:rPr>
        <w:lastRenderedPageBreak/>
        <w:t xml:space="preserve">During practices, practice drills </w:t>
      </w:r>
      <w:r w:rsidR="007C2217">
        <w:rPr>
          <w:rFonts w:ascii="Times" w:hAnsi="Times"/>
        </w:rPr>
        <w:t>were</w:t>
      </w:r>
      <w:r>
        <w:rPr>
          <w:rFonts w:ascii="Times" w:hAnsi="Times"/>
        </w:rPr>
        <w:t xml:space="preserve"> classified as either </w:t>
      </w:r>
      <w:r w:rsidR="007C2217">
        <w:rPr>
          <w:rFonts w:ascii="Times" w:hAnsi="Times"/>
        </w:rPr>
        <w:t>“</w:t>
      </w:r>
      <w:r>
        <w:rPr>
          <w:rFonts w:ascii="Times" w:hAnsi="Times"/>
        </w:rPr>
        <w:t>live</w:t>
      </w:r>
      <w:r w:rsidR="007C2217">
        <w:rPr>
          <w:rFonts w:ascii="Times" w:hAnsi="Times"/>
        </w:rPr>
        <w:t>”</w:t>
      </w:r>
      <w:r>
        <w:rPr>
          <w:rFonts w:ascii="Times" w:hAnsi="Times"/>
        </w:rPr>
        <w:t xml:space="preserve"> or </w:t>
      </w:r>
      <w:r w:rsidR="007C2217">
        <w:rPr>
          <w:rFonts w:ascii="Times" w:hAnsi="Times"/>
        </w:rPr>
        <w:t>“</w:t>
      </w:r>
      <w:r>
        <w:rPr>
          <w:rFonts w:ascii="Times" w:hAnsi="Times"/>
        </w:rPr>
        <w:t>non-contact</w:t>
      </w:r>
      <w:r w:rsidR="007C2217">
        <w:rPr>
          <w:rFonts w:ascii="Times" w:hAnsi="Times"/>
        </w:rPr>
        <w:t>”</w:t>
      </w:r>
      <w:r>
        <w:rPr>
          <w:rFonts w:ascii="Times" w:hAnsi="Times"/>
        </w:rPr>
        <w:t xml:space="preserve"> in order to categorize the intensity of the drill; live drills </w:t>
      </w:r>
      <w:r w:rsidR="00D9027A">
        <w:rPr>
          <w:rFonts w:ascii="Times" w:hAnsi="Times"/>
        </w:rPr>
        <w:t>were</w:t>
      </w:r>
      <w:r>
        <w:rPr>
          <w:rFonts w:ascii="Times" w:hAnsi="Times"/>
        </w:rPr>
        <w:t xml:space="preserve"> designed by the coaching staff to mimic the intensity and demands of game like situations while non-contact drills </w:t>
      </w:r>
      <w:r w:rsidR="00D9027A">
        <w:rPr>
          <w:rFonts w:ascii="Times" w:hAnsi="Times"/>
        </w:rPr>
        <w:t>wer</w:t>
      </w:r>
      <w:r>
        <w:rPr>
          <w:rFonts w:ascii="Times" w:hAnsi="Times"/>
        </w:rPr>
        <w:t xml:space="preserve">e intended to be less intense and focus more on skill acquisition or specific tactics. This classification system </w:t>
      </w:r>
      <w:r w:rsidR="007C2217">
        <w:rPr>
          <w:rFonts w:ascii="Times" w:hAnsi="Times"/>
        </w:rPr>
        <w:t>was</w:t>
      </w:r>
      <w:r>
        <w:rPr>
          <w:rFonts w:ascii="Times" w:hAnsi="Times"/>
        </w:rPr>
        <w:t xml:space="preserve"> used to appropriately select drills </w:t>
      </w:r>
      <w:r w:rsidR="007C2217">
        <w:rPr>
          <w:rFonts w:ascii="Times" w:hAnsi="Times"/>
        </w:rPr>
        <w:t xml:space="preserve">for use in predicting values for games </w:t>
      </w:r>
      <w:r>
        <w:rPr>
          <w:rFonts w:ascii="Times" w:hAnsi="Times"/>
        </w:rPr>
        <w:t>(i.e., live drills are drills that are selected to replicate competition intensity</w:t>
      </w:r>
      <w:r w:rsidR="007C2217">
        <w:rPr>
          <w:rFonts w:ascii="Times" w:hAnsi="Times"/>
        </w:rPr>
        <w:t xml:space="preserve"> and will be chosen for modeling</w:t>
      </w:r>
      <w:r>
        <w:rPr>
          <w:rFonts w:ascii="Times" w:hAnsi="Times"/>
        </w:rPr>
        <w:t xml:space="preserve">). Additionally, practice drills </w:t>
      </w:r>
      <w:r w:rsidR="007C2217">
        <w:rPr>
          <w:rFonts w:ascii="Times" w:hAnsi="Times"/>
        </w:rPr>
        <w:t>were also</w:t>
      </w:r>
      <w:r>
        <w:rPr>
          <w:rFonts w:ascii="Times" w:hAnsi="Times"/>
        </w:rPr>
        <w:t xml:space="preserve"> named in accordance with the number of players on court. For example, the name of a drill with </w:t>
      </w:r>
      <w:r w:rsidR="003C1458">
        <w:rPr>
          <w:rFonts w:ascii="Times" w:hAnsi="Times"/>
        </w:rPr>
        <w:t>5</w:t>
      </w:r>
      <w:r>
        <w:rPr>
          <w:rFonts w:ascii="Times" w:hAnsi="Times"/>
        </w:rPr>
        <w:t xml:space="preserve"> players on offense and </w:t>
      </w:r>
      <w:r w:rsidR="003C1458">
        <w:rPr>
          <w:rFonts w:ascii="Times" w:hAnsi="Times"/>
        </w:rPr>
        <w:t>5</w:t>
      </w:r>
      <w:r>
        <w:rPr>
          <w:rFonts w:ascii="Times" w:hAnsi="Times"/>
        </w:rPr>
        <w:t xml:space="preserve"> players on defense would start with “</w:t>
      </w:r>
      <w:r w:rsidR="007C2217">
        <w:rPr>
          <w:rFonts w:ascii="Times" w:hAnsi="Times"/>
        </w:rPr>
        <w:t>5</w:t>
      </w:r>
      <w:r>
        <w:rPr>
          <w:rFonts w:ascii="Times" w:hAnsi="Times"/>
        </w:rPr>
        <w:t xml:space="preserve"> on </w:t>
      </w:r>
      <w:r w:rsidR="007C2217">
        <w:rPr>
          <w:rFonts w:ascii="Times" w:hAnsi="Times"/>
        </w:rPr>
        <w:t>5</w:t>
      </w:r>
      <w:r>
        <w:rPr>
          <w:rFonts w:ascii="Times" w:hAnsi="Times"/>
        </w:rPr>
        <w:t xml:space="preserve">” in order to ensure that only drills where there </w:t>
      </w:r>
      <w:r w:rsidR="00DE662D">
        <w:rPr>
          <w:rFonts w:ascii="Times" w:hAnsi="Times"/>
        </w:rPr>
        <w:t>were</w:t>
      </w:r>
      <w:r>
        <w:rPr>
          <w:rFonts w:ascii="Times" w:hAnsi="Times"/>
        </w:rPr>
        <w:t xml:space="preserve"> 5 players on each side </w:t>
      </w:r>
      <w:r w:rsidR="00DE662D">
        <w:rPr>
          <w:rFonts w:ascii="Times" w:hAnsi="Times"/>
        </w:rPr>
        <w:t>were</w:t>
      </w:r>
      <w:r>
        <w:rPr>
          <w:rFonts w:ascii="Times" w:hAnsi="Times"/>
        </w:rPr>
        <w:t xml:space="preserve"> selected for use in the analysis </w:t>
      </w:r>
      <w:r w:rsidR="003C1458">
        <w:rPr>
          <w:rFonts w:ascii="Times" w:hAnsi="Times"/>
        </w:rPr>
        <w:t>and modeling</w:t>
      </w:r>
      <w:r w:rsidR="007C2217">
        <w:rPr>
          <w:rFonts w:ascii="Times" w:hAnsi="Times"/>
        </w:rPr>
        <w:t xml:space="preserve">. </w:t>
      </w:r>
      <w:r w:rsidR="003C1458">
        <w:rPr>
          <w:rFonts w:ascii="Times" w:hAnsi="Times"/>
        </w:rPr>
        <w:t xml:space="preserve">Lastly, drills </w:t>
      </w:r>
      <w:r w:rsidR="007C2217">
        <w:rPr>
          <w:rFonts w:ascii="Times" w:hAnsi="Times"/>
        </w:rPr>
        <w:t>were</w:t>
      </w:r>
      <w:r w:rsidR="003C1458">
        <w:rPr>
          <w:rFonts w:ascii="Times" w:hAnsi="Times"/>
        </w:rPr>
        <w:t xml:space="preserve"> classified as either “full-court” or “half-court” depending on the chosen playing dimensions for the drill as determined by the coaching staff. For the purposes of this analysis, only practice drills that </w:t>
      </w:r>
      <w:r w:rsidR="00DE662D">
        <w:rPr>
          <w:rFonts w:ascii="Times" w:hAnsi="Times"/>
        </w:rPr>
        <w:t>were</w:t>
      </w:r>
      <w:r w:rsidR="003C1458">
        <w:rPr>
          <w:rFonts w:ascii="Times" w:hAnsi="Times"/>
        </w:rPr>
        <w:t xml:space="preserve"> classified as live, ha</w:t>
      </w:r>
      <w:r w:rsidR="00DE662D">
        <w:rPr>
          <w:rFonts w:ascii="Times" w:hAnsi="Times"/>
        </w:rPr>
        <w:t>d</w:t>
      </w:r>
      <w:r w:rsidR="003C1458">
        <w:rPr>
          <w:rFonts w:ascii="Times" w:hAnsi="Times"/>
        </w:rPr>
        <w:t xml:space="preserve"> full </w:t>
      </w:r>
      <w:r w:rsidR="00DE662D">
        <w:rPr>
          <w:rFonts w:ascii="Times" w:hAnsi="Times"/>
        </w:rPr>
        <w:t>“</w:t>
      </w:r>
      <w:r w:rsidR="003C1458">
        <w:rPr>
          <w:rFonts w:ascii="Times" w:hAnsi="Times"/>
        </w:rPr>
        <w:t>5 on 5</w:t>
      </w:r>
      <w:r w:rsidR="00DE662D">
        <w:rPr>
          <w:rFonts w:ascii="Times" w:hAnsi="Times"/>
        </w:rPr>
        <w:t>”</w:t>
      </w:r>
      <w:r w:rsidR="003C1458">
        <w:rPr>
          <w:rFonts w:ascii="Times" w:hAnsi="Times"/>
        </w:rPr>
        <w:t xml:space="preserve"> participation, and</w:t>
      </w:r>
      <w:r w:rsidR="00DE662D">
        <w:rPr>
          <w:rFonts w:ascii="Times" w:hAnsi="Times"/>
        </w:rPr>
        <w:t xml:space="preserve"> were </w:t>
      </w:r>
      <w:r w:rsidR="003C1458">
        <w:rPr>
          <w:rFonts w:ascii="Times" w:hAnsi="Times"/>
        </w:rPr>
        <w:t xml:space="preserve">full court drills </w:t>
      </w:r>
      <w:r w:rsidR="00DE662D">
        <w:rPr>
          <w:rFonts w:ascii="Times" w:hAnsi="Times"/>
        </w:rPr>
        <w:t>were</w:t>
      </w:r>
      <w:r w:rsidR="003C1458">
        <w:rPr>
          <w:rFonts w:ascii="Times" w:hAnsi="Times"/>
        </w:rPr>
        <w:t xml:space="preserve"> selected for analysis, as these</w:t>
      </w:r>
      <w:r w:rsidR="00DE662D">
        <w:rPr>
          <w:rFonts w:ascii="Times" w:hAnsi="Times"/>
        </w:rPr>
        <w:t xml:space="preserve"> were</w:t>
      </w:r>
      <w:r w:rsidR="003C1458">
        <w:rPr>
          <w:rFonts w:ascii="Times" w:hAnsi="Times"/>
        </w:rPr>
        <w:t xml:space="preserve"> practice drills that demonstrate the highest degree of similarity with regular gameplay. </w:t>
      </w:r>
      <w:r w:rsidR="007C6CE6">
        <w:rPr>
          <w:rFonts w:ascii="Times" w:hAnsi="Times"/>
        </w:rPr>
        <w:t xml:space="preserve">Practices </w:t>
      </w:r>
      <w:r w:rsidR="007C2217">
        <w:rPr>
          <w:rFonts w:ascii="Times" w:hAnsi="Times"/>
        </w:rPr>
        <w:t>were</w:t>
      </w:r>
      <w:r w:rsidR="007C6CE6">
        <w:rPr>
          <w:rFonts w:ascii="Times" w:hAnsi="Times"/>
        </w:rPr>
        <w:t xml:space="preserve"> monitored to ensure</w:t>
      </w:r>
      <w:r w:rsidR="007C6CE6">
        <w:rPr>
          <w:rFonts w:ascii="Times" w:hAnsi="Times"/>
          <w:color w:val="000000" w:themeColor="text1"/>
        </w:rPr>
        <w:t xml:space="preserve"> that only portions of drills where the players</w:t>
      </w:r>
      <w:r w:rsidR="00DE662D">
        <w:rPr>
          <w:rFonts w:ascii="Times" w:hAnsi="Times"/>
          <w:color w:val="000000" w:themeColor="text1"/>
        </w:rPr>
        <w:t xml:space="preserve"> were</w:t>
      </w:r>
      <w:r w:rsidR="007C6CE6">
        <w:rPr>
          <w:rFonts w:ascii="Times" w:hAnsi="Times"/>
          <w:color w:val="000000" w:themeColor="text1"/>
        </w:rPr>
        <w:t xml:space="preserve"> actively participating in the basketball portion of the drill </w:t>
      </w:r>
      <w:r w:rsidR="007C2217">
        <w:rPr>
          <w:rFonts w:ascii="Times" w:hAnsi="Times"/>
          <w:color w:val="000000" w:themeColor="text1"/>
        </w:rPr>
        <w:t xml:space="preserve">were </w:t>
      </w:r>
      <w:r w:rsidR="007C6CE6">
        <w:rPr>
          <w:rFonts w:ascii="Times" w:hAnsi="Times"/>
          <w:color w:val="000000" w:themeColor="text1"/>
        </w:rPr>
        <w:t xml:space="preserve">recorded, and players </w:t>
      </w:r>
      <w:r w:rsidR="007C2217">
        <w:rPr>
          <w:rFonts w:ascii="Times" w:hAnsi="Times"/>
          <w:color w:val="000000" w:themeColor="text1"/>
        </w:rPr>
        <w:t>were</w:t>
      </w:r>
      <w:r w:rsidR="007C6CE6">
        <w:rPr>
          <w:rFonts w:ascii="Times" w:hAnsi="Times"/>
          <w:color w:val="000000" w:themeColor="text1"/>
        </w:rPr>
        <w:t xml:space="preserve"> “benched” (i.e., their data </w:t>
      </w:r>
      <w:r w:rsidR="007C2217">
        <w:rPr>
          <w:rFonts w:ascii="Times" w:hAnsi="Times"/>
          <w:color w:val="000000" w:themeColor="text1"/>
        </w:rPr>
        <w:t>was</w:t>
      </w:r>
      <w:r w:rsidR="007C6CE6">
        <w:rPr>
          <w:rFonts w:ascii="Times" w:hAnsi="Times"/>
          <w:color w:val="000000" w:themeColor="text1"/>
        </w:rPr>
        <w:t xml:space="preserve"> not recorded) during periods of the drill where players </w:t>
      </w:r>
      <w:r w:rsidR="00DE662D">
        <w:rPr>
          <w:rFonts w:ascii="Times" w:hAnsi="Times"/>
          <w:color w:val="000000" w:themeColor="text1"/>
        </w:rPr>
        <w:t>were</w:t>
      </w:r>
      <w:r w:rsidR="007C6CE6">
        <w:rPr>
          <w:rFonts w:ascii="Times" w:hAnsi="Times"/>
          <w:color w:val="000000" w:themeColor="text1"/>
        </w:rPr>
        <w:t xml:space="preserve"> on the sidelines observing, drinking water, receiving instruction, etc. This ensures that durations </w:t>
      </w:r>
      <w:r w:rsidR="00DE662D">
        <w:rPr>
          <w:rFonts w:ascii="Times" w:hAnsi="Times"/>
          <w:color w:val="000000" w:themeColor="text1"/>
        </w:rPr>
        <w:t>were</w:t>
      </w:r>
      <w:r w:rsidR="007C6CE6">
        <w:rPr>
          <w:rFonts w:ascii="Times" w:hAnsi="Times"/>
          <w:color w:val="000000" w:themeColor="text1"/>
        </w:rPr>
        <w:t xml:space="preserve"> in accordance with the amount of time actually spent on the </w:t>
      </w:r>
      <w:r w:rsidR="00706F5C">
        <w:rPr>
          <w:rFonts w:ascii="Times" w:hAnsi="Times"/>
          <w:color w:val="000000" w:themeColor="text1"/>
        </w:rPr>
        <w:t>court and</w:t>
      </w:r>
      <w:r w:rsidR="007C6CE6">
        <w:rPr>
          <w:rFonts w:ascii="Times" w:hAnsi="Times"/>
          <w:color w:val="000000" w:themeColor="text1"/>
        </w:rPr>
        <w:t xml:space="preserve"> ensure</w:t>
      </w:r>
      <w:r w:rsidR="00DE662D">
        <w:rPr>
          <w:rFonts w:ascii="Times" w:hAnsi="Times"/>
          <w:color w:val="000000" w:themeColor="text1"/>
        </w:rPr>
        <w:t>d</w:t>
      </w:r>
      <w:r w:rsidR="007C6CE6">
        <w:rPr>
          <w:rFonts w:ascii="Times" w:hAnsi="Times"/>
          <w:color w:val="000000" w:themeColor="text1"/>
        </w:rPr>
        <w:t xml:space="preserve"> that values recorded from the microsensor devices reflect</w:t>
      </w:r>
      <w:r w:rsidR="00DE662D">
        <w:rPr>
          <w:rFonts w:ascii="Times" w:hAnsi="Times"/>
          <w:color w:val="000000" w:themeColor="text1"/>
        </w:rPr>
        <w:t>ed</w:t>
      </w:r>
      <w:r w:rsidR="007C6CE6">
        <w:rPr>
          <w:rFonts w:ascii="Times" w:hAnsi="Times"/>
          <w:color w:val="000000" w:themeColor="text1"/>
        </w:rPr>
        <w:t xml:space="preserve"> </w:t>
      </w:r>
      <w:r w:rsidR="007C2217">
        <w:rPr>
          <w:rFonts w:ascii="Times" w:hAnsi="Times"/>
          <w:color w:val="000000" w:themeColor="text1"/>
        </w:rPr>
        <w:t xml:space="preserve">only </w:t>
      </w:r>
      <w:r w:rsidR="00706F5C">
        <w:rPr>
          <w:rFonts w:ascii="Times" w:hAnsi="Times"/>
          <w:color w:val="000000" w:themeColor="text1"/>
        </w:rPr>
        <w:t>basketball activity.</w:t>
      </w:r>
    </w:p>
    <w:p w14:paraId="31E40C18" w14:textId="403FE0CF" w:rsidR="00527350" w:rsidRPr="00DA5FAE" w:rsidRDefault="00E661DE" w:rsidP="00527350">
      <w:pPr>
        <w:spacing w:line="480" w:lineRule="auto"/>
        <w:ind w:firstLine="720"/>
        <w:rPr>
          <w:rFonts w:ascii="Times" w:hAnsi="Times"/>
          <w:color w:val="000000" w:themeColor="text1"/>
        </w:rPr>
      </w:pPr>
      <w:r w:rsidRPr="00DA5FAE">
        <w:rPr>
          <w:rFonts w:ascii="Times" w:hAnsi="Times"/>
          <w:color w:val="000000" w:themeColor="text1"/>
        </w:rPr>
        <w:t xml:space="preserve">During home games, </w:t>
      </w:r>
      <w:r w:rsidR="007C2217">
        <w:rPr>
          <w:rFonts w:ascii="Times" w:hAnsi="Times"/>
          <w:color w:val="000000" w:themeColor="text1"/>
        </w:rPr>
        <w:t>the s</w:t>
      </w:r>
      <w:r w:rsidRPr="00DA5FAE">
        <w:rPr>
          <w:rFonts w:ascii="Times" w:hAnsi="Times"/>
          <w:color w:val="000000" w:themeColor="text1"/>
        </w:rPr>
        <w:t>oftware</w:t>
      </w:r>
      <w:r>
        <w:rPr>
          <w:rFonts w:ascii="Times" w:hAnsi="Times"/>
          <w:color w:val="000000" w:themeColor="text1"/>
        </w:rPr>
        <w:t xml:space="preserve"> </w:t>
      </w:r>
      <w:r w:rsidR="007C2217">
        <w:rPr>
          <w:rFonts w:ascii="Times" w:hAnsi="Times"/>
          <w:color w:val="000000" w:themeColor="text1"/>
        </w:rPr>
        <w:t>was</w:t>
      </w:r>
      <w:r>
        <w:rPr>
          <w:rFonts w:ascii="Times" w:hAnsi="Times"/>
          <w:color w:val="000000" w:themeColor="text1"/>
        </w:rPr>
        <w:t xml:space="preserve"> prepared </w:t>
      </w:r>
      <w:r w:rsidRPr="00DA5FAE">
        <w:rPr>
          <w:rFonts w:ascii="Times" w:hAnsi="Times"/>
          <w:color w:val="000000" w:themeColor="text1"/>
        </w:rPr>
        <w:t>for data collection but</w:t>
      </w:r>
      <w:r>
        <w:rPr>
          <w:rFonts w:ascii="Times" w:hAnsi="Times"/>
          <w:color w:val="000000" w:themeColor="text1"/>
        </w:rPr>
        <w:t xml:space="preserve"> </w:t>
      </w:r>
      <w:r w:rsidR="007C2217">
        <w:rPr>
          <w:rFonts w:ascii="Times" w:hAnsi="Times"/>
          <w:color w:val="000000" w:themeColor="text1"/>
        </w:rPr>
        <w:t>was not</w:t>
      </w:r>
      <w:r>
        <w:rPr>
          <w:rFonts w:ascii="Times" w:hAnsi="Times"/>
          <w:color w:val="000000" w:themeColor="text1"/>
        </w:rPr>
        <w:t xml:space="preserve"> </w:t>
      </w:r>
      <w:r w:rsidRPr="00DA5FAE">
        <w:rPr>
          <w:rFonts w:ascii="Times" w:hAnsi="Times"/>
          <w:color w:val="000000" w:themeColor="text1"/>
        </w:rPr>
        <w:t>connect</w:t>
      </w:r>
      <w:r>
        <w:rPr>
          <w:rFonts w:ascii="Times" w:hAnsi="Times"/>
          <w:color w:val="000000" w:themeColor="text1"/>
        </w:rPr>
        <w:t>ed to</w:t>
      </w:r>
      <w:r w:rsidRPr="00DA5FAE">
        <w:rPr>
          <w:rFonts w:ascii="Times" w:hAnsi="Times"/>
          <w:color w:val="000000" w:themeColor="text1"/>
        </w:rPr>
        <w:t xml:space="preserve"> the receiver </w:t>
      </w:r>
      <w:r>
        <w:rPr>
          <w:rFonts w:ascii="Times" w:hAnsi="Times"/>
          <w:color w:val="000000" w:themeColor="text1"/>
        </w:rPr>
        <w:t>n</w:t>
      </w:r>
      <w:r w:rsidRPr="00DA5FAE">
        <w:rPr>
          <w:rFonts w:ascii="Times" w:hAnsi="Times"/>
          <w:color w:val="000000" w:themeColor="text1"/>
        </w:rPr>
        <w:t xml:space="preserve">or </w:t>
      </w:r>
      <w:r w:rsidR="007C2217">
        <w:rPr>
          <w:rFonts w:ascii="Times" w:hAnsi="Times"/>
          <w:color w:val="000000" w:themeColor="text1"/>
        </w:rPr>
        <w:t>did players</w:t>
      </w:r>
      <w:r>
        <w:rPr>
          <w:rFonts w:ascii="Times" w:hAnsi="Times"/>
          <w:color w:val="000000" w:themeColor="text1"/>
        </w:rPr>
        <w:t xml:space="preserve"> wear their assigned microsensor devices. </w:t>
      </w:r>
      <w:r w:rsidRPr="00DA5FAE">
        <w:rPr>
          <w:rFonts w:ascii="Times" w:hAnsi="Times"/>
          <w:color w:val="000000" w:themeColor="text1"/>
        </w:rPr>
        <w:t xml:space="preserve">The games </w:t>
      </w:r>
      <w:r w:rsidR="007C2217">
        <w:rPr>
          <w:rFonts w:ascii="Times" w:hAnsi="Times"/>
          <w:color w:val="000000" w:themeColor="text1"/>
        </w:rPr>
        <w:t>were</w:t>
      </w:r>
      <w:r>
        <w:rPr>
          <w:rFonts w:ascii="Times" w:hAnsi="Times"/>
          <w:color w:val="000000" w:themeColor="text1"/>
        </w:rPr>
        <w:t xml:space="preserve"> observed </w:t>
      </w:r>
      <w:r w:rsidRPr="00DA5FAE">
        <w:rPr>
          <w:rFonts w:ascii="Times" w:hAnsi="Times"/>
          <w:color w:val="000000" w:themeColor="text1"/>
        </w:rPr>
        <w:t xml:space="preserve">from a seat next to the playing </w:t>
      </w:r>
      <w:r w:rsidR="0030680E" w:rsidRPr="00DA5FAE">
        <w:rPr>
          <w:rFonts w:ascii="Times" w:hAnsi="Times"/>
          <w:color w:val="000000" w:themeColor="text1"/>
        </w:rPr>
        <w:t>court and</w:t>
      </w:r>
      <w:r w:rsidRPr="00DA5FAE">
        <w:rPr>
          <w:rFonts w:ascii="Times" w:hAnsi="Times"/>
          <w:color w:val="000000" w:themeColor="text1"/>
        </w:rPr>
        <w:t xml:space="preserve"> playing durations</w:t>
      </w:r>
      <w:r>
        <w:rPr>
          <w:rFonts w:ascii="Times" w:hAnsi="Times"/>
          <w:color w:val="000000" w:themeColor="text1"/>
        </w:rPr>
        <w:t xml:space="preserve"> </w:t>
      </w:r>
      <w:r w:rsidR="007C2217">
        <w:rPr>
          <w:rFonts w:ascii="Times" w:hAnsi="Times"/>
          <w:color w:val="000000" w:themeColor="text1"/>
        </w:rPr>
        <w:t>were</w:t>
      </w:r>
      <w:r>
        <w:rPr>
          <w:rFonts w:ascii="Times" w:hAnsi="Times"/>
          <w:color w:val="000000" w:themeColor="text1"/>
        </w:rPr>
        <w:t xml:space="preserve"> recorded</w:t>
      </w:r>
      <w:r w:rsidRPr="00DA5FAE">
        <w:rPr>
          <w:rFonts w:ascii="Times" w:hAnsi="Times"/>
          <w:color w:val="000000" w:themeColor="text1"/>
        </w:rPr>
        <w:t xml:space="preserve"> </w:t>
      </w:r>
      <w:r w:rsidR="00706F5C">
        <w:rPr>
          <w:rFonts w:ascii="Times" w:hAnsi="Times"/>
          <w:color w:val="000000" w:themeColor="text1"/>
        </w:rPr>
        <w:t xml:space="preserve">in a similar </w:t>
      </w:r>
      <w:r w:rsidR="00706F5C">
        <w:rPr>
          <w:rFonts w:ascii="Times" w:hAnsi="Times"/>
          <w:color w:val="000000" w:themeColor="text1"/>
        </w:rPr>
        <w:lastRenderedPageBreak/>
        <w:t xml:space="preserve">fashion the methodology utilized during practice. </w:t>
      </w:r>
      <w:r w:rsidRPr="00DA5FAE">
        <w:rPr>
          <w:rFonts w:ascii="Times" w:hAnsi="Times"/>
          <w:color w:val="000000" w:themeColor="text1"/>
        </w:rPr>
        <w:t>During away games, the games</w:t>
      </w:r>
      <w:r>
        <w:rPr>
          <w:rFonts w:ascii="Times" w:hAnsi="Times"/>
          <w:color w:val="000000" w:themeColor="text1"/>
        </w:rPr>
        <w:t xml:space="preserve"> </w:t>
      </w:r>
      <w:r w:rsidR="007C2217">
        <w:rPr>
          <w:rFonts w:ascii="Times" w:hAnsi="Times"/>
          <w:color w:val="000000" w:themeColor="text1"/>
        </w:rPr>
        <w:t>were</w:t>
      </w:r>
      <w:r>
        <w:rPr>
          <w:rFonts w:ascii="Times" w:hAnsi="Times"/>
          <w:color w:val="000000" w:themeColor="text1"/>
        </w:rPr>
        <w:t xml:space="preserve"> watched</w:t>
      </w:r>
      <w:r w:rsidRPr="00DA5FAE">
        <w:rPr>
          <w:rFonts w:ascii="Times" w:hAnsi="Times"/>
          <w:color w:val="000000" w:themeColor="text1"/>
        </w:rPr>
        <w:t xml:space="preserve"> on </w:t>
      </w:r>
      <w:r>
        <w:rPr>
          <w:rFonts w:ascii="Times" w:hAnsi="Times"/>
          <w:color w:val="000000" w:themeColor="text1"/>
        </w:rPr>
        <w:t>a television broadcast</w:t>
      </w:r>
      <w:r w:rsidRPr="00DA5FAE">
        <w:rPr>
          <w:rFonts w:ascii="Times" w:hAnsi="Times"/>
          <w:color w:val="000000" w:themeColor="text1"/>
        </w:rPr>
        <w:t>, and</w:t>
      </w:r>
      <w:r>
        <w:rPr>
          <w:rFonts w:ascii="Times" w:hAnsi="Times"/>
          <w:color w:val="000000" w:themeColor="text1"/>
        </w:rPr>
        <w:t xml:space="preserve"> </w:t>
      </w:r>
      <w:r w:rsidRPr="00DA5FAE">
        <w:rPr>
          <w:rFonts w:ascii="Times" w:hAnsi="Times"/>
          <w:color w:val="000000" w:themeColor="text1"/>
        </w:rPr>
        <w:t xml:space="preserve">player durations </w:t>
      </w:r>
      <w:r w:rsidR="007C2217">
        <w:rPr>
          <w:rFonts w:ascii="Times" w:hAnsi="Times"/>
          <w:color w:val="000000" w:themeColor="text1"/>
        </w:rPr>
        <w:t>were</w:t>
      </w:r>
      <w:r>
        <w:rPr>
          <w:rFonts w:ascii="Times" w:hAnsi="Times"/>
          <w:color w:val="000000" w:themeColor="text1"/>
        </w:rPr>
        <w:t xml:space="preserve"> recorded with the same methodology as home games</w:t>
      </w:r>
      <w:r w:rsidR="00706F5C">
        <w:rPr>
          <w:rFonts w:ascii="Times" w:hAnsi="Times"/>
          <w:color w:val="000000" w:themeColor="text1"/>
        </w:rPr>
        <w:t xml:space="preserve"> and practices.</w:t>
      </w:r>
      <w:r w:rsidR="00527350">
        <w:rPr>
          <w:rFonts w:ascii="Times" w:hAnsi="Times"/>
          <w:color w:val="000000" w:themeColor="text1"/>
        </w:rPr>
        <w:t xml:space="preserve"> Lastly, scrimmages were recorded as their own separate activity, independent of both practices and games. Scrimmages were periods designed by the coaching staff to represent the parameters of competition as close as possible. Both the shot and game clock were operated according to the NCAA </w:t>
      </w:r>
      <w:r w:rsidR="00956623">
        <w:rPr>
          <w:rFonts w:ascii="Times" w:hAnsi="Times"/>
          <w:color w:val="000000" w:themeColor="text1"/>
        </w:rPr>
        <w:t xml:space="preserve">rulebook, and substitution procedures were also held to the same standard. Additionally, third-party referees officiated the scrimmages in order to enforce the rules in a consistent manner with the NCAA rulebook. </w:t>
      </w:r>
    </w:p>
    <w:p w14:paraId="01A31D74" w14:textId="61EA23CE" w:rsidR="00E661DE" w:rsidRPr="00214302" w:rsidRDefault="00E661DE" w:rsidP="00E661DE">
      <w:pPr>
        <w:pStyle w:val="Heading1"/>
        <w:rPr>
          <w:rFonts w:ascii="Times" w:hAnsi="Times" w:cs="Times New Roman"/>
          <w:color w:val="000000" w:themeColor="text1"/>
          <w:sz w:val="28"/>
          <w:szCs w:val="28"/>
        </w:rPr>
      </w:pPr>
      <w:r w:rsidRPr="00214302">
        <w:rPr>
          <w:rFonts w:ascii="Times" w:hAnsi="Times" w:cs="Times New Roman"/>
          <w:color w:val="000000" w:themeColor="text1"/>
          <w:sz w:val="28"/>
          <w:szCs w:val="28"/>
        </w:rPr>
        <w:t xml:space="preserve">Data </w:t>
      </w:r>
      <w:r w:rsidR="003C1458" w:rsidRPr="00214302">
        <w:rPr>
          <w:rFonts w:ascii="Times" w:hAnsi="Times" w:cs="Times New Roman"/>
          <w:color w:val="000000" w:themeColor="text1"/>
          <w:sz w:val="28"/>
          <w:szCs w:val="28"/>
        </w:rPr>
        <w:t>Cleaning and Storage</w:t>
      </w:r>
    </w:p>
    <w:p w14:paraId="69ADA8E1" w14:textId="77777777" w:rsidR="00E661DE" w:rsidRPr="00DA5FAE" w:rsidRDefault="00E661DE" w:rsidP="00E661DE">
      <w:pPr>
        <w:rPr>
          <w:rFonts w:ascii="Times" w:hAnsi="Times"/>
          <w:color w:val="000000" w:themeColor="text1"/>
        </w:rPr>
      </w:pPr>
    </w:p>
    <w:p w14:paraId="2427BBF6" w14:textId="493A0F08" w:rsidR="003C1458" w:rsidRPr="003C1458" w:rsidRDefault="00E661DE" w:rsidP="00E661DE">
      <w:pPr>
        <w:spacing w:line="480" w:lineRule="auto"/>
        <w:rPr>
          <w:rFonts w:ascii="Times" w:hAnsi="Times"/>
        </w:rPr>
      </w:pPr>
      <w:r w:rsidRPr="00DA5FAE">
        <w:rPr>
          <w:rFonts w:ascii="Times" w:hAnsi="Times"/>
          <w:color w:val="000000" w:themeColor="text1"/>
        </w:rPr>
        <w:tab/>
        <w:t xml:space="preserve">After data was collected during a game or practice, all microsensor devices </w:t>
      </w:r>
      <w:r w:rsidR="00C5405B">
        <w:rPr>
          <w:rFonts w:ascii="Times" w:hAnsi="Times"/>
          <w:color w:val="000000" w:themeColor="text1"/>
        </w:rPr>
        <w:t>were</w:t>
      </w:r>
      <w:r>
        <w:rPr>
          <w:rFonts w:ascii="Times" w:hAnsi="Times"/>
          <w:color w:val="000000" w:themeColor="text1"/>
        </w:rPr>
        <w:t xml:space="preserve"> returned to a housing unit in order to download the data to a computer. </w:t>
      </w:r>
      <w:r w:rsidRPr="00DA5FAE">
        <w:rPr>
          <w:rFonts w:ascii="Times" w:hAnsi="Times"/>
          <w:color w:val="000000" w:themeColor="text1"/>
        </w:rPr>
        <w:t xml:space="preserve">The data </w:t>
      </w:r>
      <w:r w:rsidR="00C5405B">
        <w:rPr>
          <w:rFonts w:ascii="Times" w:hAnsi="Times"/>
          <w:color w:val="000000" w:themeColor="text1"/>
        </w:rPr>
        <w:t>was then</w:t>
      </w:r>
      <w:r>
        <w:rPr>
          <w:rFonts w:ascii="Times" w:hAnsi="Times"/>
          <w:color w:val="000000" w:themeColor="text1"/>
        </w:rPr>
        <w:t xml:space="preserve"> cleaned in order to ensure accurate classification of drills and accurate durations of practice for each player, and then</w:t>
      </w:r>
      <w:r w:rsidRPr="00DA5FAE">
        <w:rPr>
          <w:rFonts w:ascii="Times" w:hAnsi="Times"/>
          <w:color w:val="000000" w:themeColor="text1"/>
        </w:rPr>
        <w:t xml:space="preserve"> uploaded to a cloud-based software program (Catapult </w:t>
      </w:r>
      <w:proofErr w:type="spellStart"/>
      <w:r w:rsidRPr="00DA5FAE">
        <w:rPr>
          <w:rFonts w:ascii="Times" w:hAnsi="Times"/>
          <w:color w:val="000000" w:themeColor="text1"/>
        </w:rPr>
        <w:t>OpenField</w:t>
      </w:r>
      <w:proofErr w:type="spellEnd"/>
      <w:r w:rsidRPr="00DA5FAE">
        <w:rPr>
          <w:rFonts w:ascii="Times" w:hAnsi="Times"/>
          <w:color w:val="000000" w:themeColor="text1"/>
        </w:rPr>
        <w:t xml:space="preserve"> Cloud, Catapult Sports, Melbourne, Australia).</w:t>
      </w:r>
      <w:r w:rsidR="003C1458">
        <w:rPr>
          <w:rFonts w:ascii="Times" w:hAnsi="Times"/>
          <w:color w:val="000000" w:themeColor="text1"/>
        </w:rPr>
        <w:t xml:space="preserve"> </w:t>
      </w:r>
      <w:r w:rsidR="003C1458">
        <w:rPr>
          <w:rFonts w:ascii="Times" w:hAnsi="Times"/>
        </w:rPr>
        <w:t>The</w:t>
      </w:r>
      <w:r w:rsidR="003C1458" w:rsidRPr="00DA5FAE">
        <w:rPr>
          <w:rFonts w:ascii="Times" w:hAnsi="Times"/>
        </w:rPr>
        <w:t xml:space="preserve"> data </w:t>
      </w:r>
      <w:r w:rsidR="00495D19">
        <w:rPr>
          <w:rFonts w:ascii="Times" w:hAnsi="Times"/>
        </w:rPr>
        <w:t>was then</w:t>
      </w:r>
      <w:r w:rsidR="003C1458" w:rsidRPr="00DA5FAE">
        <w:rPr>
          <w:rFonts w:ascii="Times" w:hAnsi="Times"/>
        </w:rPr>
        <w:t xml:space="preserve"> downloaded from </w:t>
      </w:r>
      <w:r w:rsidR="00495D19">
        <w:rPr>
          <w:rFonts w:ascii="Times" w:hAnsi="Times"/>
        </w:rPr>
        <w:t>the</w:t>
      </w:r>
      <w:r w:rsidR="003C1458" w:rsidRPr="00DA5FAE">
        <w:rPr>
          <w:rFonts w:ascii="Times" w:hAnsi="Times"/>
        </w:rPr>
        <w:t xml:space="preserve"> online cloud server and uploaded into a local Excel database for storage. From the Excel database, the data </w:t>
      </w:r>
      <w:r w:rsidR="00495D19">
        <w:rPr>
          <w:rFonts w:ascii="Times" w:hAnsi="Times"/>
        </w:rPr>
        <w:t>was</w:t>
      </w:r>
      <w:r w:rsidR="003C1458" w:rsidRPr="00DA5FAE">
        <w:rPr>
          <w:rFonts w:ascii="Times" w:hAnsi="Times"/>
        </w:rPr>
        <w:t xml:space="preserve"> loaded into R (R Core Team, 2022) </w:t>
      </w:r>
      <w:r w:rsidR="003C1458">
        <w:rPr>
          <w:rFonts w:ascii="Times" w:hAnsi="Times"/>
        </w:rPr>
        <w:t xml:space="preserve">for analysis and </w:t>
      </w:r>
      <w:r w:rsidR="00495D19">
        <w:rPr>
          <w:rFonts w:ascii="Times" w:hAnsi="Times"/>
        </w:rPr>
        <w:t>prediction</w:t>
      </w:r>
      <w:r w:rsidR="003C1458">
        <w:rPr>
          <w:rFonts w:ascii="Times" w:hAnsi="Times"/>
        </w:rPr>
        <w:t xml:space="preserve">. </w:t>
      </w:r>
    </w:p>
    <w:p w14:paraId="6ED17369" w14:textId="77777777" w:rsidR="00E661DE" w:rsidRPr="00214302" w:rsidRDefault="00E661DE" w:rsidP="00E661DE">
      <w:pPr>
        <w:pStyle w:val="Heading1"/>
        <w:rPr>
          <w:rFonts w:ascii="Times" w:hAnsi="Times"/>
          <w:color w:val="000000" w:themeColor="text1"/>
          <w:sz w:val="28"/>
          <w:szCs w:val="28"/>
        </w:rPr>
      </w:pPr>
      <w:r w:rsidRPr="00214302">
        <w:rPr>
          <w:rFonts w:ascii="Times" w:hAnsi="Times"/>
          <w:color w:val="000000" w:themeColor="text1"/>
          <w:sz w:val="28"/>
          <w:szCs w:val="28"/>
        </w:rPr>
        <w:t>Statistical Methods for Data Analysis and Prediction</w:t>
      </w:r>
    </w:p>
    <w:p w14:paraId="74457CAD" w14:textId="77777777" w:rsidR="00E661DE" w:rsidRPr="00DA5FAE" w:rsidRDefault="00E661DE" w:rsidP="00E661DE">
      <w:pPr>
        <w:rPr>
          <w:rFonts w:ascii="Times" w:hAnsi="Times"/>
        </w:rPr>
      </w:pPr>
    </w:p>
    <w:p w14:paraId="0F8925F3" w14:textId="6C1B8F23" w:rsidR="00E661DE" w:rsidRDefault="00706F5C" w:rsidP="00E661DE">
      <w:pPr>
        <w:spacing w:line="480" w:lineRule="auto"/>
        <w:rPr>
          <w:rFonts w:ascii="Times" w:hAnsi="Times"/>
        </w:rPr>
      </w:pPr>
      <w:r>
        <w:rPr>
          <w:rFonts w:ascii="Times" w:hAnsi="Times"/>
        </w:rPr>
        <w:tab/>
        <w:t>In order</w:t>
      </w:r>
      <w:r w:rsidR="00DC65E6">
        <w:rPr>
          <w:rFonts w:ascii="Times" w:hAnsi="Times"/>
        </w:rPr>
        <w:t xml:space="preserve"> to predict game loads, regression models were built utilizing data from both practices and scrimmages. All data from practices and scrimmages were downloaded from the cloud server into an Excel database</w:t>
      </w:r>
      <w:r w:rsidR="00495D19">
        <w:rPr>
          <w:rFonts w:ascii="Times" w:hAnsi="Times"/>
        </w:rPr>
        <w:t xml:space="preserve"> and</w:t>
      </w:r>
      <w:r w:rsidR="00DC65E6">
        <w:rPr>
          <w:rFonts w:ascii="Times" w:hAnsi="Times"/>
        </w:rPr>
        <w:t xml:space="preserve"> then uploaded into </w:t>
      </w:r>
      <w:r w:rsidR="00495D19">
        <w:rPr>
          <w:rFonts w:ascii="Times" w:hAnsi="Times"/>
        </w:rPr>
        <w:t>R</w:t>
      </w:r>
      <w:r w:rsidR="00DC65E6">
        <w:rPr>
          <w:rFonts w:ascii="Times" w:hAnsi="Times"/>
        </w:rPr>
        <w:t xml:space="preserve">. Due to date and time formatting methodologies utilized by Excel, all date and time variables had to be reformatted into standard UNIX time. Duration was then derived from this UNIX time into a minutes and seconds format. </w:t>
      </w:r>
      <w:r w:rsidR="00DC65E6">
        <w:rPr>
          <w:rFonts w:ascii="Times" w:hAnsi="Times"/>
        </w:rPr>
        <w:lastRenderedPageBreak/>
        <w:t xml:space="preserve">Data was then cleaned to remove all missing values, and any misspellings or incorrectly typed period names were corrected to ensure a standard naming and categorization methodology. Additionally, all </w:t>
      </w:r>
      <w:r w:rsidR="00495D19">
        <w:rPr>
          <w:rFonts w:ascii="Times" w:hAnsi="Times"/>
        </w:rPr>
        <w:t>PL outliers</w:t>
      </w:r>
      <w:r w:rsidR="00DC65E6">
        <w:rPr>
          <w:rFonts w:ascii="Times" w:hAnsi="Times"/>
        </w:rPr>
        <w:t xml:space="preserve"> were removed</w:t>
      </w:r>
      <w:r w:rsidR="00956623">
        <w:rPr>
          <w:rFonts w:ascii="Times" w:hAnsi="Times"/>
        </w:rPr>
        <w:t xml:space="preserve">. Data points were considered outliers if they presented obvious signs of measurement errors (i.e., PL values that were 20,000 AU or 30,000 AU per session were deleted). These outliers were also confirmed through construction of box plots to ensure that they were statistical outliers. </w:t>
      </w:r>
    </w:p>
    <w:p w14:paraId="03C2983A" w14:textId="3E17B187" w:rsidR="008764C6" w:rsidRDefault="00DC65E6" w:rsidP="00E661DE">
      <w:pPr>
        <w:spacing w:line="480" w:lineRule="auto"/>
        <w:rPr>
          <w:rFonts w:ascii="Times" w:hAnsi="Times"/>
        </w:rPr>
      </w:pPr>
      <w:r>
        <w:rPr>
          <w:rFonts w:ascii="Times" w:hAnsi="Times"/>
        </w:rPr>
        <w:tab/>
        <w:t xml:space="preserve">After data ingestion and cleaning, a series of fixed-effect panel regression models were built to predict </w:t>
      </w:r>
      <w:r w:rsidR="00495D19">
        <w:rPr>
          <w:rFonts w:ascii="Times" w:hAnsi="Times"/>
        </w:rPr>
        <w:t>game PL</w:t>
      </w:r>
      <w:r>
        <w:rPr>
          <w:rFonts w:ascii="Times" w:hAnsi="Times"/>
        </w:rPr>
        <w:t xml:space="preserve"> from both scrimmage</w:t>
      </w:r>
      <w:r w:rsidR="00495D19">
        <w:rPr>
          <w:rFonts w:ascii="Times" w:hAnsi="Times"/>
        </w:rPr>
        <w:t xml:space="preserve"> PL</w:t>
      </w:r>
      <w:r>
        <w:rPr>
          <w:rFonts w:ascii="Times" w:hAnsi="Times"/>
        </w:rPr>
        <w:t xml:space="preserve"> and practice </w:t>
      </w:r>
      <w:r w:rsidR="00495D19">
        <w:rPr>
          <w:rFonts w:ascii="Times" w:hAnsi="Times"/>
        </w:rPr>
        <w:t>PL</w:t>
      </w:r>
      <w:r>
        <w:rPr>
          <w:rFonts w:ascii="Times" w:hAnsi="Times"/>
        </w:rPr>
        <w:t xml:space="preserve">. </w:t>
      </w:r>
      <w:r w:rsidR="001C597F">
        <w:rPr>
          <w:rFonts w:ascii="Times" w:hAnsi="Times"/>
        </w:rPr>
        <w:t xml:space="preserve">The </w:t>
      </w:r>
      <w:r w:rsidR="00956623">
        <w:rPr>
          <w:rFonts w:ascii="Times" w:hAnsi="Times"/>
        </w:rPr>
        <w:t>first model</w:t>
      </w:r>
      <w:r w:rsidR="001C597F">
        <w:rPr>
          <w:rFonts w:ascii="Times" w:hAnsi="Times"/>
        </w:rPr>
        <w:t xml:space="preserve"> was built utilizing scrimmage data.</w:t>
      </w:r>
      <w:r w:rsidR="00956623">
        <w:rPr>
          <w:rFonts w:ascii="Times" w:hAnsi="Times"/>
        </w:rPr>
        <w:t xml:space="preserve"> All assumptions for linear regression were met in accordance with their respective statistical procedures: a Shapiro-Wilk test ensured that the data was normally distributed, the calculation of a variance inflation factor (VIF) of 4.8 determined that </w:t>
      </w:r>
      <w:r w:rsidR="00DD521A">
        <w:rPr>
          <w:rFonts w:ascii="Times" w:hAnsi="Times"/>
        </w:rPr>
        <w:t xml:space="preserve">multicollinearity would not </w:t>
      </w:r>
      <w:r w:rsidR="002118ED">
        <w:rPr>
          <w:rFonts w:ascii="Times" w:hAnsi="Times"/>
        </w:rPr>
        <w:t>interfere</w:t>
      </w:r>
      <w:r w:rsidR="00DD521A">
        <w:rPr>
          <w:rFonts w:ascii="Times" w:hAnsi="Times"/>
        </w:rPr>
        <w:t xml:space="preserve"> </w:t>
      </w:r>
      <w:r w:rsidR="002118ED">
        <w:rPr>
          <w:rFonts w:ascii="Times" w:hAnsi="Times"/>
        </w:rPr>
        <w:t>with the results of the</w:t>
      </w:r>
      <w:r w:rsidR="00943A45">
        <w:rPr>
          <w:rFonts w:ascii="Times" w:hAnsi="Times"/>
        </w:rPr>
        <w:t xml:space="preserve"> regression estimates, and visual estimates of homoscedasticity determined relatively equal variances between groups.</w:t>
      </w:r>
      <w:r w:rsidR="00956623">
        <w:rPr>
          <w:rFonts w:ascii="Times" w:hAnsi="Times"/>
        </w:rPr>
        <w:t xml:space="preserve"> </w:t>
      </w:r>
      <w:r w:rsidR="00943A45">
        <w:rPr>
          <w:rFonts w:ascii="Times" w:hAnsi="Times"/>
        </w:rPr>
        <w:t>A</w:t>
      </w:r>
      <w:r w:rsidR="008764C6">
        <w:rPr>
          <w:rFonts w:ascii="Times" w:hAnsi="Times"/>
        </w:rPr>
        <w:t xml:space="preserve"> </w:t>
      </w:r>
      <w:r w:rsidR="00495D19">
        <w:rPr>
          <w:rFonts w:ascii="Times" w:hAnsi="Times"/>
        </w:rPr>
        <w:t>fixed effect</w:t>
      </w:r>
      <w:r w:rsidR="008764C6" w:rsidRPr="008764C6">
        <w:rPr>
          <w:rFonts w:ascii="Times" w:hAnsi="Times"/>
        </w:rPr>
        <w:t xml:space="preserve"> panel data regression</w:t>
      </w:r>
      <w:r w:rsidR="008764C6">
        <w:rPr>
          <w:rFonts w:ascii="Times" w:hAnsi="Times"/>
        </w:rPr>
        <w:t xml:space="preserve"> model was constructed</w:t>
      </w:r>
      <w:r w:rsidR="008764C6" w:rsidRPr="008764C6">
        <w:rPr>
          <w:rFonts w:ascii="Times" w:hAnsi="Times"/>
        </w:rPr>
        <w:t xml:space="preserve"> to examine the relationship between </w:t>
      </w:r>
      <w:r w:rsidR="008764C6">
        <w:rPr>
          <w:rFonts w:ascii="Times" w:hAnsi="Times"/>
        </w:rPr>
        <w:t>PL</w:t>
      </w:r>
      <w:r w:rsidR="008764C6" w:rsidRPr="008764C6">
        <w:rPr>
          <w:rFonts w:ascii="Times" w:hAnsi="Times"/>
        </w:rPr>
        <w:t xml:space="preserve"> and </w:t>
      </w:r>
      <w:r w:rsidR="00495D19">
        <w:rPr>
          <w:rFonts w:ascii="Times" w:hAnsi="Times"/>
        </w:rPr>
        <w:t>d</w:t>
      </w:r>
      <w:r w:rsidR="008764C6" w:rsidRPr="008764C6">
        <w:rPr>
          <w:rFonts w:ascii="Times" w:hAnsi="Times"/>
        </w:rPr>
        <w:t>uration, while accounting for individual player effects</w:t>
      </w:r>
      <w:r w:rsidR="008764C6">
        <w:rPr>
          <w:rFonts w:ascii="Times" w:hAnsi="Times"/>
        </w:rPr>
        <w:t xml:space="preserve"> in order to generate </w:t>
      </w:r>
      <w:r w:rsidR="00516426">
        <w:rPr>
          <w:rFonts w:ascii="Times" w:hAnsi="Times"/>
        </w:rPr>
        <w:t xml:space="preserve">a vector of </w:t>
      </w:r>
      <w:r w:rsidR="0059317D">
        <w:rPr>
          <w:rFonts w:ascii="Times" w:hAnsi="Times"/>
        </w:rPr>
        <w:t xml:space="preserve">intercept </w:t>
      </w:r>
      <w:r w:rsidR="00516426">
        <w:rPr>
          <w:rFonts w:ascii="Times" w:hAnsi="Times"/>
        </w:rPr>
        <w:t>coefficients for each player</w:t>
      </w:r>
      <w:r w:rsidR="008764C6" w:rsidRPr="008764C6">
        <w:rPr>
          <w:rFonts w:ascii="Times" w:hAnsi="Times"/>
        </w:rPr>
        <w:t>.</w:t>
      </w:r>
      <w:r w:rsidR="001C597F">
        <w:rPr>
          <w:rFonts w:ascii="Times" w:hAnsi="Times"/>
        </w:rPr>
        <w:t xml:space="preserve"> </w:t>
      </w:r>
      <w:r w:rsidR="00943A45">
        <w:rPr>
          <w:rFonts w:ascii="Times" w:hAnsi="Times"/>
        </w:rPr>
        <w:t xml:space="preserve">Additionally, an interaction term between </w:t>
      </w:r>
      <w:r w:rsidR="00241EF6">
        <w:rPr>
          <w:rFonts w:ascii="Times" w:hAnsi="Times"/>
        </w:rPr>
        <w:t xml:space="preserve">Player (i.e., player identity) and Duration was added in order to account for </w:t>
      </w:r>
      <w:r w:rsidR="0059317D">
        <w:rPr>
          <w:rFonts w:ascii="Times" w:hAnsi="Times"/>
        </w:rPr>
        <w:t>individual differences in rate of PL accumulation per unit time.</w:t>
      </w:r>
      <w:r w:rsidR="00241EF6">
        <w:rPr>
          <w:rFonts w:ascii="Times" w:hAnsi="Times"/>
        </w:rPr>
        <w:t xml:space="preserve"> </w:t>
      </w:r>
      <w:r w:rsidR="001C597F">
        <w:rPr>
          <w:rFonts w:ascii="Times" w:hAnsi="Times"/>
        </w:rPr>
        <w:t xml:space="preserve">The </w:t>
      </w:r>
      <w:r w:rsidR="0059317D">
        <w:rPr>
          <w:rFonts w:ascii="Times" w:hAnsi="Times"/>
        </w:rPr>
        <w:t>function</w:t>
      </w:r>
      <w:r w:rsidR="001C597F">
        <w:rPr>
          <w:rFonts w:ascii="Times" w:hAnsi="Times"/>
        </w:rPr>
        <w:t xml:space="preserve"> for this model can be found below</w:t>
      </w:r>
      <w:r w:rsidR="00AD1645">
        <w:rPr>
          <w:rFonts w:ascii="Times" w:hAnsi="Times"/>
        </w:rPr>
        <w:t xml:space="preserve">, and was constructed in R using the </w:t>
      </w:r>
      <w:proofErr w:type="spellStart"/>
      <w:r w:rsidR="00AD1645">
        <w:rPr>
          <w:rFonts w:ascii="Times" w:hAnsi="Times"/>
        </w:rPr>
        <w:t>plm</w:t>
      </w:r>
      <w:proofErr w:type="spellEnd"/>
      <w:r w:rsidR="00AD1645">
        <w:rPr>
          <w:rFonts w:ascii="Times" w:hAnsi="Times"/>
        </w:rPr>
        <w:t xml:space="preserve"> package </w:t>
      </w:r>
      <w:r w:rsidR="00AD1645">
        <w:rPr>
          <w:rFonts w:ascii="Times" w:hAnsi="Times"/>
        </w:rPr>
        <w:fldChar w:fldCharType="begin"/>
      </w:r>
      <w:r w:rsidR="00AD1645">
        <w:rPr>
          <w:rFonts w:ascii="Times" w:hAnsi="Times"/>
        </w:rPr>
        <w:instrText xml:space="preserve"> ADDIN ZOTERO_ITEM CSL_CITATION {"citationID":"nw5kmMcF","properties":{"formattedCitation":"(Croissant &amp; Millo, 2008)","plainCitation":"(Croissant &amp; Millo, 2008)","noteIndex":0},"citationItems":[{"id":396,"uris":["http://zotero.org/users/5493924/items/36IHN9D9"],"itemData":{"id":396,"type":"article-journal","abstract":"Panel data econometrics is obviously one of the main ﬁelds in the profession, but most of the models used are di</w:instrText>
      </w:r>
      <w:r w:rsidR="00AD1645">
        <w:instrText>ﬃ</w:instrText>
      </w:r>
      <w:r w:rsidR="00AD1645">
        <w:rPr>
          <w:rFonts w:ascii="Times" w:hAnsi="Times"/>
        </w:rPr>
        <w:instrText xml:space="preserve">cult to estimate with R. plm is a package for R which intends to make the estimation of linear panel models straightforward. plm provides functions to estimate a wide variety of models and to make (robust) inference.","container-title":"Journal of Statistical Software","DOI":"10.18637/jss.v027.i02","ISSN":"1548-7660","issue":"2","journalAbbreviation":"J. Stat. Soft.","language":"en","source":"DOI.org (Crossref)","title":"Panel Data Econometrics in R: The plm Package","title-short":"Panel Data Econometrics in &lt;i&gt;R&lt;/i&gt;","URL":"http://www.jstatsoft.org/v27/i02/","volume":"27","author":[{"family":"Croissant","given":"Yves"},{"family":"Millo","given":"Giovanni"}],"accessed":{"date-parts":[["2023",4,23]]},"issued":{"date-parts":[["2008"]]}}}],"schema":"https://github.com/citation-style-language/schema/raw/master/csl-citation.json"} </w:instrText>
      </w:r>
      <w:r w:rsidR="00AD1645">
        <w:rPr>
          <w:rFonts w:ascii="Times" w:hAnsi="Times"/>
        </w:rPr>
        <w:fldChar w:fldCharType="separate"/>
      </w:r>
      <w:r w:rsidR="00AD1645">
        <w:rPr>
          <w:rFonts w:ascii="Times" w:hAnsi="Times"/>
          <w:noProof/>
        </w:rPr>
        <w:t>(Croissant &amp; Millo, 2008)</w:t>
      </w:r>
      <w:r w:rsidR="00AD1645">
        <w:rPr>
          <w:rFonts w:ascii="Times" w:hAnsi="Times"/>
        </w:rPr>
        <w:fldChar w:fldCharType="end"/>
      </w:r>
      <w:r w:rsidR="00AD1645">
        <w:rPr>
          <w:rFonts w:ascii="Times" w:hAnsi="Times"/>
        </w:rPr>
        <w:t xml:space="preserve">. </w:t>
      </w:r>
    </w:p>
    <w:p w14:paraId="138191D4" w14:textId="62C8B9F7" w:rsidR="008764C6" w:rsidRDefault="006D2D0B" w:rsidP="008764C6">
      <w:pPr>
        <w:spacing w:line="480" w:lineRule="auto"/>
        <w:jc w:val="center"/>
        <w:rPr>
          <w:rFonts w:ascii="Times" w:hAnsi="Times"/>
        </w:rPr>
      </w:pPr>
      <m:oMathPara>
        <m:oMath>
          <m:sSub>
            <m:sSubPr>
              <m:ctrlPr>
                <w:rPr>
                  <w:rFonts w:ascii="Cambria Math" w:hAnsi="Cambria Math"/>
                  <w:i/>
                  <w:sz w:val="23"/>
                  <w:szCs w:val="23"/>
                </w:rPr>
              </m:ctrlPr>
            </m:sSubPr>
            <m:e>
              <m:r>
                <w:rPr>
                  <w:rFonts w:ascii="Cambria Math" w:hAnsi="Cambria Math"/>
                  <w:sz w:val="23"/>
                  <w:szCs w:val="23"/>
                </w:rPr>
                <m:t>PL</m:t>
              </m:r>
            </m:e>
            <m:sub>
              <m:r>
                <w:rPr>
                  <w:rFonts w:ascii="Cambria Math" w:hAnsi="Cambria Math"/>
                  <w:sz w:val="23"/>
                  <w:szCs w:val="23"/>
                </w:rPr>
                <m:t>ij</m:t>
              </m:r>
            </m:sub>
          </m:sSub>
          <m:r>
            <w:rPr>
              <w:rFonts w:ascii="Cambria Math" w:hAnsi="Cambria Math"/>
              <w:sz w:val="23"/>
              <w:szCs w:val="23"/>
            </w:rPr>
            <m:t xml:space="preserve"> = f(</m:t>
          </m:r>
          <m:sSub>
            <m:sSubPr>
              <m:ctrlPr>
                <w:rPr>
                  <w:rFonts w:ascii="Cambria Math" w:hAnsi="Cambria Math"/>
                  <w:i/>
                  <w:sz w:val="23"/>
                  <w:szCs w:val="23"/>
                </w:rPr>
              </m:ctrlPr>
            </m:sSubPr>
            <m:e>
              <m:r>
                <w:rPr>
                  <w:rFonts w:ascii="Cambria Math" w:hAnsi="Cambria Math"/>
                  <w:sz w:val="23"/>
                  <w:szCs w:val="23"/>
                </w:rPr>
                <m:t>Duration</m:t>
              </m:r>
            </m:e>
            <m:sub>
              <m:r>
                <w:rPr>
                  <w:rFonts w:ascii="Cambria Math" w:hAnsi="Cambria Math"/>
                  <w:sz w:val="23"/>
                  <w:szCs w:val="23"/>
                </w:rPr>
                <m:t>ij</m:t>
              </m:r>
            </m:sub>
          </m:sSub>
          <m:r>
            <w:rPr>
              <w:rFonts w:ascii="Cambria Math" w:hAnsi="Cambria Math"/>
              <w:sz w:val="23"/>
              <w:szCs w:val="23"/>
            </w:rPr>
            <m:t xml:space="preserve">, </m:t>
          </m:r>
          <m:sSub>
            <m:sSubPr>
              <m:ctrlPr>
                <w:rPr>
                  <w:rFonts w:ascii="Cambria Math" w:hAnsi="Cambria Math"/>
                  <w:i/>
                  <w:sz w:val="23"/>
                  <w:szCs w:val="23"/>
                </w:rPr>
              </m:ctrlPr>
            </m:sSubPr>
            <m:e>
              <m:r>
                <w:rPr>
                  <w:rFonts w:ascii="Cambria Math" w:hAnsi="Cambria Math"/>
                  <w:sz w:val="23"/>
                  <w:szCs w:val="23"/>
                </w:rPr>
                <m:t>Player</m:t>
              </m:r>
            </m:e>
            <m:sub>
              <m:r>
                <w:rPr>
                  <w:rFonts w:ascii="Cambria Math" w:hAnsi="Cambria Math"/>
                  <w:sz w:val="23"/>
                  <w:szCs w:val="23"/>
                </w:rPr>
                <m:t>ij</m:t>
              </m:r>
            </m:sub>
          </m:sSub>
          <m:r>
            <w:rPr>
              <w:rFonts w:ascii="Cambria Math" w:hAnsi="Cambria Math"/>
              <w:sz w:val="23"/>
              <w:szCs w:val="23"/>
            </w:rPr>
            <m:t xml:space="preserve">, </m:t>
          </m:r>
          <m:sSub>
            <m:sSubPr>
              <m:ctrlPr>
                <w:rPr>
                  <w:rFonts w:ascii="Cambria Math" w:hAnsi="Cambria Math"/>
                  <w:i/>
                  <w:sz w:val="23"/>
                  <w:szCs w:val="23"/>
                </w:rPr>
              </m:ctrlPr>
            </m:sSubPr>
            <m:e>
              <m:sSub>
                <m:sSubPr>
                  <m:ctrlPr>
                    <w:rPr>
                      <w:rFonts w:ascii="Cambria Math" w:hAnsi="Cambria Math"/>
                      <w:i/>
                      <w:sz w:val="23"/>
                      <w:szCs w:val="23"/>
                    </w:rPr>
                  </m:ctrlPr>
                </m:sSubPr>
                <m:e>
                  <m:r>
                    <w:rPr>
                      <w:rFonts w:ascii="Cambria Math" w:hAnsi="Cambria Math"/>
                      <w:sz w:val="23"/>
                      <w:szCs w:val="23"/>
                    </w:rPr>
                    <m:t>Player</m:t>
                  </m:r>
                </m:e>
                <m:sub>
                  <m:r>
                    <w:rPr>
                      <w:rFonts w:ascii="Cambria Math" w:hAnsi="Cambria Math"/>
                      <w:sz w:val="23"/>
                      <w:szCs w:val="23"/>
                    </w:rPr>
                    <m:t>i</m:t>
                  </m:r>
                </m:sub>
              </m:sSub>
              <m:r>
                <w:rPr>
                  <w:rFonts w:ascii="Cambria Math" w:hAnsi="Cambria Math"/>
                  <w:sz w:val="23"/>
                  <w:szCs w:val="23"/>
                </w:rPr>
                <m:t xml:space="preserve"> * Duration</m:t>
              </m:r>
            </m:e>
            <m:sub>
              <m:r>
                <w:rPr>
                  <w:rFonts w:ascii="Cambria Math" w:hAnsi="Cambria Math"/>
                  <w:sz w:val="23"/>
                  <w:szCs w:val="23"/>
                </w:rPr>
                <m:t>j</m:t>
              </m:r>
            </m:sub>
          </m:sSub>
          <m:r>
            <w:rPr>
              <w:rFonts w:ascii="Cambria Math" w:hAnsi="Cambria Math"/>
              <w:sz w:val="23"/>
              <w:szCs w:val="23"/>
            </w:rPr>
            <m:t xml:space="preserve">) </m:t>
          </m:r>
        </m:oMath>
      </m:oMathPara>
    </w:p>
    <w:p w14:paraId="6B057646" w14:textId="484C99AD" w:rsidR="001006DC" w:rsidRDefault="001C597F" w:rsidP="00F32051">
      <w:pPr>
        <w:spacing w:line="480" w:lineRule="auto"/>
        <w:ind w:firstLine="720"/>
        <w:jc w:val="both"/>
        <w:rPr>
          <w:rFonts w:ascii="Times" w:eastAsiaTheme="minorEastAsia" w:hAnsi="Times"/>
        </w:rPr>
      </w:pPr>
      <w:r>
        <w:rPr>
          <w:rFonts w:ascii="Times" w:hAnsi="Times"/>
        </w:rPr>
        <w:t>In this model, PL</w:t>
      </w:r>
      <w:r w:rsidR="0059317D">
        <w:rPr>
          <w:rFonts w:ascii="Times" w:hAnsi="Times"/>
        </w:rPr>
        <w:t xml:space="preserve"> for player </w:t>
      </w:r>
      <w:proofErr w:type="spellStart"/>
      <w:r w:rsidR="0059317D" w:rsidRPr="00F32051">
        <w:rPr>
          <w:rFonts w:ascii="Times" w:hAnsi="Times"/>
          <w:i/>
          <w:iCs/>
        </w:rPr>
        <w:t>i</w:t>
      </w:r>
      <w:proofErr w:type="spellEnd"/>
      <w:r w:rsidR="0059317D" w:rsidRPr="00F32051">
        <w:rPr>
          <w:rFonts w:ascii="Times" w:hAnsi="Times"/>
          <w:i/>
          <w:iCs/>
        </w:rPr>
        <w:t xml:space="preserve"> </w:t>
      </w:r>
      <w:r w:rsidR="0059317D">
        <w:rPr>
          <w:rFonts w:ascii="Times" w:hAnsi="Times"/>
        </w:rPr>
        <w:t xml:space="preserve">in the </w:t>
      </w:r>
      <w:r w:rsidR="0059317D" w:rsidRPr="00F32051">
        <w:rPr>
          <w:rFonts w:ascii="Times" w:hAnsi="Times"/>
          <w:i/>
          <w:iCs/>
        </w:rPr>
        <w:t>j</w:t>
      </w:r>
      <w:r w:rsidR="0059317D">
        <w:rPr>
          <w:rFonts w:ascii="Times" w:hAnsi="Times"/>
        </w:rPr>
        <w:t>-</w:t>
      </w:r>
      <w:proofErr w:type="spellStart"/>
      <w:r w:rsidR="0059317D">
        <w:rPr>
          <w:rFonts w:ascii="Times" w:hAnsi="Times"/>
        </w:rPr>
        <w:t>th</w:t>
      </w:r>
      <w:proofErr w:type="spellEnd"/>
      <w:r w:rsidR="0059317D">
        <w:rPr>
          <w:rFonts w:ascii="Times" w:hAnsi="Times"/>
        </w:rPr>
        <w:t xml:space="preserve"> game is defined as a function of the game duration (Duration) for player </w:t>
      </w:r>
      <w:proofErr w:type="spellStart"/>
      <w:r w:rsidR="0059317D">
        <w:rPr>
          <w:rFonts w:ascii="Times" w:hAnsi="Times"/>
          <w:i/>
          <w:iCs/>
        </w:rPr>
        <w:t>i</w:t>
      </w:r>
      <w:proofErr w:type="spellEnd"/>
      <w:r w:rsidR="0059317D">
        <w:rPr>
          <w:rFonts w:ascii="Times" w:hAnsi="Times"/>
        </w:rPr>
        <w:t xml:space="preserve"> in game </w:t>
      </w:r>
      <w:r w:rsidR="00CA56DF">
        <w:rPr>
          <w:rFonts w:ascii="Times" w:hAnsi="Times"/>
          <w:i/>
          <w:iCs/>
        </w:rPr>
        <w:t xml:space="preserve">j, </w:t>
      </w:r>
      <w:r w:rsidR="00CA56DF">
        <w:rPr>
          <w:rFonts w:ascii="Times" w:hAnsi="Times"/>
        </w:rPr>
        <w:t>the</w:t>
      </w:r>
      <w:r w:rsidR="0059317D">
        <w:rPr>
          <w:rFonts w:ascii="Times" w:hAnsi="Times"/>
        </w:rPr>
        <w:t xml:space="preserve"> specific player </w:t>
      </w:r>
      <w:proofErr w:type="spellStart"/>
      <w:r w:rsidR="0059317D">
        <w:rPr>
          <w:rFonts w:ascii="Times" w:hAnsi="Times"/>
          <w:i/>
          <w:iCs/>
        </w:rPr>
        <w:t>i</w:t>
      </w:r>
      <w:proofErr w:type="spellEnd"/>
      <w:r w:rsidR="0059317D">
        <w:rPr>
          <w:rFonts w:ascii="Times" w:hAnsi="Times"/>
          <w:i/>
          <w:iCs/>
        </w:rPr>
        <w:t xml:space="preserve"> </w:t>
      </w:r>
      <w:r w:rsidR="0059317D">
        <w:rPr>
          <w:rFonts w:ascii="Times" w:hAnsi="Times"/>
        </w:rPr>
        <w:t xml:space="preserve">in game </w:t>
      </w:r>
      <w:r w:rsidR="0059317D">
        <w:rPr>
          <w:rFonts w:ascii="Times" w:hAnsi="Times"/>
          <w:i/>
          <w:iCs/>
        </w:rPr>
        <w:t xml:space="preserve">j, </w:t>
      </w:r>
      <w:r w:rsidR="0059317D">
        <w:rPr>
          <w:rFonts w:ascii="Times" w:hAnsi="Times"/>
        </w:rPr>
        <w:t xml:space="preserve">and the product of the individual PL adjustments for player </w:t>
      </w:r>
      <w:proofErr w:type="spellStart"/>
      <w:r w:rsidR="0059317D" w:rsidRPr="00F32051">
        <w:rPr>
          <w:rFonts w:ascii="Times" w:hAnsi="Times"/>
          <w:i/>
          <w:iCs/>
        </w:rPr>
        <w:t>i</w:t>
      </w:r>
      <w:proofErr w:type="spellEnd"/>
      <w:r w:rsidR="0059317D" w:rsidRPr="00F32051">
        <w:rPr>
          <w:rFonts w:ascii="Times" w:hAnsi="Times"/>
          <w:i/>
          <w:iCs/>
        </w:rPr>
        <w:t xml:space="preserve"> </w:t>
      </w:r>
      <w:r w:rsidR="0059317D">
        <w:rPr>
          <w:rFonts w:ascii="Times" w:hAnsi="Times"/>
        </w:rPr>
        <w:t xml:space="preserve">and the duration of game </w:t>
      </w:r>
      <w:r w:rsidR="0059317D" w:rsidRPr="00F32051">
        <w:rPr>
          <w:rFonts w:ascii="Times" w:hAnsi="Times"/>
          <w:i/>
          <w:iCs/>
        </w:rPr>
        <w:t>j</w:t>
      </w:r>
      <w:r w:rsidR="0059317D">
        <w:rPr>
          <w:rFonts w:ascii="Times" w:hAnsi="Times"/>
        </w:rPr>
        <w:t>.</w:t>
      </w:r>
      <w:r w:rsidR="00984B07">
        <w:rPr>
          <w:rFonts w:ascii="Times" w:eastAsiaTheme="minorEastAsia" w:hAnsi="Times"/>
        </w:rPr>
        <w:t xml:space="preserve"> After </w:t>
      </w:r>
      <w:r w:rsidR="0059317D">
        <w:rPr>
          <w:rFonts w:ascii="Times" w:eastAsiaTheme="minorEastAsia" w:hAnsi="Times"/>
        </w:rPr>
        <w:t xml:space="preserve">running the model, the model output </w:t>
      </w:r>
      <w:r w:rsidR="0059317D">
        <w:rPr>
          <w:rFonts w:ascii="Times" w:eastAsiaTheme="minorEastAsia" w:hAnsi="Times"/>
        </w:rPr>
        <w:lastRenderedPageBreak/>
        <w:t xml:space="preserve">gave each player an estimate for the Player variable (which is the offset of the intercept relative to the comparison player) and gave each player another </w:t>
      </w:r>
      <w:proofErr w:type="gramStart"/>
      <w:r w:rsidR="0059317D">
        <w:rPr>
          <w:rFonts w:ascii="Times" w:eastAsiaTheme="minorEastAsia" w:hAnsi="Times"/>
        </w:rPr>
        <w:t>estimate</w:t>
      </w:r>
      <w:proofErr w:type="gramEnd"/>
      <w:r w:rsidR="0059317D">
        <w:rPr>
          <w:rFonts w:ascii="Times" w:eastAsiaTheme="minorEastAsia" w:hAnsi="Times"/>
        </w:rPr>
        <w:t xml:space="preserve"> for the interaction term of Player and Duration, which is the slope adjustment for individual differences in PL accumulation per unit time.</w:t>
      </w:r>
      <w:r w:rsidR="00984B07">
        <w:rPr>
          <w:rFonts w:ascii="Times" w:eastAsiaTheme="minorEastAsia" w:hAnsi="Times"/>
        </w:rPr>
        <w:t xml:space="preserve"> </w:t>
      </w:r>
      <w:r w:rsidR="008E7F85">
        <w:rPr>
          <w:rFonts w:ascii="Times" w:hAnsi="Times"/>
        </w:rPr>
        <w:t>Because the chosen software package generate</w:t>
      </w:r>
      <w:r w:rsidR="00516426">
        <w:rPr>
          <w:rFonts w:ascii="Times" w:hAnsi="Times"/>
        </w:rPr>
        <w:t>d</w:t>
      </w:r>
      <w:r w:rsidR="008E7F85">
        <w:rPr>
          <w:rFonts w:ascii="Times" w:hAnsi="Times"/>
        </w:rPr>
        <w:t xml:space="preserve"> a model that use</w:t>
      </w:r>
      <w:r w:rsidR="00516426">
        <w:rPr>
          <w:rFonts w:ascii="Times" w:hAnsi="Times"/>
        </w:rPr>
        <w:t>d</w:t>
      </w:r>
      <w:r w:rsidR="008E7F85">
        <w:rPr>
          <w:rFonts w:ascii="Times" w:hAnsi="Times"/>
        </w:rPr>
        <w:t xml:space="preserve"> </w:t>
      </w:r>
      <w:r w:rsidR="00495D19">
        <w:rPr>
          <w:rFonts w:ascii="Times" w:hAnsi="Times"/>
        </w:rPr>
        <w:t xml:space="preserve">a specific </w:t>
      </w:r>
      <w:r w:rsidR="008E7F85">
        <w:rPr>
          <w:rFonts w:ascii="Times" w:hAnsi="Times"/>
        </w:rPr>
        <w:t xml:space="preserve">player as the intercept (i.e., the reference point to which other players are compared), a pooled ordinary least squares (OLS) model was created in order to generate </w:t>
      </w:r>
      <w:r w:rsidR="00936660">
        <w:rPr>
          <w:rFonts w:ascii="Times" w:hAnsi="Times"/>
        </w:rPr>
        <w:t>a PL coefficient for the reference player</w:t>
      </w:r>
      <w:r w:rsidR="008E7F85">
        <w:rPr>
          <w:rFonts w:ascii="Times" w:hAnsi="Times"/>
        </w:rPr>
        <w:t xml:space="preserve">. This model was created using the </w:t>
      </w:r>
      <w:proofErr w:type="spellStart"/>
      <w:r w:rsidR="008E7F85">
        <w:rPr>
          <w:rFonts w:ascii="Times" w:hAnsi="Times"/>
        </w:rPr>
        <w:t>lm</w:t>
      </w:r>
      <w:proofErr w:type="spellEnd"/>
      <w:r w:rsidR="008E7F85">
        <w:rPr>
          <w:rFonts w:ascii="Times" w:hAnsi="Times"/>
        </w:rPr>
        <w:t xml:space="preserve"> package </w:t>
      </w:r>
      <w:r w:rsidR="008E7F85">
        <w:rPr>
          <w:rFonts w:ascii="Times" w:hAnsi="Times"/>
        </w:rPr>
        <w:fldChar w:fldCharType="begin"/>
      </w:r>
      <w:r w:rsidR="008E7F85">
        <w:rPr>
          <w:rFonts w:ascii="Times" w:hAnsi="Times"/>
        </w:rPr>
        <w:instrText xml:space="preserve"> ADDIN ZOTERO_ITEM CSL_CITATION {"citationID":"PcNZFpHH","properties":{"formattedCitation":"(Bates et al., 2015)","plainCitation":"(Bates et al., 2015)","noteIndex":0},"citationItems":[{"id":257,"uris":["http://zotero.org/users/5493924/items/QJFFUZLD"],"itemData":{"id":257,"type":"article-journal","container-title":"Journal of Statistical Software","DOI":"10.18637/jss.v067.i01","ISSN":"1548-7660","issue":"1","journalAbbreviation":"J. Stat. Soft.","language":"en","source":"DOI.org (Crossref)","title":"Fitting linear mixed-effects models using lme4","URL":"http://www.jstatsoft.org/v67/i01/","volume":"67","author":[{"family":"Bates","given":"Douglas"},{"family":"Mächler","given":"Martin"},{"family":"Bolker","given":"Ben"},{"family":"Walker","given":"Steve"}],"accessed":{"date-parts":[["2022",4,27]]},"issued":{"date-parts":[["2015"]]}}}],"schema":"https://github.com/citation-style-language/schema/raw/master/csl-citation.json"} </w:instrText>
      </w:r>
      <w:r w:rsidR="008E7F85">
        <w:rPr>
          <w:rFonts w:ascii="Times" w:hAnsi="Times"/>
        </w:rPr>
        <w:fldChar w:fldCharType="separate"/>
      </w:r>
      <w:r w:rsidR="008E7F85">
        <w:rPr>
          <w:rFonts w:ascii="Times" w:hAnsi="Times"/>
          <w:noProof/>
        </w:rPr>
        <w:t>(Bates et al., 2015)</w:t>
      </w:r>
      <w:r w:rsidR="008E7F85">
        <w:rPr>
          <w:rFonts w:ascii="Times" w:hAnsi="Times"/>
        </w:rPr>
        <w:fldChar w:fldCharType="end"/>
      </w:r>
      <w:r w:rsidR="008E7F85">
        <w:rPr>
          <w:rFonts w:ascii="Times" w:hAnsi="Times"/>
        </w:rPr>
        <w:t xml:space="preserve">, </w:t>
      </w:r>
      <w:r w:rsidR="008764C6">
        <w:rPr>
          <w:rFonts w:ascii="Times" w:hAnsi="Times"/>
        </w:rPr>
        <w:t>utilizing the same formula but running the model with the</w:t>
      </w:r>
      <w:r w:rsidR="00495D19">
        <w:rPr>
          <w:rFonts w:ascii="Times" w:hAnsi="Times"/>
        </w:rPr>
        <w:t xml:space="preserve"> </w:t>
      </w:r>
      <w:proofErr w:type="spellStart"/>
      <w:r w:rsidR="00495D19">
        <w:rPr>
          <w:rFonts w:ascii="Times" w:hAnsi="Times"/>
        </w:rPr>
        <w:t>lm</w:t>
      </w:r>
      <w:proofErr w:type="spellEnd"/>
      <w:r w:rsidR="008764C6">
        <w:rPr>
          <w:rFonts w:ascii="Times" w:hAnsi="Times"/>
        </w:rPr>
        <w:t xml:space="preserve"> package.</w:t>
      </w:r>
      <w:r w:rsidR="0059317D">
        <w:rPr>
          <w:rFonts w:ascii="Times" w:hAnsi="Times"/>
        </w:rPr>
        <w:t xml:space="preserve"> </w:t>
      </w:r>
      <w:r w:rsidR="001006DC">
        <w:rPr>
          <w:rFonts w:ascii="Times" w:eastAsiaTheme="minorEastAsia" w:hAnsi="Times"/>
        </w:rPr>
        <w:t>Once this process was completed with the scrimmage data, the same process was repeated to generate predicted game PL from practice data (i.e., practice data was utilized for model construction rather than scrimmage data). As with the scrimmage data, each player had a predicted PL for every game over the course of a season</w:t>
      </w:r>
      <w:r w:rsidR="00495D19">
        <w:rPr>
          <w:rFonts w:ascii="Times" w:eastAsiaTheme="minorEastAsia" w:hAnsi="Times"/>
        </w:rPr>
        <w:t>.</w:t>
      </w:r>
    </w:p>
    <w:p w14:paraId="6B92048E" w14:textId="2A59A277" w:rsidR="008D00D1" w:rsidRDefault="009647B1" w:rsidP="00E661DE">
      <w:pPr>
        <w:spacing w:line="480" w:lineRule="auto"/>
        <w:rPr>
          <w:rFonts w:ascii="Times" w:eastAsiaTheme="minorEastAsia" w:hAnsi="Times"/>
        </w:rPr>
      </w:pPr>
      <w:r>
        <w:rPr>
          <w:rFonts w:ascii="Times" w:eastAsiaTheme="minorEastAsia" w:hAnsi="Times"/>
        </w:rPr>
        <w:tab/>
        <w:t xml:space="preserve">In order to test for statistical differences in PL between players, players were grouped into three categories: </w:t>
      </w:r>
      <w:r w:rsidR="000839A1">
        <w:rPr>
          <w:rFonts w:ascii="Times" w:eastAsiaTheme="minorEastAsia" w:hAnsi="Times"/>
        </w:rPr>
        <w:t>Bench</w:t>
      </w:r>
      <w:r>
        <w:rPr>
          <w:rFonts w:ascii="Times" w:eastAsiaTheme="minorEastAsia" w:hAnsi="Times"/>
        </w:rPr>
        <w:t xml:space="preserve">, </w:t>
      </w:r>
      <w:r w:rsidR="000839A1">
        <w:rPr>
          <w:rFonts w:ascii="Times" w:eastAsiaTheme="minorEastAsia" w:hAnsi="Times"/>
        </w:rPr>
        <w:t>Rotation</w:t>
      </w:r>
      <w:r>
        <w:rPr>
          <w:rFonts w:ascii="Times" w:eastAsiaTheme="minorEastAsia" w:hAnsi="Times"/>
        </w:rPr>
        <w:t xml:space="preserve">, and </w:t>
      </w:r>
      <w:r w:rsidR="000839A1">
        <w:rPr>
          <w:rFonts w:ascii="Times" w:eastAsiaTheme="minorEastAsia" w:hAnsi="Times"/>
        </w:rPr>
        <w:t>Starter</w:t>
      </w:r>
      <w:r>
        <w:rPr>
          <w:rFonts w:ascii="Times" w:eastAsiaTheme="minorEastAsia" w:hAnsi="Times"/>
        </w:rPr>
        <w:t xml:space="preserve">. These categories correspond to the average minutes per game played, with </w:t>
      </w:r>
      <w:r w:rsidR="000839A1">
        <w:rPr>
          <w:rFonts w:ascii="Times" w:eastAsiaTheme="minorEastAsia" w:hAnsi="Times"/>
        </w:rPr>
        <w:t>Bench</w:t>
      </w:r>
      <w:r>
        <w:rPr>
          <w:rFonts w:ascii="Times" w:eastAsiaTheme="minorEastAsia" w:hAnsi="Times"/>
        </w:rPr>
        <w:t xml:space="preserve"> players averaging &lt;</w:t>
      </w:r>
      <w:r w:rsidR="008D00D1">
        <w:rPr>
          <w:rFonts w:ascii="Times" w:eastAsiaTheme="minorEastAsia" w:hAnsi="Times"/>
        </w:rPr>
        <w:t>8</w:t>
      </w:r>
      <w:r>
        <w:rPr>
          <w:rFonts w:ascii="Times" w:eastAsiaTheme="minorEastAsia" w:hAnsi="Times"/>
        </w:rPr>
        <w:t xml:space="preserve"> minutes per game (mpg), </w:t>
      </w:r>
      <w:r w:rsidR="000839A1">
        <w:rPr>
          <w:rFonts w:ascii="Times" w:eastAsiaTheme="minorEastAsia" w:hAnsi="Times"/>
        </w:rPr>
        <w:t>Rotation</w:t>
      </w:r>
      <w:r>
        <w:rPr>
          <w:rFonts w:ascii="Times" w:eastAsiaTheme="minorEastAsia" w:hAnsi="Times"/>
        </w:rPr>
        <w:t xml:space="preserve"> players averaging </w:t>
      </w:r>
      <w:r w:rsidR="008D00D1">
        <w:rPr>
          <w:rFonts w:ascii="Times" w:eastAsiaTheme="minorEastAsia" w:hAnsi="Times"/>
        </w:rPr>
        <w:t>8</w:t>
      </w:r>
      <w:r>
        <w:rPr>
          <w:rFonts w:ascii="Times" w:eastAsiaTheme="minorEastAsia" w:hAnsi="Times"/>
        </w:rPr>
        <w:t xml:space="preserve">-20 mpg, and starters averaging &gt;20 mpg. Season long values for external training loads were calculated by combining data collected from practices and game data predicted from the previously described models. Weekly and monthly average values (mean ± SD) were calculated for each player. Weekly and average values were then calculated for each category, and multiple one-way analysis of variance (ANOVA) tests </w:t>
      </w:r>
      <w:r w:rsidR="00EC4CCB">
        <w:rPr>
          <w:rFonts w:ascii="Times" w:eastAsiaTheme="minorEastAsia" w:hAnsi="Times"/>
        </w:rPr>
        <w:t>were conducted to compare group means and test for statistical differences. Tukey’s HSD post-hoc</w:t>
      </w:r>
      <w:r w:rsidR="00EC4CCB" w:rsidRPr="00EC4CCB">
        <w:rPr>
          <w:rFonts w:ascii="Times" w:eastAsiaTheme="minorEastAsia" w:hAnsi="Times"/>
        </w:rPr>
        <w:t xml:space="preserve"> tests were conducted to examine pairwise differences</w:t>
      </w:r>
      <w:r w:rsidR="00EC4CCB">
        <w:rPr>
          <w:rFonts w:ascii="Times" w:eastAsiaTheme="minorEastAsia" w:hAnsi="Times"/>
        </w:rPr>
        <w:t xml:space="preserve"> in</w:t>
      </w:r>
      <w:r w:rsidR="00693D01">
        <w:rPr>
          <w:rFonts w:ascii="Times" w:eastAsiaTheme="minorEastAsia" w:hAnsi="Times"/>
        </w:rPr>
        <w:t xml:space="preserve"> weekly and monthly</w:t>
      </w:r>
      <w:r>
        <w:rPr>
          <w:rFonts w:ascii="Times" w:eastAsiaTheme="minorEastAsia" w:hAnsi="Times"/>
        </w:rPr>
        <w:t xml:space="preserve"> PL </w:t>
      </w:r>
      <w:r w:rsidR="00693D01">
        <w:rPr>
          <w:rFonts w:ascii="Times" w:eastAsiaTheme="minorEastAsia" w:hAnsi="Times"/>
        </w:rPr>
        <w:t xml:space="preserve">values </w:t>
      </w:r>
      <w:r>
        <w:rPr>
          <w:rFonts w:ascii="Times" w:eastAsiaTheme="minorEastAsia" w:hAnsi="Times"/>
        </w:rPr>
        <w:t>between player categories</w:t>
      </w:r>
      <w:r w:rsidR="00693D01">
        <w:rPr>
          <w:rFonts w:ascii="Times" w:eastAsiaTheme="minorEastAsia" w:hAnsi="Times"/>
        </w:rPr>
        <w:t>.</w:t>
      </w:r>
      <w:r w:rsidR="008D00D1">
        <w:rPr>
          <w:rFonts w:ascii="Times" w:eastAsiaTheme="minorEastAsia" w:hAnsi="Times"/>
        </w:rPr>
        <w:t xml:space="preserve"> This post-hoc test was selected in order to compare mean differences between all combinations of group pai</w:t>
      </w:r>
      <w:r w:rsidR="000B4010">
        <w:rPr>
          <w:rFonts w:ascii="Times" w:eastAsiaTheme="minorEastAsia" w:hAnsi="Times"/>
        </w:rPr>
        <w:t xml:space="preserve">rings. </w:t>
      </w:r>
    </w:p>
    <w:p w14:paraId="72799FDA" w14:textId="077E180B" w:rsidR="009647B1" w:rsidRPr="00214302" w:rsidRDefault="009647B1" w:rsidP="009647B1">
      <w:pPr>
        <w:pStyle w:val="Title"/>
        <w:jc w:val="center"/>
        <w:rPr>
          <w:rFonts w:ascii="Times" w:hAnsi="Times" w:cs="Times New Roman"/>
          <w:noProof/>
          <w:color w:val="000000" w:themeColor="text1"/>
          <w:sz w:val="32"/>
          <w:szCs w:val="32"/>
        </w:rPr>
      </w:pPr>
      <w:r w:rsidRPr="00214302">
        <w:rPr>
          <w:rFonts w:ascii="Times" w:hAnsi="Times" w:cs="Times New Roman"/>
          <w:noProof/>
          <w:color w:val="000000" w:themeColor="text1"/>
          <w:sz w:val="32"/>
          <w:szCs w:val="32"/>
        </w:rPr>
        <w:lastRenderedPageBreak/>
        <w:t xml:space="preserve">Chapter </w:t>
      </w:r>
      <w:r w:rsidR="00BE6377" w:rsidRPr="00214302">
        <w:rPr>
          <w:rFonts w:ascii="Times" w:hAnsi="Times" w:cs="Times New Roman"/>
          <w:noProof/>
          <w:color w:val="000000" w:themeColor="text1"/>
          <w:sz w:val="32"/>
          <w:szCs w:val="32"/>
        </w:rPr>
        <w:t>4</w:t>
      </w:r>
      <w:r w:rsidRPr="00214302">
        <w:rPr>
          <w:rFonts w:ascii="Times" w:hAnsi="Times" w:cs="Times New Roman"/>
          <w:noProof/>
          <w:color w:val="000000" w:themeColor="text1"/>
          <w:sz w:val="32"/>
          <w:szCs w:val="32"/>
        </w:rPr>
        <w:t>: Results</w:t>
      </w:r>
    </w:p>
    <w:p w14:paraId="7EB74FE6" w14:textId="59812510" w:rsidR="009647B1" w:rsidRDefault="009647B1" w:rsidP="009647B1"/>
    <w:p w14:paraId="146BBD1A" w14:textId="4736ACD4" w:rsidR="00A012FF" w:rsidRDefault="00A012FF" w:rsidP="00CA56DF">
      <w:pPr>
        <w:spacing w:line="480" w:lineRule="auto"/>
        <w:ind w:firstLine="720"/>
        <w:rPr>
          <w:rFonts w:ascii="Times" w:eastAsiaTheme="minorEastAsia" w:hAnsi="Times"/>
        </w:rPr>
      </w:pPr>
      <w:r>
        <w:rPr>
          <w:rFonts w:ascii="Times" w:eastAsiaTheme="minorEastAsia" w:hAnsi="Times"/>
        </w:rPr>
        <w:t>The outputs for both the Scrimmage and Practice regression models can be found in Tables 1 and 2, respectively. After categorizing players based on average game minutes played, five players were categorized as “Starter”, five players were categorized as “Rotation”, and five players were categorized as “Bench”. The descriptive statistics can be found in Table 3, where the observed values were collected from devices and predicted values (italicized) were generated from a prediction equation.</w:t>
      </w:r>
    </w:p>
    <w:p w14:paraId="44886FDA" w14:textId="17A00E17" w:rsidR="00A012FF" w:rsidRPr="00AF5718" w:rsidRDefault="00A012FF" w:rsidP="00A012FF">
      <w:pPr>
        <w:pStyle w:val="Caption"/>
        <w:keepNext/>
        <w:jc w:val="center"/>
        <w:rPr>
          <w:rFonts w:ascii="Times" w:hAnsi="Times"/>
          <w:b/>
          <w:bCs/>
          <w:color w:val="000000" w:themeColor="text1"/>
          <w:sz w:val="24"/>
          <w:szCs w:val="24"/>
        </w:rPr>
      </w:pPr>
      <w:r w:rsidRPr="00AF5718">
        <w:rPr>
          <w:rFonts w:ascii="Times" w:hAnsi="Times"/>
          <w:b/>
          <w:bCs/>
          <w:color w:val="000000" w:themeColor="text1"/>
          <w:sz w:val="24"/>
          <w:szCs w:val="24"/>
        </w:rPr>
        <w:t xml:space="preserve">Table </w:t>
      </w:r>
      <w:r>
        <w:rPr>
          <w:rFonts w:ascii="Times" w:hAnsi="Times"/>
          <w:b/>
          <w:bCs/>
          <w:color w:val="000000" w:themeColor="text1"/>
          <w:sz w:val="24"/>
          <w:szCs w:val="24"/>
        </w:rPr>
        <w:t>1</w:t>
      </w:r>
      <w:r w:rsidRPr="00AF5718">
        <w:rPr>
          <w:rFonts w:ascii="Times" w:hAnsi="Times"/>
          <w:b/>
          <w:bCs/>
          <w:color w:val="000000" w:themeColor="text1"/>
          <w:sz w:val="24"/>
          <w:szCs w:val="24"/>
        </w:rPr>
        <w:t>. Regression Output for Scrimmage Model</w:t>
      </w:r>
    </w:p>
    <w:tbl>
      <w:tblPr>
        <w:tblStyle w:val="TableGrid"/>
        <w:tblW w:w="92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6"/>
        <w:gridCol w:w="1337"/>
        <w:gridCol w:w="1661"/>
        <w:gridCol w:w="2398"/>
        <w:gridCol w:w="1911"/>
      </w:tblGrid>
      <w:tr w:rsidR="00A012FF" w14:paraId="34AE9E09" w14:textId="77777777" w:rsidTr="002C0A18">
        <w:trPr>
          <w:trHeight w:val="601"/>
          <w:jc w:val="center"/>
        </w:trPr>
        <w:tc>
          <w:tcPr>
            <w:tcW w:w="1956" w:type="dxa"/>
            <w:tcBorders>
              <w:top w:val="single" w:sz="4" w:space="0" w:color="auto"/>
              <w:bottom w:val="single" w:sz="4" w:space="0" w:color="auto"/>
            </w:tcBorders>
            <w:vAlign w:val="center"/>
          </w:tcPr>
          <w:p w14:paraId="4137DE1B" w14:textId="77777777" w:rsidR="00A012FF" w:rsidRPr="001E59D2" w:rsidRDefault="00A012FF" w:rsidP="002C0A18">
            <w:pPr>
              <w:jc w:val="center"/>
              <w:rPr>
                <w:rFonts w:ascii="Times" w:hAnsi="Times"/>
              </w:rPr>
            </w:pPr>
            <w:r>
              <w:rPr>
                <w:rFonts w:ascii="Times" w:hAnsi="Times"/>
              </w:rPr>
              <w:t>Variable</w:t>
            </w:r>
          </w:p>
        </w:tc>
        <w:tc>
          <w:tcPr>
            <w:tcW w:w="1337" w:type="dxa"/>
            <w:tcBorders>
              <w:top w:val="single" w:sz="4" w:space="0" w:color="auto"/>
              <w:bottom w:val="single" w:sz="4" w:space="0" w:color="auto"/>
            </w:tcBorders>
            <w:vAlign w:val="center"/>
          </w:tcPr>
          <w:p w14:paraId="17507878" w14:textId="77777777" w:rsidR="00A012FF" w:rsidRDefault="00A012FF" w:rsidP="002C0A18">
            <w:pPr>
              <w:jc w:val="center"/>
              <w:rPr>
                <w:rFonts w:ascii="Times" w:hAnsi="Times"/>
              </w:rPr>
            </w:pPr>
            <w:r>
              <w:rPr>
                <w:rFonts w:ascii="Times" w:hAnsi="Times"/>
              </w:rPr>
              <w:t>Estimate</w:t>
            </w:r>
          </w:p>
        </w:tc>
        <w:tc>
          <w:tcPr>
            <w:tcW w:w="1661" w:type="dxa"/>
            <w:tcBorders>
              <w:top w:val="single" w:sz="4" w:space="0" w:color="auto"/>
              <w:bottom w:val="single" w:sz="4" w:space="0" w:color="auto"/>
            </w:tcBorders>
            <w:vAlign w:val="center"/>
          </w:tcPr>
          <w:p w14:paraId="052A5216" w14:textId="77777777" w:rsidR="00A012FF" w:rsidRPr="001E59D2" w:rsidRDefault="00A012FF" w:rsidP="002C0A18">
            <w:pPr>
              <w:jc w:val="center"/>
              <w:rPr>
                <w:rFonts w:ascii="Times" w:hAnsi="Times"/>
              </w:rPr>
            </w:pPr>
            <w:r>
              <w:rPr>
                <w:rFonts w:ascii="Times" w:hAnsi="Times"/>
              </w:rPr>
              <w:t>Std. Error</w:t>
            </w:r>
          </w:p>
        </w:tc>
        <w:tc>
          <w:tcPr>
            <w:tcW w:w="2398" w:type="dxa"/>
            <w:tcBorders>
              <w:top w:val="single" w:sz="4" w:space="0" w:color="auto"/>
              <w:bottom w:val="single" w:sz="4" w:space="0" w:color="auto"/>
            </w:tcBorders>
            <w:vAlign w:val="center"/>
          </w:tcPr>
          <w:p w14:paraId="439BDC33" w14:textId="77777777" w:rsidR="00A012FF" w:rsidRPr="001E59D2" w:rsidRDefault="00A012FF" w:rsidP="002C0A18">
            <w:pPr>
              <w:jc w:val="center"/>
              <w:rPr>
                <w:rFonts w:ascii="Times" w:hAnsi="Times"/>
              </w:rPr>
            </w:pPr>
            <w:r w:rsidRPr="009A23FB">
              <w:rPr>
                <w:rFonts w:ascii="Times" w:hAnsi="Times"/>
                <w:i/>
                <w:iCs/>
              </w:rPr>
              <w:t>t</w:t>
            </w:r>
            <w:r>
              <w:rPr>
                <w:rFonts w:ascii="Times" w:hAnsi="Times"/>
              </w:rPr>
              <w:t xml:space="preserve"> value</w:t>
            </w:r>
          </w:p>
        </w:tc>
        <w:tc>
          <w:tcPr>
            <w:tcW w:w="1911" w:type="dxa"/>
            <w:tcBorders>
              <w:top w:val="single" w:sz="4" w:space="0" w:color="auto"/>
              <w:bottom w:val="single" w:sz="4" w:space="0" w:color="auto"/>
            </w:tcBorders>
            <w:vAlign w:val="center"/>
          </w:tcPr>
          <w:p w14:paraId="4D5B71EF" w14:textId="77777777" w:rsidR="00A012FF" w:rsidRPr="001E59D2" w:rsidRDefault="00A012FF" w:rsidP="002C0A18">
            <w:pPr>
              <w:jc w:val="center"/>
              <w:rPr>
                <w:rFonts w:ascii="Times" w:hAnsi="Times"/>
              </w:rPr>
            </w:pPr>
            <w:r w:rsidRPr="009A23FB">
              <w:rPr>
                <w:rFonts w:ascii="Times" w:hAnsi="Times"/>
                <w:i/>
                <w:iCs/>
              </w:rPr>
              <w:t>p</w:t>
            </w:r>
            <w:r>
              <w:rPr>
                <w:rFonts w:ascii="Times" w:hAnsi="Times"/>
              </w:rPr>
              <w:t xml:space="preserve"> value</w:t>
            </w:r>
          </w:p>
        </w:tc>
      </w:tr>
      <w:tr w:rsidR="00A012FF" w14:paraId="42750239" w14:textId="77777777" w:rsidTr="002C0A18">
        <w:trPr>
          <w:trHeight w:val="601"/>
          <w:jc w:val="center"/>
        </w:trPr>
        <w:tc>
          <w:tcPr>
            <w:tcW w:w="1956" w:type="dxa"/>
            <w:tcBorders>
              <w:top w:val="single" w:sz="4" w:space="0" w:color="auto"/>
            </w:tcBorders>
            <w:vAlign w:val="center"/>
          </w:tcPr>
          <w:p w14:paraId="440C3DA3"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Duration</w:t>
            </w:r>
          </w:p>
        </w:tc>
        <w:tc>
          <w:tcPr>
            <w:tcW w:w="1337" w:type="dxa"/>
            <w:tcBorders>
              <w:top w:val="single" w:sz="4" w:space="0" w:color="auto"/>
            </w:tcBorders>
            <w:vAlign w:val="center"/>
          </w:tcPr>
          <w:p w14:paraId="24A563EB"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8.19399</w:t>
            </w:r>
          </w:p>
        </w:tc>
        <w:tc>
          <w:tcPr>
            <w:tcW w:w="1661" w:type="dxa"/>
            <w:tcBorders>
              <w:top w:val="single" w:sz="4" w:space="0" w:color="auto"/>
            </w:tcBorders>
            <w:vAlign w:val="center"/>
          </w:tcPr>
          <w:p w14:paraId="77F6EFB5"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0.63414</w:t>
            </w:r>
          </w:p>
        </w:tc>
        <w:tc>
          <w:tcPr>
            <w:tcW w:w="2398" w:type="dxa"/>
            <w:tcBorders>
              <w:top w:val="single" w:sz="4" w:space="0" w:color="auto"/>
            </w:tcBorders>
            <w:vAlign w:val="center"/>
          </w:tcPr>
          <w:p w14:paraId="5756DB94"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12.9215</w:t>
            </w:r>
          </w:p>
        </w:tc>
        <w:tc>
          <w:tcPr>
            <w:tcW w:w="1911" w:type="dxa"/>
            <w:tcBorders>
              <w:top w:val="single" w:sz="4" w:space="0" w:color="auto"/>
            </w:tcBorders>
            <w:vAlign w:val="center"/>
          </w:tcPr>
          <w:p w14:paraId="3A329B1A" w14:textId="50A710E1"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&lt;</w:t>
            </w:r>
            <w:r w:rsidR="00B92839">
              <w:rPr>
                <w:rFonts w:ascii="Times" w:hAnsi="Times" w:cs="Calibri"/>
                <w:color w:val="000000"/>
                <w:sz w:val="22"/>
                <w:szCs w:val="22"/>
              </w:rPr>
              <w:t>.001</w:t>
            </w:r>
          </w:p>
        </w:tc>
      </w:tr>
      <w:tr w:rsidR="00A012FF" w14:paraId="74BCE481" w14:textId="77777777" w:rsidTr="002C0A18">
        <w:trPr>
          <w:trHeight w:val="601"/>
          <w:jc w:val="center"/>
        </w:trPr>
        <w:tc>
          <w:tcPr>
            <w:tcW w:w="1956" w:type="dxa"/>
            <w:vAlign w:val="center"/>
          </w:tcPr>
          <w:p w14:paraId="1DE30D04"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1</w:t>
            </w:r>
          </w:p>
        </w:tc>
        <w:tc>
          <w:tcPr>
            <w:tcW w:w="1337" w:type="dxa"/>
            <w:vAlign w:val="center"/>
          </w:tcPr>
          <w:p w14:paraId="2A7710CC"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13.01056</w:t>
            </w:r>
          </w:p>
        </w:tc>
        <w:tc>
          <w:tcPr>
            <w:tcW w:w="1661" w:type="dxa"/>
            <w:vAlign w:val="center"/>
          </w:tcPr>
          <w:p w14:paraId="34CC1A62"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12.40031</w:t>
            </w:r>
          </w:p>
        </w:tc>
        <w:tc>
          <w:tcPr>
            <w:tcW w:w="2398" w:type="dxa"/>
            <w:vAlign w:val="center"/>
          </w:tcPr>
          <w:p w14:paraId="151CE4E4"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1.0492</w:t>
            </w:r>
          </w:p>
        </w:tc>
        <w:tc>
          <w:tcPr>
            <w:tcW w:w="1911" w:type="dxa"/>
            <w:vAlign w:val="center"/>
          </w:tcPr>
          <w:p w14:paraId="1085B6A7" w14:textId="22B812B4" w:rsidR="00A012FF" w:rsidRPr="000A5EAF" w:rsidRDefault="00B92839" w:rsidP="002C0A18">
            <w:pPr>
              <w:jc w:val="center"/>
              <w:rPr>
                <w:rFonts w:ascii="Times" w:hAnsi="Times"/>
                <w:sz w:val="22"/>
                <w:szCs w:val="22"/>
              </w:rPr>
            </w:pPr>
            <w:r>
              <w:rPr>
                <w:rFonts w:ascii="Times" w:hAnsi="Times" w:cs="Calibri"/>
                <w:color w:val="000000"/>
                <w:sz w:val="22"/>
                <w:szCs w:val="22"/>
              </w:rPr>
              <w:t>.</w:t>
            </w:r>
            <w:r w:rsidR="00A012FF" w:rsidRPr="000A5EAF">
              <w:rPr>
                <w:rFonts w:ascii="Times" w:hAnsi="Times" w:cs="Calibri"/>
                <w:color w:val="000000"/>
                <w:sz w:val="22"/>
                <w:szCs w:val="22"/>
              </w:rPr>
              <w:t>295</w:t>
            </w:r>
          </w:p>
        </w:tc>
      </w:tr>
      <w:tr w:rsidR="00A012FF" w14:paraId="00A8B880" w14:textId="77777777" w:rsidTr="002C0A18">
        <w:trPr>
          <w:trHeight w:val="558"/>
          <w:jc w:val="center"/>
        </w:trPr>
        <w:tc>
          <w:tcPr>
            <w:tcW w:w="1956" w:type="dxa"/>
            <w:vAlign w:val="center"/>
          </w:tcPr>
          <w:p w14:paraId="0D971FC7"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2</w:t>
            </w:r>
          </w:p>
        </w:tc>
        <w:tc>
          <w:tcPr>
            <w:tcW w:w="1337" w:type="dxa"/>
            <w:vAlign w:val="center"/>
          </w:tcPr>
          <w:p w14:paraId="79AAD2F5"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15.05356</w:t>
            </w:r>
          </w:p>
        </w:tc>
        <w:tc>
          <w:tcPr>
            <w:tcW w:w="1661" w:type="dxa"/>
            <w:vAlign w:val="center"/>
          </w:tcPr>
          <w:p w14:paraId="296BEDA7"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12.23870</w:t>
            </w:r>
          </w:p>
        </w:tc>
        <w:tc>
          <w:tcPr>
            <w:tcW w:w="2398" w:type="dxa"/>
            <w:vAlign w:val="center"/>
          </w:tcPr>
          <w:p w14:paraId="2C88E1D5"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1.2300</w:t>
            </w:r>
          </w:p>
        </w:tc>
        <w:tc>
          <w:tcPr>
            <w:tcW w:w="1911" w:type="dxa"/>
            <w:vAlign w:val="center"/>
          </w:tcPr>
          <w:p w14:paraId="1A4C6AC5" w14:textId="2169DC25" w:rsidR="00A012FF" w:rsidRPr="000A5EAF" w:rsidRDefault="00A012FF" w:rsidP="002C0A18">
            <w:pPr>
              <w:jc w:val="center"/>
              <w:rPr>
                <w:rFonts w:ascii="Times" w:hAnsi="Times"/>
                <w:sz w:val="22"/>
                <w:szCs w:val="22"/>
              </w:rPr>
            </w:pPr>
            <w:r w:rsidRPr="000A5EAF">
              <w:rPr>
                <w:rFonts w:ascii="Times" w:hAnsi="Times" w:cs="Calibri"/>
                <w:color w:val="000000"/>
                <w:sz w:val="22"/>
                <w:szCs w:val="22"/>
              </w:rPr>
              <w:t>.2</w:t>
            </w:r>
            <w:r w:rsidR="00B92839">
              <w:rPr>
                <w:rFonts w:ascii="Times" w:hAnsi="Times" w:cs="Calibri"/>
                <w:color w:val="000000"/>
                <w:sz w:val="22"/>
                <w:szCs w:val="22"/>
              </w:rPr>
              <w:t>20</w:t>
            </w:r>
          </w:p>
        </w:tc>
      </w:tr>
      <w:tr w:rsidR="00A012FF" w14:paraId="64D7A617" w14:textId="77777777" w:rsidTr="002C0A18">
        <w:trPr>
          <w:trHeight w:val="558"/>
          <w:jc w:val="center"/>
        </w:trPr>
        <w:tc>
          <w:tcPr>
            <w:tcW w:w="1956" w:type="dxa"/>
            <w:vAlign w:val="center"/>
          </w:tcPr>
          <w:p w14:paraId="63BAAB10"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3</w:t>
            </w:r>
          </w:p>
        </w:tc>
        <w:tc>
          <w:tcPr>
            <w:tcW w:w="1337" w:type="dxa"/>
            <w:vAlign w:val="center"/>
          </w:tcPr>
          <w:p w14:paraId="0B41773C"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17.18482</w:t>
            </w:r>
          </w:p>
        </w:tc>
        <w:tc>
          <w:tcPr>
            <w:tcW w:w="1661" w:type="dxa"/>
            <w:vAlign w:val="center"/>
          </w:tcPr>
          <w:p w14:paraId="6987DF62"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12.52762</w:t>
            </w:r>
          </w:p>
        </w:tc>
        <w:tc>
          <w:tcPr>
            <w:tcW w:w="2398" w:type="dxa"/>
            <w:vAlign w:val="center"/>
          </w:tcPr>
          <w:p w14:paraId="1C91A159"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1.3718</w:t>
            </w:r>
          </w:p>
        </w:tc>
        <w:tc>
          <w:tcPr>
            <w:tcW w:w="1911" w:type="dxa"/>
            <w:vAlign w:val="center"/>
          </w:tcPr>
          <w:p w14:paraId="19E798A5" w14:textId="5DACC880" w:rsidR="00A012FF" w:rsidRPr="000A5EAF" w:rsidRDefault="00A012FF" w:rsidP="002C0A18">
            <w:pPr>
              <w:jc w:val="center"/>
              <w:rPr>
                <w:rFonts w:ascii="Times" w:hAnsi="Times"/>
                <w:sz w:val="22"/>
                <w:szCs w:val="22"/>
              </w:rPr>
            </w:pPr>
            <w:r w:rsidRPr="000A5EAF">
              <w:rPr>
                <w:rFonts w:ascii="Times" w:hAnsi="Times"/>
                <w:sz w:val="22"/>
                <w:szCs w:val="22"/>
              </w:rPr>
              <w:t>.171</w:t>
            </w:r>
          </w:p>
        </w:tc>
      </w:tr>
      <w:tr w:rsidR="00A012FF" w14:paraId="439AE116" w14:textId="77777777" w:rsidTr="002C0A18">
        <w:trPr>
          <w:trHeight w:val="558"/>
          <w:jc w:val="center"/>
        </w:trPr>
        <w:tc>
          <w:tcPr>
            <w:tcW w:w="1956" w:type="dxa"/>
            <w:vAlign w:val="center"/>
          </w:tcPr>
          <w:p w14:paraId="400BAA61"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4</w:t>
            </w:r>
          </w:p>
        </w:tc>
        <w:tc>
          <w:tcPr>
            <w:tcW w:w="1337" w:type="dxa"/>
            <w:vAlign w:val="center"/>
          </w:tcPr>
          <w:p w14:paraId="1A9425E7"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8.75922</w:t>
            </w:r>
          </w:p>
        </w:tc>
        <w:tc>
          <w:tcPr>
            <w:tcW w:w="1661" w:type="dxa"/>
            <w:vAlign w:val="center"/>
          </w:tcPr>
          <w:p w14:paraId="407EE084"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12.68658</w:t>
            </w:r>
          </w:p>
        </w:tc>
        <w:tc>
          <w:tcPr>
            <w:tcW w:w="2398" w:type="dxa"/>
            <w:vAlign w:val="center"/>
          </w:tcPr>
          <w:p w14:paraId="5E77FA5F"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0.6904</w:t>
            </w:r>
          </w:p>
        </w:tc>
        <w:tc>
          <w:tcPr>
            <w:tcW w:w="1911" w:type="dxa"/>
            <w:vAlign w:val="center"/>
          </w:tcPr>
          <w:p w14:paraId="3BCD0739" w14:textId="0A6788F2" w:rsidR="00A012FF" w:rsidRPr="000A5EAF" w:rsidRDefault="00A012FF" w:rsidP="002C0A18">
            <w:pPr>
              <w:jc w:val="center"/>
              <w:rPr>
                <w:rFonts w:ascii="Times" w:hAnsi="Times"/>
                <w:sz w:val="22"/>
                <w:szCs w:val="22"/>
              </w:rPr>
            </w:pPr>
            <w:r w:rsidRPr="000A5EAF">
              <w:rPr>
                <w:rFonts w:ascii="Times" w:hAnsi="Times"/>
                <w:sz w:val="22"/>
                <w:szCs w:val="22"/>
              </w:rPr>
              <w:t>.49</w:t>
            </w:r>
            <w:r w:rsidR="00B92839">
              <w:rPr>
                <w:rFonts w:ascii="Times" w:hAnsi="Times"/>
                <w:sz w:val="22"/>
                <w:szCs w:val="22"/>
              </w:rPr>
              <w:t>1</w:t>
            </w:r>
          </w:p>
        </w:tc>
      </w:tr>
      <w:tr w:rsidR="00A012FF" w14:paraId="61AD4F1B" w14:textId="77777777" w:rsidTr="002C0A18">
        <w:trPr>
          <w:trHeight w:val="558"/>
          <w:jc w:val="center"/>
        </w:trPr>
        <w:tc>
          <w:tcPr>
            <w:tcW w:w="1956" w:type="dxa"/>
            <w:vAlign w:val="center"/>
          </w:tcPr>
          <w:p w14:paraId="27B9D87E"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5</w:t>
            </w:r>
          </w:p>
        </w:tc>
        <w:tc>
          <w:tcPr>
            <w:tcW w:w="1337" w:type="dxa"/>
            <w:vAlign w:val="center"/>
          </w:tcPr>
          <w:p w14:paraId="1FB328E6"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35.37714</w:t>
            </w:r>
          </w:p>
        </w:tc>
        <w:tc>
          <w:tcPr>
            <w:tcW w:w="1661" w:type="dxa"/>
            <w:vAlign w:val="center"/>
          </w:tcPr>
          <w:p w14:paraId="3734D234"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12.23368</w:t>
            </w:r>
          </w:p>
        </w:tc>
        <w:tc>
          <w:tcPr>
            <w:tcW w:w="2398" w:type="dxa"/>
            <w:vAlign w:val="center"/>
          </w:tcPr>
          <w:p w14:paraId="0070D5C8"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2.8918</w:t>
            </w:r>
          </w:p>
        </w:tc>
        <w:tc>
          <w:tcPr>
            <w:tcW w:w="1911" w:type="dxa"/>
            <w:vAlign w:val="center"/>
          </w:tcPr>
          <w:p w14:paraId="03C618AD" w14:textId="17C45E61" w:rsidR="00A012FF" w:rsidRPr="000A5EAF" w:rsidRDefault="00A012FF" w:rsidP="002C0A18">
            <w:pPr>
              <w:jc w:val="center"/>
              <w:rPr>
                <w:rFonts w:ascii="Times" w:hAnsi="Times"/>
                <w:sz w:val="22"/>
                <w:szCs w:val="22"/>
              </w:rPr>
            </w:pPr>
            <w:r w:rsidRPr="000A5EAF">
              <w:rPr>
                <w:rFonts w:ascii="Times" w:hAnsi="Times"/>
                <w:sz w:val="22"/>
                <w:szCs w:val="22"/>
              </w:rPr>
              <w:t>.004</w:t>
            </w:r>
          </w:p>
        </w:tc>
      </w:tr>
      <w:tr w:rsidR="00A012FF" w14:paraId="7887C29C" w14:textId="77777777" w:rsidTr="002C0A18">
        <w:trPr>
          <w:trHeight w:val="601"/>
          <w:jc w:val="center"/>
        </w:trPr>
        <w:tc>
          <w:tcPr>
            <w:tcW w:w="1956" w:type="dxa"/>
            <w:vAlign w:val="center"/>
          </w:tcPr>
          <w:p w14:paraId="50C0B53A"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6</w:t>
            </w:r>
          </w:p>
        </w:tc>
        <w:tc>
          <w:tcPr>
            <w:tcW w:w="1337" w:type="dxa"/>
            <w:vAlign w:val="center"/>
          </w:tcPr>
          <w:p w14:paraId="0BF55AAC"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17.36127</w:t>
            </w:r>
          </w:p>
        </w:tc>
        <w:tc>
          <w:tcPr>
            <w:tcW w:w="1661" w:type="dxa"/>
            <w:vAlign w:val="center"/>
          </w:tcPr>
          <w:p w14:paraId="5EA441D6"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12.99183</w:t>
            </w:r>
          </w:p>
        </w:tc>
        <w:tc>
          <w:tcPr>
            <w:tcW w:w="2398" w:type="dxa"/>
            <w:vAlign w:val="center"/>
          </w:tcPr>
          <w:p w14:paraId="5E7EA846"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1.3363</w:t>
            </w:r>
          </w:p>
        </w:tc>
        <w:tc>
          <w:tcPr>
            <w:tcW w:w="1911" w:type="dxa"/>
            <w:vAlign w:val="center"/>
          </w:tcPr>
          <w:p w14:paraId="3C0A7719" w14:textId="29084CAD" w:rsidR="00A012FF" w:rsidRPr="000A5EAF" w:rsidRDefault="00A012FF" w:rsidP="002C0A18">
            <w:pPr>
              <w:jc w:val="center"/>
              <w:rPr>
                <w:rFonts w:ascii="Times" w:hAnsi="Times"/>
                <w:sz w:val="22"/>
                <w:szCs w:val="22"/>
              </w:rPr>
            </w:pPr>
            <w:r w:rsidRPr="000A5EAF">
              <w:rPr>
                <w:rFonts w:ascii="Times" w:hAnsi="Times"/>
                <w:sz w:val="22"/>
                <w:szCs w:val="22"/>
              </w:rPr>
              <w:t>.18</w:t>
            </w:r>
            <w:r w:rsidR="00B92839">
              <w:rPr>
                <w:rFonts w:ascii="Times" w:hAnsi="Times"/>
                <w:sz w:val="22"/>
                <w:szCs w:val="22"/>
              </w:rPr>
              <w:t>3</w:t>
            </w:r>
          </w:p>
        </w:tc>
      </w:tr>
      <w:tr w:rsidR="00A012FF" w14:paraId="4A56C1C3" w14:textId="77777777" w:rsidTr="002C0A18">
        <w:trPr>
          <w:trHeight w:val="558"/>
          <w:jc w:val="center"/>
        </w:trPr>
        <w:tc>
          <w:tcPr>
            <w:tcW w:w="1956" w:type="dxa"/>
            <w:vAlign w:val="center"/>
          </w:tcPr>
          <w:p w14:paraId="0B41D449"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7</w:t>
            </w:r>
          </w:p>
        </w:tc>
        <w:tc>
          <w:tcPr>
            <w:tcW w:w="1337" w:type="dxa"/>
            <w:vAlign w:val="center"/>
          </w:tcPr>
          <w:p w14:paraId="7779A080"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17.66819</w:t>
            </w:r>
          </w:p>
        </w:tc>
        <w:tc>
          <w:tcPr>
            <w:tcW w:w="1661" w:type="dxa"/>
            <w:vAlign w:val="center"/>
          </w:tcPr>
          <w:p w14:paraId="100F403F"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12.37506</w:t>
            </w:r>
          </w:p>
        </w:tc>
        <w:tc>
          <w:tcPr>
            <w:tcW w:w="2398" w:type="dxa"/>
            <w:vAlign w:val="center"/>
          </w:tcPr>
          <w:p w14:paraId="34205A2C"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1.4277</w:t>
            </w:r>
          </w:p>
        </w:tc>
        <w:tc>
          <w:tcPr>
            <w:tcW w:w="1911" w:type="dxa"/>
            <w:vAlign w:val="center"/>
          </w:tcPr>
          <w:p w14:paraId="5830270B" w14:textId="32365886" w:rsidR="00A012FF" w:rsidRPr="000A5EAF" w:rsidRDefault="00A012FF" w:rsidP="002C0A18">
            <w:pPr>
              <w:jc w:val="center"/>
              <w:rPr>
                <w:rFonts w:ascii="Times" w:hAnsi="Times"/>
                <w:sz w:val="22"/>
                <w:szCs w:val="22"/>
              </w:rPr>
            </w:pPr>
            <w:r w:rsidRPr="000A5EAF">
              <w:rPr>
                <w:rFonts w:ascii="Times" w:hAnsi="Times"/>
                <w:sz w:val="22"/>
                <w:szCs w:val="22"/>
              </w:rPr>
              <w:t>.15</w:t>
            </w:r>
            <w:r w:rsidR="00B92839">
              <w:rPr>
                <w:rFonts w:ascii="Times" w:hAnsi="Times"/>
                <w:sz w:val="22"/>
                <w:szCs w:val="22"/>
              </w:rPr>
              <w:t>5</w:t>
            </w:r>
          </w:p>
        </w:tc>
      </w:tr>
      <w:tr w:rsidR="00A012FF" w14:paraId="445F96B0" w14:textId="77777777" w:rsidTr="002C0A18">
        <w:trPr>
          <w:trHeight w:val="558"/>
          <w:jc w:val="center"/>
        </w:trPr>
        <w:tc>
          <w:tcPr>
            <w:tcW w:w="1956" w:type="dxa"/>
            <w:vAlign w:val="center"/>
          </w:tcPr>
          <w:p w14:paraId="7D543DD6"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8</w:t>
            </w:r>
          </w:p>
        </w:tc>
        <w:tc>
          <w:tcPr>
            <w:tcW w:w="1337" w:type="dxa"/>
            <w:vAlign w:val="center"/>
          </w:tcPr>
          <w:p w14:paraId="23D53F71"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-3.18159</w:t>
            </w:r>
          </w:p>
        </w:tc>
        <w:tc>
          <w:tcPr>
            <w:tcW w:w="1661" w:type="dxa"/>
            <w:vAlign w:val="center"/>
          </w:tcPr>
          <w:p w14:paraId="46EF9FE7"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13.91030</w:t>
            </w:r>
          </w:p>
        </w:tc>
        <w:tc>
          <w:tcPr>
            <w:tcW w:w="2398" w:type="dxa"/>
            <w:vAlign w:val="center"/>
          </w:tcPr>
          <w:p w14:paraId="71D63030"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-0.2287</w:t>
            </w:r>
          </w:p>
        </w:tc>
        <w:tc>
          <w:tcPr>
            <w:tcW w:w="1911" w:type="dxa"/>
            <w:vAlign w:val="center"/>
          </w:tcPr>
          <w:p w14:paraId="4103A862" w14:textId="219261DC" w:rsidR="00A012FF" w:rsidRPr="000A5EAF" w:rsidRDefault="00A012FF" w:rsidP="002C0A18">
            <w:pPr>
              <w:jc w:val="center"/>
              <w:rPr>
                <w:rFonts w:ascii="Times" w:hAnsi="Times"/>
                <w:sz w:val="22"/>
                <w:szCs w:val="22"/>
              </w:rPr>
            </w:pPr>
            <w:r w:rsidRPr="000A5EAF">
              <w:rPr>
                <w:rFonts w:ascii="Times" w:hAnsi="Times"/>
                <w:sz w:val="22"/>
                <w:szCs w:val="22"/>
              </w:rPr>
              <w:t>.819</w:t>
            </w:r>
          </w:p>
        </w:tc>
      </w:tr>
      <w:tr w:rsidR="00A012FF" w14:paraId="1F426AE0" w14:textId="77777777" w:rsidTr="002C0A18">
        <w:trPr>
          <w:trHeight w:val="515"/>
          <w:jc w:val="center"/>
        </w:trPr>
        <w:tc>
          <w:tcPr>
            <w:tcW w:w="1956" w:type="dxa"/>
            <w:vAlign w:val="center"/>
          </w:tcPr>
          <w:p w14:paraId="2224A4AC"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9</w:t>
            </w:r>
          </w:p>
        </w:tc>
        <w:tc>
          <w:tcPr>
            <w:tcW w:w="1337" w:type="dxa"/>
            <w:vAlign w:val="center"/>
          </w:tcPr>
          <w:p w14:paraId="72CE1FF1"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15.61114</w:t>
            </w:r>
          </w:p>
        </w:tc>
        <w:tc>
          <w:tcPr>
            <w:tcW w:w="1661" w:type="dxa"/>
            <w:vAlign w:val="center"/>
          </w:tcPr>
          <w:p w14:paraId="68AC4900"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13.11785</w:t>
            </w:r>
          </w:p>
        </w:tc>
        <w:tc>
          <w:tcPr>
            <w:tcW w:w="2398" w:type="dxa"/>
            <w:vAlign w:val="center"/>
          </w:tcPr>
          <w:p w14:paraId="347966EF"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1.1901</w:t>
            </w:r>
          </w:p>
        </w:tc>
        <w:tc>
          <w:tcPr>
            <w:tcW w:w="1911" w:type="dxa"/>
            <w:vAlign w:val="center"/>
          </w:tcPr>
          <w:p w14:paraId="306EA1D0" w14:textId="49B5391D" w:rsidR="00A012FF" w:rsidRPr="000A5EAF" w:rsidRDefault="00A012FF" w:rsidP="002C0A18">
            <w:pPr>
              <w:jc w:val="center"/>
              <w:rPr>
                <w:rFonts w:ascii="Times" w:hAnsi="Times"/>
                <w:sz w:val="22"/>
                <w:szCs w:val="22"/>
              </w:rPr>
            </w:pPr>
            <w:r w:rsidRPr="000A5EAF">
              <w:rPr>
                <w:rFonts w:ascii="Times" w:hAnsi="Times"/>
                <w:sz w:val="22"/>
                <w:szCs w:val="22"/>
              </w:rPr>
              <w:t>.235</w:t>
            </w:r>
          </w:p>
        </w:tc>
      </w:tr>
      <w:tr w:rsidR="00A012FF" w14:paraId="1F54C3CF" w14:textId="77777777" w:rsidTr="002C0A18">
        <w:trPr>
          <w:trHeight w:val="601"/>
          <w:jc w:val="center"/>
        </w:trPr>
        <w:tc>
          <w:tcPr>
            <w:tcW w:w="1956" w:type="dxa"/>
            <w:vAlign w:val="center"/>
          </w:tcPr>
          <w:p w14:paraId="520AE3B3"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10</w:t>
            </w:r>
          </w:p>
        </w:tc>
        <w:tc>
          <w:tcPr>
            <w:tcW w:w="1337" w:type="dxa"/>
            <w:vAlign w:val="center"/>
          </w:tcPr>
          <w:p w14:paraId="06CE1915"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23.58843</w:t>
            </w:r>
          </w:p>
        </w:tc>
        <w:tc>
          <w:tcPr>
            <w:tcW w:w="1661" w:type="dxa"/>
            <w:vAlign w:val="center"/>
          </w:tcPr>
          <w:p w14:paraId="2BA4DFF2"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13.32781</w:t>
            </w:r>
          </w:p>
        </w:tc>
        <w:tc>
          <w:tcPr>
            <w:tcW w:w="2398" w:type="dxa"/>
            <w:vAlign w:val="center"/>
          </w:tcPr>
          <w:p w14:paraId="6F300BEC"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1.7699</w:t>
            </w:r>
          </w:p>
        </w:tc>
        <w:tc>
          <w:tcPr>
            <w:tcW w:w="1911" w:type="dxa"/>
            <w:vAlign w:val="center"/>
          </w:tcPr>
          <w:p w14:paraId="214641BD" w14:textId="1CD4F410" w:rsidR="00A012FF" w:rsidRPr="000A5EAF" w:rsidRDefault="00A012FF" w:rsidP="002C0A18">
            <w:pPr>
              <w:jc w:val="center"/>
              <w:rPr>
                <w:rFonts w:ascii="Times" w:hAnsi="Times"/>
                <w:sz w:val="22"/>
                <w:szCs w:val="22"/>
              </w:rPr>
            </w:pPr>
            <w:r w:rsidRPr="000A5EAF">
              <w:rPr>
                <w:rFonts w:ascii="Times" w:hAnsi="Times"/>
                <w:sz w:val="22"/>
                <w:szCs w:val="22"/>
              </w:rPr>
              <w:t>.0</w:t>
            </w:r>
            <w:r w:rsidR="00B92839">
              <w:rPr>
                <w:rFonts w:ascii="Times" w:hAnsi="Times"/>
                <w:sz w:val="22"/>
                <w:szCs w:val="22"/>
              </w:rPr>
              <w:t>78</w:t>
            </w:r>
          </w:p>
        </w:tc>
      </w:tr>
      <w:tr w:rsidR="00A012FF" w14:paraId="4429AA02" w14:textId="77777777" w:rsidTr="002C0A18">
        <w:trPr>
          <w:trHeight w:val="558"/>
          <w:jc w:val="center"/>
        </w:trPr>
        <w:tc>
          <w:tcPr>
            <w:tcW w:w="1956" w:type="dxa"/>
            <w:vAlign w:val="center"/>
          </w:tcPr>
          <w:p w14:paraId="11E88F01"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11</w:t>
            </w:r>
          </w:p>
        </w:tc>
        <w:tc>
          <w:tcPr>
            <w:tcW w:w="1337" w:type="dxa"/>
            <w:vAlign w:val="center"/>
          </w:tcPr>
          <w:p w14:paraId="21C2D2B0"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-8.63871</w:t>
            </w:r>
          </w:p>
        </w:tc>
        <w:tc>
          <w:tcPr>
            <w:tcW w:w="1661" w:type="dxa"/>
            <w:vAlign w:val="center"/>
          </w:tcPr>
          <w:p w14:paraId="4A195BB1"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13.59454</w:t>
            </w:r>
          </w:p>
        </w:tc>
        <w:tc>
          <w:tcPr>
            <w:tcW w:w="2398" w:type="dxa"/>
            <w:vAlign w:val="center"/>
          </w:tcPr>
          <w:p w14:paraId="49DF6027"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-0.6355</w:t>
            </w:r>
          </w:p>
        </w:tc>
        <w:tc>
          <w:tcPr>
            <w:tcW w:w="1911" w:type="dxa"/>
            <w:vAlign w:val="center"/>
          </w:tcPr>
          <w:p w14:paraId="1978A39E" w14:textId="16F37847" w:rsidR="00A012FF" w:rsidRPr="000A5EAF" w:rsidRDefault="00A012FF" w:rsidP="002C0A18">
            <w:pPr>
              <w:jc w:val="center"/>
              <w:rPr>
                <w:rFonts w:ascii="Times" w:hAnsi="Times"/>
                <w:sz w:val="22"/>
                <w:szCs w:val="22"/>
              </w:rPr>
            </w:pPr>
            <w:r w:rsidRPr="000A5EAF">
              <w:rPr>
                <w:rFonts w:ascii="Times" w:hAnsi="Times"/>
                <w:sz w:val="22"/>
                <w:szCs w:val="22"/>
              </w:rPr>
              <w:t>.52</w:t>
            </w:r>
            <w:r w:rsidR="00B92839">
              <w:rPr>
                <w:rFonts w:ascii="Times" w:hAnsi="Times"/>
                <w:sz w:val="22"/>
                <w:szCs w:val="22"/>
              </w:rPr>
              <w:t>6</w:t>
            </w:r>
          </w:p>
        </w:tc>
      </w:tr>
      <w:tr w:rsidR="00A012FF" w14:paraId="3CD63627" w14:textId="77777777" w:rsidTr="002C0A18">
        <w:trPr>
          <w:trHeight w:val="558"/>
          <w:jc w:val="center"/>
        </w:trPr>
        <w:tc>
          <w:tcPr>
            <w:tcW w:w="1956" w:type="dxa"/>
            <w:vAlign w:val="center"/>
          </w:tcPr>
          <w:p w14:paraId="0D6BDEC1"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12</w:t>
            </w:r>
          </w:p>
        </w:tc>
        <w:tc>
          <w:tcPr>
            <w:tcW w:w="1337" w:type="dxa"/>
            <w:vAlign w:val="center"/>
          </w:tcPr>
          <w:p w14:paraId="7E4D4549"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4.27340</w:t>
            </w:r>
          </w:p>
        </w:tc>
        <w:tc>
          <w:tcPr>
            <w:tcW w:w="1661" w:type="dxa"/>
            <w:vAlign w:val="center"/>
          </w:tcPr>
          <w:p w14:paraId="7568040B"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28.08772</w:t>
            </w:r>
          </w:p>
        </w:tc>
        <w:tc>
          <w:tcPr>
            <w:tcW w:w="2398" w:type="dxa"/>
            <w:vAlign w:val="center"/>
          </w:tcPr>
          <w:p w14:paraId="32700405"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0.1521</w:t>
            </w:r>
          </w:p>
        </w:tc>
        <w:tc>
          <w:tcPr>
            <w:tcW w:w="1911" w:type="dxa"/>
            <w:vAlign w:val="center"/>
          </w:tcPr>
          <w:p w14:paraId="0E570E8F" w14:textId="2281B19F" w:rsidR="00A012FF" w:rsidRPr="000A5EAF" w:rsidRDefault="00A012FF" w:rsidP="002C0A18">
            <w:pPr>
              <w:jc w:val="center"/>
              <w:rPr>
                <w:rFonts w:ascii="Times" w:hAnsi="Times"/>
                <w:sz w:val="22"/>
                <w:szCs w:val="22"/>
              </w:rPr>
            </w:pPr>
            <w:r w:rsidRPr="000A5EAF">
              <w:rPr>
                <w:rFonts w:ascii="Times" w:hAnsi="Times"/>
                <w:sz w:val="22"/>
                <w:szCs w:val="22"/>
              </w:rPr>
              <w:t>.879</w:t>
            </w:r>
          </w:p>
        </w:tc>
      </w:tr>
      <w:tr w:rsidR="00A012FF" w14:paraId="0D1F6869" w14:textId="77777777" w:rsidTr="002C0A18">
        <w:trPr>
          <w:trHeight w:val="558"/>
          <w:jc w:val="center"/>
        </w:trPr>
        <w:tc>
          <w:tcPr>
            <w:tcW w:w="1956" w:type="dxa"/>
            <w:vAlign w:val="center"/>
          </w:tcPr>
          <w:p w14:paraId="00E84479"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lastRenderedPageBreak/>
              <w:t>Player 13</w:t>
            </w:r>
          </w:p>
        </w:tc>
        <w:tc>
          <w:tcPr>
            <w:tcW w:w="1337" w:type="dxa"/>
            <w:vAlign w:val="center"/>
          </w:tcPr>
          <w:p w14:paraId="69978250"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4.14337</w:t>
            </w:r>
          </w:p>
        </w:tc>
        <w:tc>
          <w:tcPr>
            <w:tcW w:w="1661" w:type="dxa"/>
            <w:vAlign w:val="center"/>
          </w:tcPr>
          <w:p w14:paraId="746F2548"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13.11193</w:t>
            </w:r>
          </w:p>
        </w:tc>
        <w:tc>
          <w:tcPr>
            <w:tcW w:w="2398" w:type="dxa"/>
            <w:vAlign w:val="center"/>
          </w:tcPr>
          <w:p w14:paraId="66F627E0"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0.3160</w:t>
            </w:r>
          </w:p>
        </w:tc>
        <w:tc>
          <w:tcPr>
            <w:tcW w:w="1911" w:type="dxa"/>
            <w:vAlign w:val="center"/>
          </w:tcPr>
          <w:p w14:paraId="0C64ABCC" w14:textId="18A4D1F7" w:rsidR="00A012FF" w:rsidRPr="000A5EAF" w:rsidRDefault="00A012FF" w:rsidP="002C0A18">
            <w:pPr>
              <w:jc w:val="center"/>
              <w:rPr>
                <w:rFonts w:ascii="Times" w:hAnsi="Times"/>
                <w:sz w:val="22"/>
                <w:szCs w:val="22"/>
              </w:rPr>
            </w:pPr>
            <w:r w:rsidRPr="000A5EAF">
              <w:rPr>
                <w:rFonts w:ascii="Times" w:hAnsi="Times"/>
                <w:sz w:val="22"/>
                <w:szCs w:val="22"/>
              </w:rPr>
              <w:t>.752</w:t>
            </w:r>
          </w:p>
        </w:tc>
      </w:tr>
      <w:tr w:rsidR="00A012FF" w14:paraId="44AE02C5" w14:textId="77777777" w:rsidTr="002C0A18">
        <w:trPr>
          <w:trHeight w:val="558"/>
          <w:jc w:val="center"/>
        </w:trPr>
        <w:tc>
          <w:tcPr>
            <w:tcW w:w="1956" w:type="dxa"/>
            <w:vAlign w:val="center"/>
          </w:tcPr>
          <w:p w14:paraId="08F53992"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14</w:t>
            </w:r>
          </w:p>
        </w:tc>
        <w:tc>
          <w:tcPr>
            <w:tcW w:w="1337" w:type="dxa"/>
            <w:vAlign w:val="center"/>
          </w:tcPr>
          <w:p w14:paraId="42AE5D12"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13.48540</w:t>
            </w:r>
          </w:p>
        </w:tc>
        <w:tc>
          <w:tcPr>
            <w:tcW w:w="1661" w:type="dxa"/>
            <w:vAlign w:val="center"/>
          </w:tcPr>
          <w:p w14:paraId="36355CDF"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12.65384</w:t>
            </w:r>
          </w:p>
        </w:tc>
        <w:tc>
          <w:tcPr>
            <w:tcW w:w="2398" w:type="dxa"/>
            <w:vAlign w:val="center"/>
          </w:tcPr>
          <w:p w14:paraId="3838AEFA"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1.066</w:t>
            </w:r>
          </w:p>
        </w:tc>
        <w:tc>
          <w:tcPr>
            <w:tcW w:w="1911" w:type="dxa"/>
            <w:vAlign w:val="center"/>
          </w:tcPr>
          <w:p w14:paraId="719D9019" w14:textId="0617B31F" w:rsidR="00A012FF" w:rsidRPr="000A5EAF" w:rsidRDefault="00A012FF" w:rsidP="002C0A18">
            <w:pPr>
              <w:jc w:val="center"/>
              <w:rPr>
                <w:rFonts w:ascii="Times" w:hAnsi="Times"/>
                <w:sz w:val="22"/>
                <w:szCs w:val="22"/>
              </w:rPr>
            </w:pPr>
            <w:r w:rsidRPr="000A5EAF">
              <w:rPr>
                <w:rFonts w:ascii="Times" w:hAnsi="Times"/>
                <w:sz w:val="22"/>
                <w:szCs w:val="22"/>
              </w:rPr>
              <w:t>.287</w:t>
            </w:r>
          </w:p>
        </w:tc>
      </w:tr>
      <w:tr w:rsidR="00A012FF" w14:paraId="1FA17C95" w14:textId="77777777" w:rsidTr="002C0A18">
        <w:trPr>
          <w:trHeight w:val="558"/>
          <w:jc w:val="center"/>
        </w:trPr>
        <w:tc>
          <w:tcPr>
            <w:tcW w:w="1956" w:type="dxa"/>
            <w:vAlign w:val="center"/>
          </w:tcPr>
          <w:p w14:paraId="62AD2AC9" w14:textId="77777777" w:rsidR="00A012FF" w:rsidRPr="000A5EAF" w:rsidRDefault="00A012FF" w:rsidP="002C0A18">
            <w:pPr>
              <w:jc w:val="center"/>
              <w:rPr>
                <w:rFonts w:ascii="Times" w:hAnsi="Times"/>
                <w:sz w:val="22"/>
                <w:szCs w:val="22"/>
              </w:rPr>
            </w:pPr>
            <w:r w:rsidRPr="000A5EAF">
              <w:rPr>
                <w:rFonts w:ascii="Times" w:hAnsi="Times" w:cs="Calibri"/>
                <w:color w:val="000000"/>
                <w:sz w:val="22"/>
                <w:szCs w:val="22"/>
              </w:rPr>
              <w:t>Player 15</w:t>
            </w:r>
          </w:p>
        </w:tc>
        <w:tc>
          <w:tcPr>
            <w:tcW w:w="1337" w:type="dxa"/>
            <w:vAlign w:val="center"/>
          </w:tcPr>
          <w:p w14:paraId="284F5E74"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-4.11448</w:t>
            </w:r>
          </w:p>
        </w:tc>
        <w:tc>
          <w:tcPr>
            <w:tcW w:w="1661" w:type="dxa"/>
            <w:vAlign w:val="center"/>
          </w:tcPr>
          <w:p w14:paraId="07E73E2B"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12.35464</w:t>
            </w:r>
          </w:p>
        </w:tc>
        <w:tc>
          <w:tcPr>
            <w:tcW w:w="2398" w:type="dxa"/>
            <w:vAlign w:val="center"/>
          </w:tcPr>
          <w:p w14:paraId="4D48A9AC" w14:textId="77777777" w:rsidR="00A012FF" w:rsidRPr="000A5EAF" w:rsidRDefault="00A012FF" w:rsidP="002C0A18">
            <w:pPr>
              <w:jc w:val="center"/>
              <w:rPr>
                <w:rFonts w:ascii="Times" w:hAnsi="Times" w:cs="Calibri"/>
                <w:color w:val="000000"/>
                <w:sz w:val="22"/>
                <w:szCs w:val="22"/>
              </w:rPr>
            </w:pPr>
            <w:r w:rsidRPr="000A5EAF">
              <w:rPr>
                <w:rFonts w:ascii="Times" w:hAnsi="Times" w:cs="Calibri"/>
                <w:color w:val="000000"/>
                <w:sz w:val="22"/>
                <w:szCs w:val="22"/>
              </w:rPr>
              <w:t>-0.3330</w:t>
            </w:r>
          </w:p>
        </w:tc>
        <w:tc>
          <w:tcPr>
            <w:tcW w:w="1911" w:type="dxa"/>
            <w:vAlign w:val="center"/>
          </w:tcPr>
          <w:p w14:paraId="77A21235" w14:textId="140BED2A" w:rsidR="00A012FF" w:rsidRPr="000A5EAF" w:rsidRDefault="00A012FF" w:rsidP="002C0A18">
            <w:pPr>
              <w:jc w:val="center"/>
              <w:rPr>
                <w:rFonts w:ascii="Times" w:hAnsi="Times"/>
                <w:sz w:val="22"/>
                <w:szCs w:val="22"/>
              </w:rPr>
            </w:pPr>
            <w:r w:rsidRPr="000A5EAF">
              <w:rPr>
                <w:rFonts w:ascii="Times" w:hAnsi="Times"/>
                <w:sz w:val="22"/>
                <w:szCs w:val="22"/>
              </w:rPr>
              <w:t>.4</w:t>
            </w:r>
            <w:r w:rsidR="00B92839">
              <w:rPr>
                <w:rFonts w:ascii="Times" w:hAnsi="Times"/>
                <w:sz w:val="22"/>
                <w:szCs w:val="22"/>
              </w:rPr>
              <w:t>91</w:t>
            </w:r>
          </w:p>
        </w:tc>
      </w:tr>
      <w:tr w:rsidR="00A012FF" w14:paraId="1DB3EEE1" w14:textId="77777777" w:rsidTr="002C0A18">
        <w:trPr>
          <w:trHeight w:val="558"/>
          <w:jc w:val="center"/>
        </w:trPr>
        <w:tc>
          <w:tcPr>
            <w:tcW w:w="1956" w:type="dxa"/>
            <w:vAlign w:val="center"/>
          </w:tcPr>
          <w:p w14:paraId="11352764"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1*Duration</w:t>
            </w:r>
          </w:p>
        </w:tc>
        <w:tc>
          <w:tcPr>
            <w:tcW w:w="1337" w:type="dxa"/>
            <w:vAlign w:val="center"/>
          </w:tcPr>
          <w:p w14:paraId="3F34D0D7"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0.66741</w:t>
            </w:r>
          </w:p>
        </w:tc>
        <w:tc>
          <w:tcPr>
            <w:tcW w:w="1661" w:type="dxa"/>
            <w:vAlign w:val="center"/>
          </w:tcPr>
          <w:p w14:paraId="683C93B5"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0.77925</w:t>
            </w:r>
          </w:p>
        </w:tc>
        <w:tc>
          <w:tcPr>
            <w:tcW w:w="2398" w:type="dxa"/>
            <w:vAlign w:val="center"/>
          </w:tcPr>
          <w:p w14:paraId="76FB6B28"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0.8565</w:t>
            </w:r>
          </w:p>
        </w:tc>
        <w:tc>
          <w:tcPr>
            <w:tcW w:w="1911" w:type="dxa"/>
            <w:vAlign w:val="center"/>
          </w:tcPr>
          <w:p w14:paraId="264AC6A8" w14:textId="6F3ED71B" w:rsidR="00A012FF" w:rsidRPr="000A5EAF" w:rsidRDefault="00A012FF" w:rsidP="002C0A18">
            <w:pPr>
              <w:jc w:val="center"/>
              <w:rPr>
                <w:rFonts w:ascii="Times" w:hAnsi="Times"/>
                <w:sz w:val="22"/>
                <w:szCs w:val="22"/>
              </w:rPr>
            </w:pPr>
            <w:r w:rsidRPr="006813C2">
              <w:rPr>
                <w:rFonts w:ascii="Times" w:hAnsi="Times"/>
                <w:sz w:val="22"/>
                <w:szCs w:val="22"/>
              </w:rPr>
              <w:t>.392</w:t>
            </w:r>
          </w:p>
        </w:tc>
      </w:tr>
      <w:tr w:rsidR="00A012FF" w14:paraId="3EBA15AB" w14:textId="77777777" w:rsidTr="002C0A18">
        <w:trPr>
          <w:trHeight w:val="558"/>
          <w:jc w:val="center"/>
        </w:trPr>
        <w:tc>
          <w:tcPr>
            <w:tcW w:w="1956" w:type="dxa"/>
            <w:vAlign w:val="center"/>
          </w:tcPr>
          <w:p w14:paraId="1ADFEB08"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2*Duration</w:t>
            </w:r>
          </w:p>
        </w:tc>
        <w:tc>
          <w:tcPr>
            <w:tcW w:w="1337" w:type="dxa"/>
            <w:vAlign w:val="center"/>
          </w:tcPr>
          <w:p w14:paraId="1B485BB7"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0.81723</w:t>
            </w:r>
          </w:p>
        </w:tc>
        <w:tc>
          <w:tcPr>
            <w:tcW w:w="1661" w:type="dxa"/>
            <w:vAlign w:val="center"/>
          </w:tcPr>
          <w:p w14:paraId="41F32BBC"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0.75106</w:t>
            </w:r>
          </w:p>
        </w:tc>
        <w:tc>
          <w:tcPr>
            <w:tcW w:w="2398" w:type="dxa"/>
            <w:vAlign w:val="center"/>
          </w:tcPr>
          <w:p w14:paraId="28E1A43D"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1.0881</w:t>
            </w:r>
          </w:p>
        </w:tc>
        <w:tc>
          <w:tcPr>
            <w:tcW w:w="1911" w:type="dxa"/>
            <w:vAlign w:val="center"/>
          </w:tcPr>
          <w:p w14:paraId="736682F0" w14:textId="58CF2403" w:rsidR="00A012FF" w:rsidRPr="000A5EAF" w:rsidRDefault="00A012FF" w:rsidP="002C0A18">
            <w:pPr>
              <w:jc w:val="center"/>
              <w:rPr>
                <w:rFonts w:ascii="Times" w:hAnsi="Times"/>
                <w:sz w:val="22"/>
                <w:szCs w:val="22"/>
              </w:rPr>
            </w:pPr>
            <w:r w:rsidRPr="006813C2">
              <w:rPr>
                <w:rFonts w:ascii="Times" w:hAnsi="Times"/>
                <w:sz w:val="22"/>
                <w:szCs w:val="22"/>
              </w:rPr>
              <w:t>.27</w:t>
            </w:r>
            <w:r w:rsidR="00B92839">
              <w:rPr>
                <w:rFonts w:ascii="Times" w:hAnsi="Times"/>
                <w:sz w:val="22"/>
                <w:szCs w:val="22"/>
              </w:rPr>
              <w:t>8</w:t>
            </w:r>
          </w:p>
        </w:tc>
      </w:tr>
      <w:tr w:rsidR="00A012FF" w14:paraId="3FC60ECF" w14:textId="77777777" w:rsidTr="002C0A18">
        <w:trPr>
          <w:trHeight w:val="558"/>
          <w:jc w:val="center"/>
        </w:trPr>
        <w:tc>
          <w:tcPr>
            <w:tcW w:w="1956" w:type="dxa"/>
            <w:vAlign w:val="center"/>
          </w:tcPr>
          <w:p w14:paraId="03DE0AEE"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3*Duration</w:t>
            </w:r>
          </w:p>
        </w:tc>
        <w:tc>
          <w:tcPr>
            <w:tcW w:w="1337" w:type="dxa"/>
            <w:vAlign w:val="center"/>
          </w:tcPr>
          <w:p w14:paraId="7855FCB6"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0.88368</w:t>
            </w:r>
          </w:p>
        </w:tc>
        <w:tc>
          <w:tcPr>
            <w:tcW w:w="1661" w:type="dxa"/>
            <w:vAlign w:val="center"/>
          </w:tcPr>
          <w:p w14:paraId="15CCD16C"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0.78750</w:t>
            </w:r>
          </w:p>
        </w:tc>
        <w:tc>
          <w:tcPr>
            <w:tcW w:w="2398" w:type="dxa"/>
            <w:vAlign w:val="center"/>
          </w:tcPr>
          <w:p w14:paraId="6D8AE716"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1.1221</w:t>
            </w:r>
          </w:p>
        </w:tc>
        <w:tc>
          <w:tcPr>
            <w:tcW w:w="1911" w:type="dxa"/>
            <w:vAlign w:val="center"/>
          </w:tcPr>
          <w:p w14:paraId="04D02271" w14:textId="09BD700A" w:rsidR="00A012FF" w:rsidRPr="000A5EAF" w:rsidRDefault="00A012FF" w:rsidP="002C0A18">
            <w:pPr>
              <w:jc w:val="center"/>
              <w:rPr>
                <w:rFonts w:ascii="Times" w:hAnsi="Times"/>
                <w:sz w:val="22"/>
                <w:szCs w:val="22"/>
              </w:rPr>
            </w:pPr>
            <w:r w:rsidRPr="006813C2">
              <w:rPr>
                <w:rFonts w:ascii="Times" w:hAnsi="Times"/>
                <w:sz w:val="22"/>
                <w:szCs w:val="22"/>
              </w:rPr>
              <w:t>.26</w:t>
            </w:r>
            <w:r w:rsidR="00B92839">
              <w:rPr>
                <w:rFonts w:ascii="Times" w:hAnsi="Times"/>
                <w:sz w:val="22"/>
                <w:szCs w:val="22"/>
              </w:rPr>
              <w:t>3</w:t>
            </w:r>
          </w:p>
        </w:tc>
      </w:tr>
      <w:tr w:rsidR="00A012FF" w14:paraId="5940871E" w14:textId="77777777" w:rsidTr="002C0A18">
        <w:trPr>
          <w:trHeight w:val="558"/>
          <w:jc w:val="center"/>
        </w:trPr>
        <w:tc>
          <w:tcPr>
            <w:tcW w:w="1956" w:type="dxa"/>
            <w:vAlign w:val="center"/>
          </w:tcPr>
          <w:p w14:paraId="2C32F929"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4*Duration</w:t>
            </w:r>
          </w:p>
        </w:tc>
        <w:tc>
          <w:tcPr>
            <w:tcW w:w="1337" w:type="dxa"/>
            <w:vAlign w:val="center"/>
          </w:tcPr>
          <w:p w14:paraId="3A8D6B31"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1.16426</w:t>
            </w:r>
          </w:p>
        </w:tc>
        <w:tc>
          <w:tcPr>
            <w:tcW w:w="1661" w:type="dxa"/>
            <w:vAlign w:val="center"/>
          </w:tcPr>
          <w:p w14:paraId="5E5613B6"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0.81201</w:t>
            </w:r>
          </w:p>
        </w:tc>
        <w:tc>
          <w:tcPr>
            <w:tcW w:w="2398" w:type="dxa"/>
            <w:vAlign w:val="center"/>
          </w:tcPr>
          <w:p w14:paraId="273F0FF3"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1.4338</w:t>
            </w:r>
          </w:p>
        </w:tc>
        <w:tc>
          <w:tcPr>
            <w:tcW w:w="1911" w:type="dxa"/>
            <w:vAlign w:val="center"/>
          </w:tcPr>
          <w:p w14:paraId="3953A728" w14:textId="6094E8DE" w:rsidR="00A012FF" w:rsidRPr="000A5EAF" w:rsidRDefault="00A012FF" w:rsidP="002C0A18">
            <w:pPr>
              <w:jc w:val="center"/>
              <w:rPr>
                <w:rFonts w:ascii="Times" w:hAnsi="Times"/>
                <w:sz w:val="22"/>
                <w:szCs w:val="22"/>
              </w:rPr>
            </w:pPr>
            <w:r w:rsidRPr="006813C2">
              <w:rPr>
                <w:rFonts w:ascii="Times" w:hAnsi="Times"/>
                <w:sz w:val="22"/>
                <w:szCs w:val="22"/>
              </w:rPr>
              <w:t>.15</w:t>
            </w:r>
            <w:r w:rsidR="00B92839">
              <w:rPr>
                <w:rFonts w:ascii="Times" w:hAnsi="Times"/>
                <w:sz w:val="22"/>
                <w:szCs w:val="22"/>
              </w:rPr>
              <w:t>3</w:t>
            </w:r>
          </w:p>
        </w:tc>
      </w:tr>
      <w:tr w:rsidR="00A012FF" w14:paraId="28D26807" w14:textId="77777777" w:rsidTr="002C0A18">
        <w:trPr>
          <w:trHeight w:val="558"/>
          <w:jc w:val="center"/>
        </w:trPr>
        <w:tc>
          <w:tcPr>
            <w:tcW w:w="1956" w:type="dxa"/>
            <w:vAlign w:val="center"/>
          </w:tcPr>
          <w:p w14:paraId="1B8C5EB8"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5*Duration</w:t>
            </w:r>
          </w:p>
        </w:tc>
        <w:tc>
          <w:tcPr>
            <w:tcW w:w="1337" w:type="dxa"/>
            <w:vAlign w:val="center"/>
          </w:tcPr>
          <w:p w14:paraId="731A83FE"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-0.27986</w:t>
            </w:r>
          </w:p>
        </w:tc>
        <w:tc>
          <w:tcPr>
            <w:tcW w:w="1661" w:type="dxa"/>
            <w:vAlign w:val="center"/>
          </w:tcPr>
          <w:p w14:paraId="5B46AE98"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0.74214</w:t>
            </w:r>
          </w:p>
        </w:tc>
        <w:tc>
          <w:tcPr>
            <w:tcW w:w="2398" w:type="dxa"/>
            <w:vAlign w:val="center"/>
          </w:tcPr>
          <w:p w14:paraId="41A4D8DB"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-0.3771</w:t>
            </w:r>
          </w:p>
        </w:tc>
        <w:tc>
          <w:tcPr>
            <w:tcW w:w="1911" w:type="dxa"/>
            <w:vAlign w:val="center"/>
          </w:tcPr>
          <w:p w14:paraId="6C202904" w14:textId="4BC2A3F6" w:rsidR="00A012FF" w:rsidRPr="000A5EAF" w:rsidRDefault="00A012FF" w:rsidP="002C0A18">
            <w:pPr>
              <w:jc w:val="center"/>
              <w:rPr>
                <w:rFonts w:ascii="Times" w:hAnsi="Times"/>
                <w:sz w:val="22"/>
                <w:szCs w:val="22"/>
              </w:rPr>
            </w:pPr>
            <w:r w:rsidRPr="006813C2">
              <w:rPr>
                <w:rFonts w:ascii="Times" w:hAnsi="Times"/>
                <w:sz w:val="22"/>
                <w:szCs w:val="22"/>
              </w:rPr>
              <w:t>.706</w:t>
            </w:r>
          </w:p>
        </w:tc>
      </w:tr>
      <w:tr w:rsidR="00A012FF" w14:paraId="60C3E4CD" w14:textId="77777777" w:rsidTr="002C0A18">
        <w:trPr>
          <w:trHeight w:val="558"/>
          <w:jc w:val="center"/>
        </w:trPr>
        <w:tc>
          <w:tcPr>
            <w:tcW w:w="1956" w:type="dxa"/>
            <w:vAlign w:val="center"/>
          </w:tcPr>
          <w:p w14:paraId="2AEDABD6"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6*Duration</w:t>
            </w:r>
          </w:p>
        </w:tc>
        <w:tc>
          <w:tcPr>
            <w:tcW w:w="1337" w:type="dxa"/>
            <w:vAlign w:val="center"/>
          </w:tcPr>
          <w:p w14:paraId="7AE5FBAB"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-0.23315</w:t>
            </w:r>
          </w:p>
        </w:tc>
        <w:tc>
          <w:tcPr>
            <w:tcW w:w="1661" w:type="dxa"/>
            <w:vAlign w:val="center"/>
          </w:tcPr>
          <w:p w14:paraId="63F4C189"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0.78692</w:t>
            </w:r>
          </w:p>
        </w:tc>
        <w:tc>
          <w:tcPr>
            <w:tcW w:w="2398" w:type="dxa"/>
            <w:vAlign w:val="center"/>
          </w:tcPr>
          <w:p w14:paraId="3FB18CB2"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-0.2963</w:t>
            </w:r>
          </w:p>
        </w:tc>
        <w:tc>
          <w:tcPr>
            <w:tcW w:w="1911" w:type="dxa"/>
            <w:vAlign w:val="center"/>
          </w:tcPr>
          <w:p w14:paraId="196F6008" w14:textId="30C5961D" w:rsidR="00A012FF" w:rsidRPr="000A5EAF" w:rsidRDefault="00A012FF" w:rsidP="002C0A18">
            <w:pPr>
              <w:jc w:val="center"/>
              <w:rPr>
                <w:rFonts w:ascii="Times" w:hAnsi="Times"/>
                <w:sz w:val="22"/>
                <w:szCs w:val="22"/>
              </w:rPr>
            </w:pPr>
            <w:r w:rsidRPr="006813C2">
              <w:rPr>
                <w:rFonts w:ascii="Times" w:hAnsi="Times"/>
                <w:sz w:val="22"/>
                <w:szCs w:val="22"/>
              </w:rPr>
              <w:t>.767</w:t>
            </w:r>
          </w:p>
        </w:tc>
      </w:tr>
      <w:tr w:rsidR="00A012FF" w14:paraId="0BF3DD88" w14:textId="77777777" w:rsidTr="002C0A18">
        <w:trPr>
          <w:trHeight w:val="558"/>
          <w:jc w:val="center"/>
        </w:trPr>
        <w:tc>
          <w:tcPr>
            <w:tcW w:w="1956" w:type="dxa"/>
            <w:vAlign w:val="center"/>
          </w:tcPr>
          <w:p w14:paraId="562D7AC4"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7*Duration</w:t>
            </w:r>
          </w:p>
        </w:tc>
        <w:tc>
          <w:tcPr>
            <w:tcW w:w="1337" w:type="dxa"/>
            <w:vAlign w:val="center"/>
          </w:tcPr>
          <w:p w14:paraId="29CB996E"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0.01996</w:t>
            </w:r>
          </w:p>
        </w:tc>
        <w:tc>
          <w:tcPr>
            <w:tcW w:w="1661" w:type="dxa"/>
            <w:vAlign w:val="center"/>
          </w:tcPr>
          <w:p w14:paraId="02C9DDD7"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0.78950</w:t>
            </w:r>
          </w:p>
        </w:tc>
        <w:tc>
          <w:tcPr>
            <w:tcW w:w="2398" w:type="dxa"/>
            <w:vAlign w:val="center"/>
          </w:tcPr>
          <w:p w14:paraId="15504285"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0.0253</w:t>
            </w:r>
          </w:p>
        </w:tc>
        <w:tc>
          <w:tcPr>
            <w:tcW w:w="1911" w:type="dxa"/>
            <w:vAlign w:val="center"/>
          </w:tcPr>
          <w:p w14:paraId="4314B1C0" w14:textId="2AE2AC3F" w:rsidR="00A012FF" w:rsidRPr="000A5EAF" w:rsidRDefault="00A012FF" w:rsidP="002C0A18">
            <w:pPr>
              <w:jc w:val="center"/>
              <w:rPr>
                <w:rFonts w:ascii="Times" w:hAnsi="Times"/>
                <w:sz w:val="22"/>
                <w:szCs w:val="22"/>
              </w:rPr>
            </w:pPr>
            <w:r w:rsidRPr="006813C2">
              <w:rPr>
                <w:rFonts w:ascii="Times" w:hAnsi="Times"/>
                <w:sz w:val="22"/>
                <w:szCs w:val="22"/>
              </w:rPr>
              <w:t>.9</w:t>
            </w:r>
            <w:r w:rsidR="00B92839">
              <w:rPr>
                <w:rFonts w:ascii="Times" w:hAnsi="Times"/>
                <w:sz w:val="22"/>
                <w:szCs w:val="22"/>
              </w:rPr>
              <w:t>80</w:t>
            </w:r>
          </w:p>
        </w:tc>
      </w:tr>
      <w:tr w:rsidR="00A012FF" w14:paraId="2207F3F3" w14:textId="77777777" w:rsidTr="002C0A18">
        <w:trPr>
          <w:trHeight w:val="558"/>
          <w:jc w:val="center"/>
        </w:trPr>
        <w:tc>
          <w:tcPr>
            <w:tcW w:w="1956" w:type="dxa"/>
            <w:vAlign w:val="center"/>
          </w:tcPr>
          <w:p w14:paraId="25866886"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8*Duration</w:t>
            </w:r>
          </w:p>
        </w:tc>
        <w:tc>
          <w:tcPr>
            <w:tcW w:w="1337" w:type="dxa"/>
            <w:vAlign w:val="center"/>
          </w:tcPr>
          <w:p w14:paraId="3064A669"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0.12203</w:t>
            </w:r>
          </w:p>
        </w:tc>
        <w:tc>
          <w:tcPr>
            <w:tcW w:w="1661" w:type="dxa"/>
            <w:vAlign w:val="center"/>
          </w:tcPr>
          <w:p w14:paraId="2050D9CC"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0.96725</w:t>
            </w:r>
          </w:p>
        </w:tc>
        <w:tc>
          <w:tcPr>
            <w:tcW w:w="2398" w:type="dxa"/>
            <w:vAlign w:val="center"/>
          </w:tcPr>
          <w:p w14:paraId="58C01DCE"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0.1262</w:t>
            </w:r>
          </w:p>
        </w:tc>
        <w:tc>
          <w:tcPr>
            <w:tcW w:w="1911" w:type="dxa"/>
            <w:vAlign w:val="center"/>
          </w:tcPr>
          <w:p w14:paraId="5D44589A" w14:textId="54F6B617" w:rsidR="00A012FF" w:rsidRPr="000A5EAF" w:rsidRDefault="00B92839" w:rsidP="002C0A18">
            <w:pPr>
              <w:jc w:val="center"/>
              <w:rPr>
                <w:rFonts w:ascii="Times" w:hAnsi="Times"/>
                <w:sz w:val="22"/>
                <w:szCs w:val="22"/>
              </w:rPr>
            </w:pPr>
            <w:r>
              <w:rPr>
                <w:rFonts w:ascii="Times" w:hAnsi="Times"/>
                <w:sz w:val="22"/>
                <w:szCs w:val="22"/>
              </w:rPr>
              <w:t>.900</w:t>
            </w:r>
          </w:p>
        </w:tc>
      </w:tr>
      <w:tr w:rsidR="00A012FF" w14:paraId="550AA624" w14:textId="77777777" w:rsidTr="002C0A18">
        <w:trPr>
          <w:trHeight w:val="558"/>
          <w:jc w:val="center"/>
        </w:trPr>
        <w:tc>
          <w:tcPr>
            <w:tcW w:w="1956" w:type="dxa"/>
            <w:vAlign w:val="center"/>
          </w:tcPr>
          <w:p w14:paraId="26266940"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9*Duration</w:t>
            </w:r>
          </w:p>
        </w:tc>
        <w:tc>
          <w:tcPr>
            <w:tcW w:w="1337" w:type="dxa"/>
            <w:vAlign w:val="center"/>
          </w:tcPr>
          <w:p w14:paraId="2AA08A07"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0.26223</w:t>
            </w:r>
          </w:p>
        </w:tc>
        <w:tc>
          <w:tcPr>
            <w:tcW w:w="1661" w:type="dxa"/>
            <w:vAlign w:val="center"/>
          </w:tcPr>
          <w:p w14:paraId="6BDBF6D9"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0.88817</w:t>
            </w:r>
          </w:p>
        </w:tc>
        <w:tc>
          <w:tcPr>
            <w:tcW w:w="2398" w:type="dxa"/>
            <w:vAlign w:val="center"/>
          </w:tcPr>
          <w:p w14:paraId="7099C788"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 xml:space="preserve">0.2952  </w:t>
            </w:r>
          </w:p>
        </w:tc>
        <w:tc>
          <w:tcPr>
            <w:tcW w:w="1911" w:type="dxa"/>
            <w:vAlign w:val="center"/>
          </w:tcPr>
          <w:p w14:paraId="5688B167" w14:textId="0A60C23E" w:rsidR="00A012FF" w:rsidRPr="000A5EAF" w:rsidRDefault="00A012FF" w:rsidP="002C0A18">
            <w:pPr>
              <w:jc w:val="center"/>
              <w:rPr>
                <w:rFonts w:ascii="Times" w:hAnsi="Times"/>
                <w:sz w:val="22"/>
                <w:szCs w:val="22"/>
              </w:rPr>
            </w:pPr>
            <w:r w:rsidRPr="006813C2">
              <w:rPr>
                <w:rFonts w:ascii="Times" w:hAnsi="Times"/>
                <w:sz w:val="22"/>
                <w:szCs w:val="22"/>
              </w:rPr>
              <w:t>.768</w:t>
            </w:r>
          </w:p>
        </w:tc>
      </w:tr>
      <w:tr w:rsidR="00A012FF" w14:paraId="296D554F" w14:textId="77777777" w:rsidTr="002C0A18">
        <w:trPr>
          <w:trHeight w:val="558"/>
          <w:jc w:val="center"/>
        </w:trPr>
        <w:tc>
          <w:tcPr>
            <w:tcW w:w="1956" w:type="dxa"/>
            <w:vAlign w:val="center"/>
          </w:tcPr>
          <w:p w14:paraId="1494983C"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Player 10*Duration</w:t>
            </w:r>
          </w:p>
        </w:tc>
        <w:tc>
          <w:tcPr>
            <w:tcW w:w="1337" w:type="dxa"/>
            <w:vAlign w:val="center"/>
          </w:tcPr>
          <w:p w14:paraId="23A0F184"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-1.00530</w:t>
            </w:r>
          </w:p>
        </w:tc>
        <w:tc>
          <w:tcPr>
            <w:tcW w:w="1661" w:type="dxa"/>
            <w:vAlign w:val="center"/>
          </w:tcPr>
          <w:p w14:paraId="705E25E0"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0.84010</w:t>
            </w:r>
          </w:p>
        </w:tc>
        <w:tc>
          <w:tcPr>
            <w:tcW w:w="2398" w:type="dxa"/>
            <w:vAlign w:val="center"/>
          </w:tcPr>
          <w:p w14:paraId="66DFE2CE"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-1.1966</w:t>
            </w:r>
          </w:p>
        </w:tc>
        <w:tc>
          <w:tcPr>
            <w:tcW w:w="1911" w:type="dxa"/>
            <w:vAlign w:val="center"/>
          </w:tcPr>
          <w:p w14:paraId="360CF059" w14:textId="48769CAA" w:rsidR="00A012FF" w:rsidRPr="000A5EAF" w:rsidRDefault="00A012FF" w:rsidP="002C0A18">
            <w:pPr>
              <w:jc w:val="center"/>
              <w:rPr>
                <w:rFonts w:ascii="Times" w:hAnsi="Times"/>
                <w:sz w:val="22"/>
                <w:szCs w:val="22"/>
              </w:rPr>
            </w:pPr>
            <w:r w:rsidRPr="006813C2">
              <w:rPr>
                <w:rFonts w:ascii="Times" w:hAnsi="Times"/>
                <w:sz w:val="22"/>
                <w:szCs w:val="22"/>
              </w:rPr>
              <w:t>.232</w:t>
            </w:r>
          </w:p>
        </w:tc>
      </w:tr>
      <w:tr w:rsidR="00A012FF" w14:paraId="65C05638" w14:textId="77777777" w:rsidTr="002C0A18">
        <w:trPr>
          <w:trHeight w:val="558"/>
          <w:jc w:val="center"/>
        </w:trPr>
        <w:tc>
          <w:tcPr>
            <w:tcW w:w="1956" w:type="dxa"/>
            <w:vAlign w:val="center"/>
          </w:tcPr>
          <w:p w14:paraId="626E7C68"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11*Duration</w:t>
            </w:r>
          </w:p>
        </w:tc>
        <w:tc>
          <w:tcPr>
            <w:tcW w:w="1337" w:type="dxa"/>
            <w:vAlign w:val="center"/>
          </w:tcPr>
          <w:p w14:paraId="43A79146"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-5.48270</w:t>
            </w:r>
          </w:p>
        </w:tc>
        <w:tc>
          <w:tcPr>
            <w:tcW w:w="1661" w:type="dxa"/>
            <w:vAlign w:val="center"/>
          </w:tcPr>
          <w:p w14:paraId="0E7D0F10"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1.19249</w:t>
            </w:r>
          </w:p>
        </w:tc>
        <w:tc>
          <w:tcPr>
            <w:tcW w:w="2398" w:type="dxa"/>
            <w:vAlign w:val="center"/>
          </w:tcPr>
          <w:p w14:paraId="6EB78A1D"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-4.5977</w:t>
            </w:r>
          </w:p>
        </w:tc>
        <w:tc>
          <w:tcPr>
            <w:tcW w:w="1911" w:type="dxa"/>
            <w:vAlign w:val="center"/>
          </w:tcPr>
          <w:p w14:paraId="123A684F" w14:textId="2F40777A" w:rsidR="00A012FF" w:rsidRPr="000A5EAF" w:rsidRDefault="00B92839" w:rsidP="002C0A18">
            <w:pPr>
              <w:jc w:val="center"/>
              <w:rPr>
                <w:rFonts w:ascii="Times" w:hAnsi="Times"/>
                <w:sz w:val="22"/>
                <w:szCs w:val="22"/>
              </w:rPr>
            </w:pPr>
            <w:r>
              <w:rPr>
                <w:rFonts w:ascii="Times" w:hAnsi="Times"/>
                <w:sz w:val="22"/>
                <w:szCs w:val="22"/>
              </w:rPr>
              <w:t>&lt;.001</w:t>
            </w:r>
          </w:p>
        </w:tc>
      </w:tr>
      <w:tr w:rsidR="00A012FF" w14:paraId="622126FB" w14:textId="77777777" w:rsidTr="002C0A18">
        <w:trPr>
          <w:trHeight w:val="558"/>
          <w:jc w:val="center"/>
        </w:trPr>
        <w:tc>
          <w:tcPr>
            <w:tcW w:w="1956" w:type="dxa"/>
            <w:vAlign w:val="center"/>
          </w:tcPr>
          <w:p w14:paraId="1EB8930A"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12*Duration</w:t>
            </w:r>
          </w:p>
        </w:tc>
        <w:tc>
          <w:tcPr>
            <w:tcW w:w="1337" w:type="dxa"/>
            <w:vAlign w:val="center"/>
          </w:tcPr>
          <w:p w14:paraId="29EDA14E"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-6.92094</w:t>
            </w:r>
          </w:p>
        </w:tc>
        <w:tc>
          <w:tcPr>
            <w:tcW w:w="1661" w:type="dxa"/>
            <w:vAlign w:val="center"/>
          </w:tcPr>
          <w:p w14:paraId="1C51E96E"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3.60922</w:t>
            </w:r>
          </w:p>
        </w:tc>
        <w:tc>
          <w:tcPr>
            <w:tcW w:w="2398" w:type="dxa"/>
            <w:vAlign w:val="center"/>
          </w:tcPr>
          <w:p w14:paraId="0D74EE5E"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-1.9176</w:t>
            </w:r>
          </w:p>
        </w:tc>
        <w:tc>
          <w:tcPr>
            <w:tcW w:w="1911" w:type="dxa"/>
            <w:vAlign w:val="center"/>
          </w:tcPr>
          <w:p w14:paraId="59E9319D" w14:textId="37F9519D" w:rsidR="00A012FF" w:rsidRPr="000A5EAF" w:rsidRDefault="00A012FF" w:rsidP="002C0A18">
            <w:pPr>
              <w:jc w:val="center"/>
              <w:rPr>
                <w:rFonts w:ascii="Times" w:hAnsi="Times"/>
                <w:sz w:val="22"/>
                <w:szCs w:val="22"/>
              </w:rPr>
            </w:pPr>
            <w:r w:rsidRPr="006813C2">
              <w:rPr>
                <w:rFonts w:ascii="Times" w:hAnsi="Times"/>
                <w:sz w:val="22"/>
                <w:szCs w:val="22"/>
              </w:rPr>
              <w:t>.056</w:t>
            </w:r>
          </w:p>
        </w:tc>
      </w:tr>
      <w:tr w:rsidR="00A012FF" w14:paraId="504174E9" w14:textId="77777777" w:rsidTr="002C0A18">
        <w:trPr>
          <w:trHeight w:val="558"/>
          <w:jc w:val="center"/>
        </w:trPr>
        <w:tc>
          <w:tcPr>
            <w:tcW w:w="1956" w:type="dxa"/>
            <w:vAlign w:val="center"/>
          </w:tcPr>
          <w:p w14:paraId="2CE147F2"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13*Duration</w:t>
            </w:r>
          </w:p>
        </w:tc>
        <w:tc>
          <w:tcPr>
            <w:tcW w:w="1337" w:type="dxa"/>
            <w:vAlign w:val="center"/>
          </w:tcPr>
          <w:p w14:paraId="5991E3CE"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0.12372</w:t>
            </w:r>
          </w:p>
        </w:tc>
        <w:tc>
          <w:tcPr>
            <w:tcW w:w="1661" w:type="dxa"/>
            <w:vAlign w:val="center"/>
          </w:tcPr>
          <w:p w14:paraId="4CDD4E52"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0.81085</w:t>
            </w:r>
          </w:p>
        </w:tc>
        <w:tc>
          <w:tcPr>
            <w:tcW w:w="2398" w:type="dxa"/>
            <w:vAlign w:val="center"/>
          </w:tcPr>
          <w:p w14:paraId="61127CA0"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0.1526</w:t>
            </w:r>
          </w:p>
        </w:tc>
        <w:tc>
          <w:tcPr>
            <w:tcW w:w="1911" w:type="dxa"/>
            <w:vAlign w:val="center"/>
          </w:tcPr>
          <w:p w14:paraId="1D43E1FD" w14:textId="176B3A9A" w:rsidR="00A012FF" w:rsidRPr="000A5EAF" w:rsidRDefault="00A012FF" w:rsidP="002C0A18">
            <w:pPr>
              <w:jc w:val="center"/>
              <w:rPr>
                <w:rFonts w:ascii="Times" w:hAnsi="Times"/>
                <w:sz w:val="22"/>
                <w:szCs w:val="22"/>
              </w:rPr>
            </w:pPr>
            <w:r w:rsidRPr="006813C2">
              <w:rPr>
                <w:rFonts w:ascii="Times" w:hAnsi="Times"/>
                <w:sz w:val="22"/>
                <w:szCs w:val="22"/>
              </w:rPr>
              <w:t>.87</w:t>
            </w:r>
            <w:r w:rsidR="00B92839">
              <w:rPr>
                <w:rFonts w:ascii="Times" w:hAnsi="Times"/>
                <w:sz w:val="22"/>
                <w:szCs w:val="22"/>
              </w:rPr>
              <w:t>9</w:t>
            </w:r>
          </w:p>
        </w:tc>
      </w:tr>
      <w:tr w:rsidR="00A012FF" w14:paraId="1958BCB0" w14:textId="77777777" w:rsidTr="002C0A18">
        <w:trPr>
          <w:trHeight w:val="558"/>
          <w:jc w:val="center"/>
        </w:trPr>
        <w:tc>
          <w:tcPr>
            <w:tcW w:w="1956" w:type="dxa"/>
            <w:vAlign w:val="center"/>
          </w:tcPr>
          <w:p w14:paraId="7A2EEBDA"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14*Duration</w:t>
            </w:r>
          </w:p>
        </w:tc>
        <w:tc>
          <w:tcPr>
            <w:tcW w:w="1337" w:type="dxa"/>
            <w:vAlign w:val="center"/>
          </w:tcPr>
          <w:p w14:paraId="751B08E5"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0.21347</w:t>
            </w:r>
          </w:p>
        </w:tc>
        <w:tc>
          <w:tcPr>
            <w:tcW w:w="1661" w:type="dxa"/>
            <w:vAlign w:val="center"/>
          </w:tcPr>
          <w:p w14:paraId="29313F64"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0.66112</w:t>
            </w:r>
          </w:p>
        </w:tc>
        <w:tc>
          <w:tcPr>
            <w:tcW w:w="2398" w:type="dxa"/>
            <w:vAlign w:val="center"/>
          </w:tcPr>
          <w:p w14:paraId="61599F17"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0.2833</w:t>
            </w:r>
          </w:p>
        </w:tc>
        <w:tc>
          <w:tcPr>
            <w:tcW w:w="1911" w:type="dxa"/>
            <w:vAlign w:val="center"/>
          </w:tcPr>
          <w:p w14:paraId="4639254C" w14:textId="54AEA129" w:rsidR="00A012FF" w:rsidRPr="000A5EAF" w:rsidRDefault="00A012FF" w:rsidP="002C0A18">
            <w:pPr>
              <w:jc w:val="center"/>
              <w:rPr>
                <w:rFonts w:ascii="Times" w:hAnsi="Times"/>
                <w:sz w:val="22"/>
                <w:szCs w:val="22"/>
              </w:rPr>
            </w:pPr>
            <w:r>
              <w:rPr>
                <w:rFonts w:ascii="Times" w:hAnsi="Times"/>
                <w:sz w:val="22"/>
                <w:szCs w:val="22"/>
              </w:rPr>
              <w:t>.761</w:t>
            </w:r>
          </w:p>
        </w:tc>
      </w:tr>
      <w:tr w:rsidR="00A012FF" w14:paraId="43F1D8EB" w14:textId="77777777" w:rsidTr="002C0A18">
        <w:trPr>
          <w:trHeight w:val="558"/>
          <w:jc w:val="center"/>
        </w:trPr>
        <w:tc>
          <w:tcPr>
            <w:tcW w:w="1956" w:type="dxa"/>
            <w:tcBorders>
              <w:bottom w:val="single" w:sz="4" w:space="0" w:color="auto"/>
            </w:tcBorders>
            <w:vAlign w:val="center"/>
          </w:tcPr>
          <w:p w14:paraId="7C4B6AE0" w14:textId="77777777" w:rsidR="00A012FF" w:rsidRPr="000A5EAF" w:rsidRDefault="00A012FF" w:rsidP="002C0A18">
            <w:pPr>
              <w:jc w:val="center"/>
              <w:rPr>
                <w:rFonts w:ascii="Times" w:hAnsi="Times" w:cs="Calibri"/>
                <w:color w:val="000000"/>
                <w:sz w:val="22"/>
                <w:szCs w:val="22"/>
              </w:rPr>
            </w:pPr>
            <w:r>
              <w:rPr>
                <w:rFonts w:ascii="Times" w:hAnsi="Times" w:cs="Calibri"/>
                <w:color w:val="000000"/>
                <w:sz w:val="22"/>
                <w:szCs w:val="22"/>
              </w:rPr>
              <w:t>Player 15*Duration</w:t>
            </w:r>
          </w:p>
        </w:tc>
        <w:tc>
          <w:tcPr>
            <w:tcW w:w="1337" w:type="dxa"/>
            <w:tcBorders>
              <w:bottom w:val="single" w:sz="4" w:space="0" w:color="auto"/>
            </w:tcBorders>
            <w:vAlign w:val="center"/>
          </w:tcPr>
          <w:p w14:paraId="74500364"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1.50044</w:t>
            </w:r>
          </w:p>
        </w:tc>
        <w:tc>
          <w:tcPr>
            <w:tcW w:w="1661" w:type="dxa"/>
            <w:tcBorders>
              <w:bottom w:val="single" w:sz="4" w:space="0" w:color="auto"/>
            </w:tcBorders>
            <w:vAlign w:val="center"/>
          </w:tcPr>
          <w:p w14:paraId="3C9F0273"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0.88512</w:t>
            </w:r>
          </w:p>
        </w:tc>
        <w:tc>
          <w:tcPr>
            <w:tcW w:w="2398" w:type="dxa"/>
            <w:tcBorders>
              <w:bottom w:val="single" w:sz="4" w:space="0" w:color="auto"/>
            </w:tcBorders>
            <w:vAlign w:val="center"/>
          </w:tcPr>
          <w:p w14:paraId="3B2DB7A4" w14:textId="77777777" w:rsidR="00A012FF" w:rsidRPr="000A5EAF" w:rsidRDefault="00A012FF" w:rsidP="002C0A18">
            <w:pPr>
              <w:jc w:val="center"/>
              <w:rPr>
                <w:rFonts w:ascii="Times" w:hAnsi="Times" w:cs="Calibri"/>
                <w:color w:val="000000"/>
                <w:sz w:val="22"/>
                <w:szCs w:val="22"/>
              </w:rPr>
            </w:pPr>
            <w:r w:rsidRPr="006813C2">
              <w:rPr>
                <w:rFonts w:ascii="Times" w:hAnsi="Times" w:cs="Calibri"/>
                <w:color w:val="000000"/>
                <w:sz w:val="22"/>
                <w:szCs w:val="22"/>
              </w:rPr>
              <w:t>1.6952</w:t>
            </w:r>
          </w:p>
        </w:tc>
        <w:tc>
          <w:tcPr>
            <w:tcW w:w="1911" w:type="dxa"/>
            <w:tcBorders>
              <w:bottom w:val="single" w:sz="4" w:space="0" w:color="auto"/>
            </w:tcBorders>
            <w:vAlign w:val="center"/>
          </w:tcPr>
          <w:p w14:paraId="63EADB74" w14:textId="051A68B5" w:rsidR="00A012FF" w:rsidRPr="000A5EAF" w:rsidRDefault="00A012FF" w:rsidP="002C0A18">
            <w:pPr>
              <w:jc w:val="center"/>
              <w:rPr>
                <w:rFonts w:ascii="Times" w:hAnsi="Times"/>
                <w:sz w:val="22"/>
                <w:szCs w:val="22"/>
              </w:rPr>
            </w:pPr>
            <w:r w:rsidRPr="006813C2">
              <w:rPr>
                <w:rFonts w:ascii="Times" w:hAnsi="Times"/>
                <w:sz w:val="22"/>
                <w:szCs w:val="22"/>
              </w:rPr>
              <w:t>.091</w:t>
            </w:r>
          </w:p>
        </w:tc>
      </w:tr>
      <w:tr w:rsidR="00A012FF" w14:paraId="28D6677D" w14:textId="77777777" w:rsidTr="002C0A18">
        <w:trPr>
          <w:trHeight w:val="558"/>
          <w:jc w:val="center"/>
        </w:trPr>
        <w:tc>
          <w:tcPr>
            <w:tcW w:w="1956" w:type="dxa"/>
            <w:tcBorders>
              <w:top w:val="single" w:sz="4" w:space="0" w:color="auto"/>
            </w:tcBorders>
            <w:vAlign w:val="center"/>
          </w:tcPr>
          <w:p w14:paraId="301B78CD" w14:textId="77777777" w:rsidR="00A012FF" w:rsidRPr="008B23C7" w:rsidRDefault="00A012FF" w:rsidP="002C0A18">
            <w:pPr>
              <w:jc w:val="center"/>
              <w:rPr>
                <w:rFonts w:ascii="Times" w:hAnsi="Times" w:cs="Calibri"/>
                <w:color w:val="000000" w:themeColor="text1"/>
                <w:sz w:val="22"/>
                <w:szCs w:val="22"/>
              </w:rPr>
            </w:pPr>
            <w:r w:rsidRPr="008B23C7">
              <w:rPr>
                <w:rFonts w:ascii="Times" w:hAnsi="Times" w:cs="Calibri"/>
                <w:color w:val="000000" w:themeColor="text1"/>
                <w:sz w:val="22"/>
                <w:szCs w:val="22"/>
              </w:rPr>
              <w:t>N</w:t>
            </w:r>
          </w:p>
        </w:tc>
        <w:tc>
          <w:tcPr>
            <w:tcW w:w="1337" w:type="dxa"/>
            <w:tcBorders>
              <w:top w:val="single" w:sz="4" w:space="0" w:color="auto"/>
            </w:tcBorders>
            <w:vAlign w:val="center"/>
          </w:tcPr>
          <w:p w14:paraId="28F62A9D" w14:textId="77777777" w:rsidR="00A012FF" w:rsidRPr="008B23C7" w:rsidRDefault="00A012FF" w:rsidP="002C0A18">
            <w:pPr>
              <w:jc w:val="center"/>
              <w:rPr>
                <w:rFonts w:ascii="Times" w:hAnsi="Times" w:cs="Calibri"/>
                <w:color w:val="000000" w:themeColor="text1"/>
                <w:sz w:val="22"/>
                <w:szCs w:val="22"/>
              </w:rPr>
            </w:pPr>
            <w:r w:rsidRPr="008B23C7">
              <w:rPr>
                <w:rFonts w:ascii="Times" w:hAnsi="Times" w:cs="Calibri"/>
                <w:color w:val="000000" w:themeColor="text1"/>
                <w:sz w:val="22"/>
                <w:szCs w:val="22"/>
              </w:rPr>
              <w:t>326</w:t>
            </w:r>
          </w:p>
        </w:tc>
        <w:tc>
          <w:tcPr>
            <w:tcW w:w="1661" w:type="dxa"/>
            <w:tcBorders>
              <w:top w:val="single" w:sz="4" w:space="0" w:color="auto"/>
            </w:tcBorders>
            <w:vAlign w:val="center"/>
          </w:tcPr>
          <w:p w14:paraId="06CD9039" w14:textId="77777777" w:rsidR="00A012FF" w:rsidRPr="008B23C7" w:rsidRDefault="00A012FF" w:rsidP="002C0A18">
            <w:pPr>
              <w:jc w:val="center"/>
              <w:rPr>
                <w:rFonts w:ascii="Times" w:hAnsi="Times" w:cs="Calibri"/>
                <w:color w:val="000000" w:themeColor="text1"/>
                <w:sz w:val="22"/>
                <w:szCs w:val="22"/>
              </w:rPr>
            </w:pPr>
            <w:r w:rsidRPr="008B23C7">
              <w:rPr>
                <w:rFonts w:ascii="Times" w:hAnsi="Times" w:cs="Calibri"/>
                <w:color w:val="000000" w:themeColor="text1"/>
                <w:sz w:val="22"/>
                <w:szCs w:val="22"/>
              </w:rPr>
              <w:t>Residual Sum of Squares</w:t>
            </w:r>
          </w:p>
        </w:tc>
        <w:tc>
          <w:tcPr>
            <w:tcW w:w="2398" w:type="dxa"/>
            <w:tcBorders>
              <w:top w:val="single" w:sz="4" w:space="0" w:color="auto"/>
            </w:tcBorders>
            <w:vAlign w:val="center"/>
          </w:tcPr>
          <w:p w14:paraId="17227D40" w14:textId="77777777" w:rsidR="00A012FF" w:rsidRPr="008B23C7" w:rsidRDefault="00A012FF" w:rsidP="002C0A18">
            <w:pPr>
              <w:jc w:val="center"/>
              <w:rPr>
                <w:rFonts w:ascii="Times" w:hAnsi="Times" w:cs="Calibri"/>
                <w:color w:val="000000" w:themeColor="text1"/>
                <w:sz w:val="22"/>
                <w:szCs w:val="22"/>
              </w:rPr>
            </w:pPr>
            <w:r w:rsidRPr="008B23C7">
              <w:rPr>
                <w:rFonts w:ascii="Times" w:hAnsi="Times" w:cs="Calibri"/>
                <w:color w:val="000000" w:themeColor="text1"/>
                <w:sz w:val="22"/>
                <w:szCs w:val="22"/>
              </w:rPr>
              <w:t>115210</w:t>
            </w:r>
          </w:p>
        </w:tc>
        <w:tc>
          <w:tcPr>
            <w:tcW w:w="1911" w:type="dxa"/>
            <w:tcBorders>
              <w:top w:val="single" w:sz="4" w:space="0" w:color="auto"/>
            </w:tcBorders>
            <w:vAlign w:val="center"/>
          </w:tcPr>
          <w:p w14:paraId="212BCFFA" w14:textId="77777777" w:rsidR="00A012FF" w:rsidRDefault="00A012FF" w:rsidP="002C0A18">
            <w:pPr>
              <w:jc w:val="center"/>
              <w:rPr>
                <w:rFonts w:ascii="Times" w:hAnsi="Times"/>
              </w:rPr>
            </w:pPr>
          </w:p>
        </w:tc>
      </w:tr>
      <w:tr w:rsidR="00A012FF" w14:paraId="4011F9AD" w14:textId="77777777" w:rsidTr="002C0A18">
        <w:trPr>
          <w:trHeight w:val="558"/>
          <w:jc w:val="center"/>
        </w:trPr>
        <w:tc>
          <w:tcPr>
            <w:tcW w:w="1956" w:type="dxa"/>
            <w:vAlign w:val="center"/>
          </w:tcPr>
          <w:p w14:paraId="444CECB1" w14:textId="77777777" w:rsidR="00A012FF" w:rsidRPr="008B23C7" w:rsidRDefault="00A012FF" w:rsidP="002C0A18">
            <w:pPr>
              <w:jc w:val="center"/>
              <w:rPr>
                <w:rFonts w:ascii="Times" w:hAnsi="Times" w:cs="Calibri"/>
                <w:color w:val="000000" w:themeColor="text1"/>
                <w:sz w:val="22"/>
                <w:szCs w:val="22"/>
                <w:vertAlign w:val="superscript"/>
              </w:rPr>
            </w:pPr>
            <w:r w:rsidRPr="008B23C7">
              <w:rPr>
                <w:rFonts w:ascii="Times" w:hAnsi="Times" w:cs="Calibri"/>
                <w:color w:val="000000" w:themeColor="text1"/>
                <w:sz w:val="22"/>
                <w:szCs w:val="22"/>
              </w:rPr>
              <w:t>R</w:t>
            </w:r>
            <w:r w:rsidRPr="008B23C7">
              <w:rPr>
                <w:rFonts w:ascii="Times" w:hAnsi="Times" w:cs="Calibri"/>
                <w:color w:val="000000" w:themeColor="text1"/>
                <w:sz w:val="22"/>
                <w:szCs w:val="22"/>
                <w:vertAlign w:val="superscript"/>
              </w:rPr>
              <w:t>2</w:t>
            </w:r>
          </w:p>
        </w:tc>
        <w:tc>
          <w:tcPr>
            <w:tcW w:w="1337" w:type="dxa"/>
            <w:vAlign w:val="center"/>
          </w:tcPr>
          <w:p w14:paraId="56212AAD" w14:textId="76269C5D" w:rsidR="00A012FF" w:rsidRPr="008B23C7" w:rsidRDefault="00A012FF" w:rsidP="002C0A18">
            <w:pPr>
              <w:jc w:val="center"/>
              <w:rPr>
                <w:rFonts w:ascii="Times" w:hAnsi="Times" w:cs="Calibri"/>
                <w:color w:val="000000" w:themeColor="text1"/>
                <w:sz w:val="22"/>
                <w:szCs w:val="22"/>
              </w:rPr>
            </w:pPr>
            <w:r w:rsidRPr="008B23C7">
              <w:rPr>
                <w:rFonts w:ascii="Times" w:hAnsi="Times" w:cs="Calibri"/>
                <w:color w:val="000000" w:themeColor="text1"/>
                <w:sz w:val="22"/>
                <w:szCs w:val="22"/>
              </w:rPr>
              <w:t>0.85</w:t>
            </w:r>
            <w:r w:rsidR="00B92839">
              <w:rPr>
                <w:rFonts w:ascii="Times" w:hAnsi="Times" w:cs="Calibri"/>
                <w:color w:val="000000" w:themeColor="text1"/>
                <w:sz w:val="22"/>
                <w:szCs w:val="22"/>
              </w:rPr>
              <w:t>4</w:t>
            </w:r>
          </w:p>
        </w:tc>
        <w:tc>
          <w:tcPr>
            <w:tcW w:w="1661" w:type="dxa"/>
            <w:vAlign w:val="center"/>
          </w:tcPr>
          <w:p w14:paraId="516F09A9" w14:textId="77777777" w:rsidR="00A012FF" w:rsidRPr="008B23C7" w:rsidRDefault="00A012FF" w:rsidP="002C0A18">
            <w:pPr>
              <w:jc w:val="center"/>
              <w:rPr>
                <w:rFonts w:ascii="Times" w:hAnsi="Times" w:cs="Calibri"/>
                <w:color w:val="000000" w:themeColor="text1"/>
                <w:sz w:val="22"/>
                <w:szCs w:val="22"/>
              </w:rPr>
            </w:pPr>
            <w:r w:rsidRPr="008B23C7">
              <w:rPr>
                <w:rFonts w:ascii="Times" w:hAnsi="Times" w:cs="Calibri"/>
                <w:i/>
                <w:iCs/>
                <w:color w:val="000000" w:themeColor="text1"/>
                <w:sz w:val="22"/>
                <w:szCs w:val="22"/>
              </w:rPr>
              <w:t>f</w:t>
            </w:r>
            <w:r w:rsidRPr="008B23C7">
              <w:rPr>
                <w:rFonts w:ascii="Times" w:hAnsi="Times" w:cs="Calibri"/>
                <w:color w:val="000000" w:themeColor="text1"/>
                <w:sz w:val="22"/>
                <w:szCs w:val="22"/>
              </w:rPr>
              <w:t xml:space="preserve"> Statistic</w:t>
            </w:r>
          </w:p>
        </w:tc>
        <w:tc>
          <w:tcPr>
            <w:tcW w:w="2398" w:type="dxa"/>
            <w:vAlign w:val="center"/>
          </w:tcPr>
          <w:p w14:paraId="2BD277EE" w14:textId="28F32843" w:rsidR="00A012FF" w:rsidRPr="008B23C7" w:rsidRDefault="00A012FF" w:rsidP="002C0A18">
            <w:pPr>
              <w:jc w:val="center"/>
              <w:rPr>
                <w:rFonts w:ascii="Times" w:hAnsi="Times" w:cs="Calibri"/>
                <w:color w:val="000000" w:themeColor="text1"/>
                <w:sz w:val="22"/>
                <w:szCs w:val="22"/>
              </w:rPr>
            </w:pPr>
            <w:r w:rsidRPr="008B23C7">
              <w:rPr>
                <w:rFonts w:ascii="Times" w:hAnsi="Times" w:cs="Calibri"/>
                <w:color w:val="000000" w:themeColor="text1"/>
                <w:sz w:val="22"/>
                <w:szCs w:val="22"/>
              </w:rPr>
              <w:t>54.807</w:t>
            </w:r>
          </w:p>
        </w:tc>
        <w:tc>
          <w:tcPr>
            <w:tcW w:w="1911" w:type="dxa"/>
            <w:vAlign w:val="center"/>
          </w:tcPr>
          <w:p w14:paraId="444FAFA4" w14:textId="77777777" w:rsidR="00A012FF" w:rsidRDefault="00A012FF" w:rsidP="002C0A18">
            <w:pPr>
              <w:jc w:val="center"/>
              <w:rPr>
                <w:rFonts w:ascii="Times" w:hAnsi="Times"/>
              </w:rPr>
            </w:pPr>
          </w:p>
        </w:tc>
      </w:tr>
      <w:tr w:rsidR="00A012FF" w14:paraId="443774CB" w14:textId="77777777" w:rsidTr="002C0A18">
        <w:trPr>
          <w:trHeight w:val="558"/>
          <w:jc w:val="center"/>
        </w:trPr>
        <w:tc>
          <w:tcPr>
            <w:tcW w:w="1956" w:type="dxa"/>
            <w:vAlign w:val="center"/>
          </w:tcPr>
          <w:p w14:paraId="0CA42630" w14:textId="77777777" w:rsidR="00A012FF" w:rsidRPr="008B23C7" w:rsidRDefault="00A012FF" w:rsidP="002C0A18">
            <w:pPr>
              <w:jc w:val="center"/>
              <w:rPr>
                <w:rFonts w:ascii="Times" w:hAnsi="Times" w:cs="Calibri"/>
                <w:color w:val="000000" w:themeColor="text1"/>
                <w:sz w:val="22"/>
                <w:szCs w:val="22"/>
                <w:vertAlign w:val="superscript"/>
              </w:rPr>
            </w:pPr>
            <w:r w:rsidRPr="008B23C7">
              <w:rPr>
                <w:rFonts w:ascii="Times" w:hAnsi="Times" w:cs="Calibri"/>
                <w:color w:val="000000" w:themeColor="text1"/>
                <w:sz w:val="22"/>
                <w:szCs w:val="22"/>
              </w:rPr>
              <w:t>Adj. R</w:t>
            </w:r>
            <w:r w:rsidRPr="008B23C7">
              <w:rPr>
                <w:rFonts w:ascii="Times" w:hAnsi="Times" w:cs="Calibri"/>
                <w:color w:val="000000" w:themeColor="text1"/>
                <w:sz w:val="22"/>
                <w:szCs w:val="22"/>
                <w:vertAlign w:val="superscript"/>
              </w:rPr>
              <w:t>2</w:t>
            </w:r>
          </w:p>
        </w:tc>
        <w:tc>
          <w:tcPr>
            <w:tcW w:w="1337" w:type="dxa"/>
            <w:vAlign w:val="center"/>
          </w:tcPr>
          <w:p w14:paraId="1059A5BB" w14:textId="7F34DD06" w:rsidR="00A012FF" w:rsidRPr="008B23C7" w:rsidRDefault="00A012FF" w:rsidP="002C0A18">
            <w:pPr>
              <w:jc w:val="center"/>
              <w:rPr>
                <w:rFonts w:ascii="Times" w:hAnsi="Times" w:cs="Calibri"/>
                <w:color w:val="000000" w:themeColor="text1"/>
                <w:sz w:val="22"/>
                <w:szCs w:val="22"/>
              </w:rPr>
            </w:pPr>
            <w:r w:rsidRPr="008B23C7">
              <w:rPr>
                <w:rFonts w:ascii="Times" w:hAnsi="Times" w:cs="Calibri"/>
                <w:color w:val="000000" w:themeColor="text1"/>
                <w:sz w:val="22"/>
                <w:szCs w:val="22"/>
              </w:rPr>
              <w:t>0.825</w:t>
            </w:r>
          </w:p>
        </w:tc>
        <w:tc>
          <w:tcPr>
            <w:tcW w:w="1661" w:type="dxa"/>
            <w:vAlign w:val="center"/>
          </w:tcPr>
          <w:p w14:paraId="5A37A371" w14:textId="77777777" w:rsidR="00A012FF" w:rsidRPr="008B23C7" w:rsidRDefault="00A012FF" w:rsidP="002C0A18">
            <w:pPr>
              <w:jc w:val="center"/>
              <w:rPr>
                <w:rFonts w:ascii="Times" w:hAnsi="Times" w:cs="Calibri"/>
                <w:color w:val="000000" w:themeColor="text1"/>
                <w:sz w:val="22"/>
                <w:szCs w:val="22"/>
              </w:rPr>
            </w:pPr>
            <w:r w:rsidRPr="008B23C7">
              <w:rPr>
                <w:rFonts w:ascii="Times" w:hAnsi="Times" w:cs="Calibri"/>
                <w:i/>
                <w:iCs/>
                <w:color w:val="000000" w:themeColor="text1"/>
                <w:sz w:val="22"/>
                <w:szCs w:val="22"/>
              </w:rPr>
              <w:t>p</w:t>
            </w:r>
            <w:r w:rsidRPr="008B23C7">
              <w:rPr>
                <w:rFonts w:ascii="Times" w:hAnsi="Times" w:cs="Calibri"/>
                <w:color w:val="000000" w:themeColor="text1"/>
                <w:sz w:val="22"/>
                <w:szCs w:val="22"/>
              </w:rPr>
              <w:t xml:space="preserve"> Value</w:t>
            </w:r>
          </w:p>
        </w:tc>
        <w:tc>
          <w:tcPr>
            <w:tcW w:w="2398" w:type="dxa"/>
            <w:vAlign w:val="center"/>
          </w:tcPr>
          <w:p w14:paraId="2385FBD9" w14:textId="483802F7" w:rsidR="00A012FF" w:rsidRPr="008B23C7" w:rsidRDefault="00B92839" w:rsidP="002C0A18">
            <w:pPr>
              <w:jc w:val="center"/>
              <w:rPr>
                <w:rFonts w:ascii="Times" w:hAnsi="Times" w:cstheme="minorBidi"/>
                <w:color w:val="000000" w:themeColor="text1"/>
                <w:sz w:val="22"/>
                <w:szCs w:val="22"/>
              </w:rPr>
            </w:pPr>
            <w:r>
              <w:rPr>
                <w:rFonts w:ascii="Times" w:hAnsi="Times" w:cs="Arial"/>
                <w:color w:val="000000" w:themeColor="text1"/>
                <w:sz w:val="22"/>
                <w:szCs w:val="22"/>
                <w:shd w:val="clear" w:color="auto" w:fill="FFFFFF"/>
              </w:rPr>
              <w:t>&lt;.001</w:t>
            </w:r>
          </w:p>
        </w:tc>
        <w:tc>
          <w:tcPr>
            <w:tcW w:w="1911" w:type="dxa"/>
            <w:vAlign w:val="center"/>
          </w:tcPr>
          <w:p w14:paraId="661B667B" w14:textId="77777777" w:rsidR="00A012FF" w:rsidRDefault="00A012FF" w:rsidP="002C0A18">
            <w:pPr>
              <w:jc w:val="center"/>
              <w:rPr>
                <w:rFonts w:ascii="Times" w:hAnsi="Times"/>
              </w:rPr>
            </w:pPr>
          </w:p>
        </w:tc>
      </w:tr>
      <w:tr w:rsidR="00A012FF" w14:paraId="43E499BB" w14:textId="77777777" w:rsidTr="002C0A18">
        <w:trPr>
          <w:trHeight w:val="558"/>
          <w:jc w:val="center"/>
        </w:trPr>
        <w:tc>
          <w:tcPr>
            <w:tcW w:w="1956" w:type="dxa"/>
            <w:tcBorders>
              <w:bottom w:val="single" w:sz="4" w:space="0" w:color="auto"/>
            </w:tcBorders>
            <w:vAlign w:val="center"/>
          </w:tcPr>
          <w:p w14:paraId="1E88701B" w14:textId="77777777" w:rsidR="00A012FF" w:rsidRPr="008B23C7" w:rsidRDefault="00A012FF" w:rsidP="002C0A18">
            <w:pPr>
              <w:jc w:val="center"/>
              <w:rPr>
                <w:rFonts w:ascii="Times" w:hAnsi="Times" w:cs="Calibri"/>
                <w:color w:val="000000" w:themeColor="text1"/>
                <w:sz w:val="22"/>
                <w:szCs w:val="22"/>
              </w:rPr>
            </w:pPr>
            <w:r w:rsidRPr="008B23C7">
              <w:rPr>
                <w:rFonts w:ascii="Times" w:hAnsi="Times" w:cs="Calibri"/>
                <w:color w:val="000000" w:themeColor="text1"/>
                <w:sz w:val="22"/>
                <w:szCs w:val="22"/>
              </w:rPr>
              <w:t>Total Sum of Squares</w:t>
            </w:r>
          </w:p>
        </w:tc>
        <w:tc>
          <w:tcPr>
            <w:tcW w:w="1337" w:type="dxa"/>
            <w:tcBorders>
              <w:bottom w:val="single" w:sz="4" w:space="0" w:color="auto"/>
            </w:tcBorders>
            <w:vAlign w:val="center"/>
          </w:tcPr>
          <w:p w14:paraId="734185E9" w14:textId="77777777" w:rsidR="00A012FF" w:rsidRPr="008B23C7" w:rsidRDefault="00A012FF" w:rsidP="002C0A18">
            <w:pPr>
              <w:jc w:val="center"/>
              <w:rPr>
                <w:rFonts w:ascii="Times" w:hAnsi="Times" w:cs="Calibri"/>
                <w:color w:val="000000" w:themeColor="text1"/>
                <w:sz w:val="22"/>
                <w:szCs w:val="22"/>
              </w:rPr>
            </w:pPr>
            <w:r w:rsidRPr="008B23C7">
              <w:rPr>
                <w:rFonts w:ascii="Times" w:hAnsi="Times" w:cs="Calibri"/>
                <w:color w:val="000000" w:themeColor="text1"/>
                <w:sz w:val="22"/>
                <w:szCs w:val="22"/>
              </w:rPr>
              <w:t>788400</w:t>
            </w:r>
          </w:p>
        </w:tc>
        <w:tc>
          <w:tcPr>
            <w:tcW w:w="1661" w:type="dxa"/>
            <w:tcBorders>
              <w:bottom w:val="single" w:sz="4" w:space="0" w:color="auto"/>
            </w:tcBorders>
            <w:vAlign w:val="center"/>
          </w:tcPr>
          <w:p w14:paraId="33BB2E23" w14:textId="77777777" w:rsidR="00A012FF" w:rsidRPr="008B23C7" w:rsidRDefault="00A012FF" w:rsidP="002C0A18">
            <w:pPr>
              <w:jc w:val="center"/>
              <w:rPr>
                <w:rFonts w:ascii="Times" w:hAnsi="Times" w:cs="Calibri"/>
                <w:color w:val="000000" w:themeColor="text1"/>
                <w:sz w:val="22"/>
                <w:szCs w:val="22"/>
              </w:rPr>
            </w:pPr>
          </w:p>
        </w:tc>
        <w:tc>
          <w:tcPr>
            <w:tcW w:w="2398" w:type="dxa"/>
            <w:tcBorders>
              <w:bottom w:val="single" w:sz="4" w:space="0" w:color="auto"/>
            </w:tcBorders>
            <w:vAlign w:val="center"/>
          </w:tcPr>
          <w:p w14:paraId="2EE5BD2C" w14:textId="77777777" w:rsidR="00A012FF" w:rsidRPr="008B23C7" w:rsidRDefault="00A012FF" w:rsidP="002C0A18">
            <w:pPr>
              <w:jc w:val="center"/>
              <w:rPr>
                <w:rFonts w:ascii="Times" w:hAnsi="Times" w:cs="Calibri"/>
                <w:color w:val="000000" w:themeColor="text1"/>
                <w:sz w:val="22"/>
                <w:szCs w:val="22"/>
              </w:rPr>
            </w:pPr>
          </w:p>
        </w:tc>
        <w:tc>
          <w:tcPr>
            <w:tcW w:w="1911" w:type="dxa"/>
            <w:tcBorders>
              <w:bottom w:val="single" w:sz="4" w:space="0" w:color="auto"/>
            </w:tcBorders>
            <w:vAlign w:val="center"/>
          </w:tcPr>
          <w:p w14:paraId="3E970D43" w14:textId="77777777" w:rsidR="00A012FF" w:rsidRDefault="00A012FF" w:rsidP="002C0A18">
            <w:pPr>
              <w:jc w:val="center"/>
              <w:rPr>
                <w:rFonts w:ascii="Times" w:hAnsi="Times"/>
              </w:rPr>
            </w:pPr>
          </w:p>
        </w:tc>
      </w:tr>
    </w:tbl>
    <w:p w14:paraId="44174EE6" w14:textId="77777777" w:rsidR="00A012FF" w:rsidRDefault="00A012FF" w:rsidP="00CA56DF">
      <w:pPr>
        <w:spacing w:line="480" w:lineRule="auto"/>
        <w:rPr>
          <w:rFonts w:ascii="Times" w:eastAsiaTheme="minorEastAsia" w:hAnsi="Times"/>
        </w:rPr>
      </w:pPr>
    </w:p>
    <w:p w14:paraId="7E6822A2" w14:textId="39212E0E" w:rsidR="00A012FF" w:rsidRPr="00AF5718" w:rsidRDefault="00A012FF" w:rsidP="00A012FF">
      <w:pPr>
        <w:pStyle w:val="Caption"/>
        <w:keepNext/>
        <w:jc w:val="center"/>
        <w:rPr>
          <w:rFonts w:ascii="Times" w:hAnsi="Times"/>
          <w:b/>
          <w:bCs/>
          <w:color w:val="000000" w:themeColor="text1"/>
          <w:sz w:val="24"/>
          <w:szCs w:val="24"/>
        </w:rPr>
      </w:pPr>
      <w:r w:rsidRPr="00AF5718">
        <w:rPr>
          <w:rFonts w:ascii="Times" w:hAnsi="Times"/>
          <w:b/>
          <w:bCs/>
          <w:color w:val="000000" w:themeColor="text1"/>
          <w:sz w:val="24"/>
          <w:szCs w:val="24"/>
        </w:rPr>
        <w:lastRenderedPageBreak/>
        <w:t xml:space="preserve">Table </w:t>
      </w:r>
      <w:r>
        <w:rPr>
          <w:rFonts w:ascii="Times" w:hAnsi="Times"/>
          <w:b/>
          <w:bCs/>
          <w:color w:val="000000" w:themeColor="text1"/>
          <w:sz w:val="24"/>
          <w:szCs w:val="24"/>
        </w:rPr>
        <w:t>2</w:t>
      </w:r>
      <w:r w:rsidRPr="00AF5718">
        <w:rPr>
          <w:rFonts w:ascii="Times" w:hAnsi="Times"/>
          <w:b/>
          <w:bCs/>
          <w:color w:val="000000" w:themeColor="text1"/>
          <w:sz w:val="24"/>
          <w:szCs w:val="24"/>
        </w:rPr>
        <w:t>. Regression Output for Practice Model</w:t>
      </w:r>
    </w:p>
    <w:tbl>
      <w:tblPr>
        <w:tblStyle w:val="TableGrid"/>
        <w:tblW w:w="92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6"/>
        <w:gridCol w:w="1337"/>
        <w:gridCol w:w="1661"/>
        <w:gridCol w:w="2398"/>
        <w:gridCol w:w="1911"/>
      </w:tblGrid>
      <w:tr w:rsidR="00A012FF" w14:paraId="66B3F6B9" w14:textId="77777777" w:rsidTr="002C0A18">
        <w:trPr>
          <w:trHeight w:val="601"/>
          <w:jc w:val="center"/>
        </w:trPr>
        <w:tc>
          <w:tcPr>
            <w:tcW w:w="1956" w:type="dxa"/>
            <w:tcBorders>
              <w:top w:val="single" w:sz="4" w:space="0" w:color="auto"/>
              <w:bottom w:val="single" w:sz="4" w:space="0" w:color="auto"/>
            </w:tcBorders>
            <w:vAlign w:val="center"/>
          </w:tcPr>
          <w:p w14:paraId="7C05A552" w14:textId="77777777" w:rsidR="00A012FF" w:rsidRPr="001E59D2" w:rsidRDefault="00A012FF" w:rsidP="002C0A18">
            <w:pPr>
              <w:jc w:val="center"/>
              <w:rPr>
                <w:rFonts w:ascii="Times" w:hAnsi="Times"/>
              </w:rPr>
            </w:pPr>
            <w:r>
              <w:rPr>
                <w:rFonts w:ascii="Times" w:hAnsi="Times"/>
              </w:rPr>
              <w:t>Variable</w:t>
            </w:r>
          </w:p>
        </w:tc>
        <w:tc>
          <w:tcPr>
            <w:tcW w:w="1337" w:type="dxa"/>
            <w:tcBorders>
              <w:top w:val="single" w:sz="4" w:space="0" w:color="auto"/>
              <w:bottom w:val="single" w:sz="4" w:space="0" w:color="auto"/>
            </w:tcBorders>
            <w:vAlign w:val="center"/>
          </w:tcPr>
          <w:p w14:paraId="7FA44062" w14:textId="77777777" w:rsidR="00A012FF" w:rsidRDefault="00A012FF" w:rsidP="002C0A18">
            <w:pPr>
              <w:jc w:val="center"/>
              <w:rPr>
                <w:rFonts w:ascii="Times" w:hAnsi="Times"/>
              </w:rPr>
            </w:pPr>
            <w:r>
              <w:rPr>
                <w:rFonts w:ascii="Times" w:hAnsi="Times"/>
              </w:rPr>
              <w:t>Estimate</w:t>
            </w:r>
          </w:p>
        </w:tc>
        <w:tc>
          <w:tcPr>
            <w:tcW w:w="1661" w:type="dxa"/>
            <w:tcBorders>
              <w:top w:val="single" w:sz="4" w:space="0" w:color="auto"/>
              <w:bottom w:val="single" w:sz="4" w:space="0" w:color="auto"/>
            </w:tcBorders>
            <w:vAlign w:val="center"/>
          </w:tcPr>
          <w:p w14:paraId="5B46EAB5" w14:textId="77777777" w:rsidR="00A012FF" w:rsidRPr="001E59D2" w:rsidRDefault="00A012FF" w:rsidP="002C0A18">
            <w:pPr>
              <w:jc w:val="center"/>
              <w:rPr>
                <w:rFonts w:ascii="Times" w:hAnsi="Times"/>
              </w:rPr>
            </w:pPr>
            <w:r>
              <w:rPr>
                <w:rFonts w:ascii="Times" w:hAnsi="Times"/>
              </w:rPr>
              <w:t>Std. Error</w:t>
            </w:r>
          </w:p>
        </w:tc>
        <w:tc>
          <w:tcPr>
            <w:tcW w:w="2398" w:type="dxa"/>
            <w:tcBorders>
              <w:top w:val="single" w:sz="4" w:space="0" w:color="auto"/>
              <w:bottom w:val="single" w:sz="4" w:space="0" w:color="auto"/>
            </w:tcBorders>
            <w:vAlign w:val="center"/>
          </w:tcPr>
          <w:p w14:paraId="4AA70C60" w14:textId="77777777" w:rsidR="00A012FF" w:rsidRPr="001E59D2" w:rsidRDefault="00A012FF" w:rsidP="002C0A18">
            <w:pPr>
              <w:jc w:val="center"/>
              <w:rPr>
                <w:rFonts w:ascii="Times" w:hAnsi="Times"/>
              </w:rPr>
            </w:pPr>
            <w:r w:rsidRPr="009A23FB">
              <w:rPr>
                <w:rFonts w:ascii="Times" w:hAnsi="Times"/>
                <w:i/>
                <w:iCs/>
              </w:rPr>
              <w:t>t</w:t>
            </w:r>
            <w:r>
              <w:rPr>
                <w:rFonts w:ascii="Times" w:hAnsi="Times"/>
              </w:rPr>
              <w:t xml:space="preserve"> value</w:t>
            </w:r>
          </w:p>
        </w:tc>
        <w:tc>
          <w:tcPr>
            <w:tcW w:w="1911" w:type="dxa"/>
            <w:tcBorders>
              <w:top w:val="single" w:sz="4" w:space="0" w:color="auto"/>
              <w:bottom w:val="single" w:sz="4" w:space="0" w:color="auto"/>
            </w:tcBorders>
            <w:vAlign w:val="center"/>
          </w:tcPr>
          <w:p w14:paraId="0592AAED" w14:textId="77777777" w:rsidR="00A012FF" w:rsidRPr="001E59D2" w:rsidRDefault="00A012FF" w:rsidP="002C0A18">
            <w:pPr>
              <w:jc w:val="center"/>
              <w:rPr>
                <w:rFonts w:ascii="Times" w:hAnsi="Times"/>
              </w:rPr>
            </w:pPr>
            <w:r w:rsidRPr="009A23FB">
              <w:rPr>
                <w:rFonts w:ascii="Times" w:hAnsi="Times"/>
                <w:i/>
                <w:iCs/>
              </w:rPr>
              <w:t>p</w:t>
            </w:r>
            <w:r>
              <w:rPr>
                <w:rFonts w:ascii="Times" w:hAnsi="Times"/>
              </w:rPr>
              <w:t xml:space="preserve"> value</w:t>
            </w:r>
          </w:p>
        </w:tc>
      </w:tr>
      <w:tr w:rsidR="00A012FF" w14:paraId="767851BB" w14:textId="77777777" w:rsidTr="002C0A18">
        <w:trPr>
          <w:trHeight w:val="601"/>
          <w:jc w:val="center"/>
        </w:trPr>
        <w:tc>
          <w:tcPr>
            <w:tcW w:w="1956" w:type="dxa"/>
            <w:tcBorders>
              <w:top w:val="single" w:sz="4" w:space="0" w:color="auto"/>
            </w:tcBorders>
            <w:vAlign w:val="center"/>
          </w:tcPr>
          <w:p w14:paraId="210D12FE" w14:textId="77777777" w:rsidR="00A012FF" w:rsidRPr="00A92F86" w:rsidRDefault="00A012FF" w:rsidP="002C0A18">
            <w:pPr>
              <w:jc w:val="center"/>
              <w:rPr>
                <w:rFonts w:ascii="Times" w:hAnsi="Times" w:cs="Calibri"/>
                <w:color w:val="000000" w:themeColor="text1"/>
              </w:rPr>
            </w:pPr>
            <w:r>
              <w:rPr>
                <w:rFonts w:ascii="Times" w:hAnsi="Times" w:cs="Calibri"/>
                <w:color w:val="000000" w:themeColor="text1"/>
              </w:rPr>
              <w:t>Duration</w:t>
            </w:r>
          </w:p>
        </w:tc>
        <w:tc>
          <w:tcPr>
            <w:tcW w:w="1337" w:type="dxa"/>
            <w:tcBorders>
              <w:top w:val="single" w:sz="4" w:space="0" w:color="auto"/>
            </w:tcBorders>
            <w:vAlign w:val="center"/>
          </w:tcPr>
          <w:p w14:paraId="0D9E5073"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6.44806</w:t>
            </w:r>
          </w:p>
        </w:tc>
        <w:tc>
          <w:tcPr>
            <w:tcW w:w="1661" w:type="dxa"/>
            <w:tcBorders>
              <w:top w:val="single" w:sz="4" w:space="0" w:color="auto"/>
            </w:tcBorders>
            <w:vAlign w:val="center"/>
          </w:tcPr>
          <w:p w14:paraId="0D810BC5"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0.37619</w:t>
            </w:r>
          </w:p>
        </w:tc>
        <w:tc>
          <w:tcPr>
            <w:tcW w:w="2398" w:type="dxa"/>
            <w:tcBorders>
              <w:top w:val="single" w:sz="4" w:space="0" w:color="auto"/>
            </w:tcBorders>
            <w:vAlign w:val="center"/>
          </w:tcPr>
          <w:p w14:paraId="2AAD3CB0"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17.1405</w:t>
            </w:r>
          </w:p>
        </w:tc>
        <w:tc>
          <w:tcPr>
            <w:tcW w:w="1911" w:type="dxa"/>
            <w:tcBorders>
              <w:top w:val="single" w:sz="4" w:space="0" w:color="auto"/>
            </w:tcBorders>
            <w:vAlign w:val="center"/>
          </w:tcPr>
          <w:p w14:paraId="52FE07A6" w14:textId="09DC17F0"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&lt;</w:t>
            </w:r>
            <w:r w:rsidR="00B92839">
              <w:rPr>
                <w:rFonts w:ascii="Times" w:hAnsi="Times" w:cs="Calibri"/>
                <w:color w:val="000000" w:themeColor="text1"/>
              </w:rPr>
              <w:t>.001</w:t>
            </w:r>
          </w:p>
        </w:tc>
      </w:tr>
      <w:tr w:rsidR="00A012FF" w14:paraId="18EDF935" w14:textId="77777777" w:rsidTr="002C0A18">
        <w:trPr>
          <w:trHeight w:val="601"/>
          <w:jc w:val="center"/>
        </w:trPr>
        <w:tc>
          <w:tcPr>
            <w:tcW w:w="1956" w:type="dxa"/>
            <w:vAlign w:val="center"/>
          </w:tcPr>
          <w:p w14:paraId="00E45864"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1</w:t>
            </w:r>
          </w:p>
        </w:tc>
        <w:tc>
          <w:tcPr>
            <w:tcW w:w="1337" w:type="dxa"/>
            <w:vAlign w:val="center"/>
          </w:tcPr>
          <w:p w14:paraId="531FA5B4"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3.79369</w:t>
            </w:r>
          </w:p>
        </w:tc>
        <w:tc>
          <w:tcPr>
            <w:tcW w:w="1661" w:type="dxa"/>
            <w:vAlign w:val="center"/>
          </w:tcPr>
          <w:p w14:paraId="0024DF22"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6.36705</w:t>
            </w:r>
          </w:p>
        </w:tc>
        <w:tc>
          <w:tcPr>
            <w:tcW w:w="2398" w:type="dxa"/>
            <w:vAlign w:val="center"/>
          </w:tcPr>
          <w:p w14:paraId="2190DA25"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0.5958</w:t>
            </w:r>
          </w:p>
        </w:tc>
        <w:tc>
          <w:tcPr>
            <w:tcW w:w="1911" w:type="dxa"/>
            <w:vAlign w:val="center"/>
          </w:tcPr>
          <w:p w14:paraId="4D0D7929" w14:textId="60B6CCD8" w:rsidR="00A012FF" w:rsidRPr="00A92F86" w:rsidRDefault="00A012FF" w:rsidP="002C0A18">
            <w:pPr>
              <w:jc w:val="center"/>
              <w:rPr>
                <w:rFonts w:ascii="Times" w:hAnsi="Times"/>
                <w:color w:val="000000" w:themeColor="text1"/>
              </w:rPr>
            </w:pPr>
            <w:r w:rsidRPr="00A92F86">
              <w:rPr>
                <w:rFonts w:ascii="Times" w:hAnsi="Times"/>
                <w:color w:val="000000" w:themeColor="text1"/>
              </w:rPr>
              <w:t>.55</w:t>
            </w:r>
            <w:r w:rsidR="00B92839">
              <w:rPr>
                <w:rFonts w:ascii="Times" w:hAnsi="Times"/>
                <w:color w:val="000000" w:themeColor="text1"/>
              </w:rPr>
              <w:t>1</w:t>
            </w:r>
          </w:p>
        </w:tc>
      </w:tr>
      <w:tr w:rsidR="00A012FF" w14:paraId="0148014A" w14:textId="77777777" w:rsidTr="002C0A18">
        <w:trPr>
          <w:trHeight w:val="558"/>
          <w:jc w:val="center"/>
        </w:trPr>
        <w:tc>
          <w:tcPr>
            <w:tcW w:w="1956" w:type="dxa"/>
            <w:vAlign w:val="center"/>
          </w:tcPr>
          <w:p w14:paraId="7C7E1B86"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2</w:t>
            </w:r>
          </w:p>
        </w:tc>
        <w:tc>
          <w:tcPr>
            <w:tcW w:w="1337" w:type="dxa"/>
            <w:vAlign w:val="center"/>
          </w:tcPr>
          <w:p w14:paraId="0CF2E981"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1.87686</w:t>
            </w:r>
          </w:p>
        </w:tc>
        <w:tc>
          <w:tcPr>
            <w:tcW w:w="1661" w:type="dxa"/>
            <w:vAlign w:val="center"/>
          </w:tcPr>
          <w:p w14:paraId="5DF4BD39"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7.17077</w:t>
            </w:r>
          </w:p>
        </w:tc>
        <w:tc>
          <w:tcPr>
            <w:tcW w:w="2398" w:type="dxa"/>
            <w:vAlign w:val="center"/>
          </w:tcPr>
          <w:p w14:paraId="110C18DD"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0.2617</w:t>
            </w:r>
          </w:p>
        </w:tc>
        <w:tc>
          <w:tcPr>
            <w:tcW w:w="1911" w:type="dxa"/>
            <w:vAlign w:val="center"/>
          </w:tcPr>
          <w:p w14:paraId="18229201" w14:textId="537F41F1" w:rsidR="00A012FF" w:rsidRPr="00A92F86" w:rsidRDefault="00A012FF" w:rsidP="002C0A18">
            <w:pPr>
              <w:jc w:val="center"/>
              <w:rPr>
                <w:rFonts w:ascii="Times" w:hAnsi="Times"/>
                <w:color w:val="000000" w:themeColor="text1"/>
              </w:rPr>
            </w:pPr>
            <w:r w:rsidRPr="00A92F86">
              <w:rPr>
                <w:rFonts w:ascii="Times" w:hAnsi="Times"/>
                <w:color w:val="000000" w:themeColor="text1"/>
              </w:rPr>
              <w:t>.79</w:t>
            </w:r>
            <w:r w:rsidR="00B92839">
              <w:rPr>
                <w:rFonts w:ascii="Times" w:hAnsi="Times"/>
                <w:color w:val="000000" w:themeColor="text1"/>
              </w:rPr>
              <w:t>4</w:t>
            </w:r>
          </w:p>
        </w:tc>
      </w:tr>
      <w:tr w:rsidR="00A012FF" w14:paraId="5323C3D6" w14:textId="77777777" w:rsidTr="002C0A18">
        <w:trPr>
          <w:trHeight w:val="558"/>
          <w:jc w:val="center"/>
        </w:trPr>
        <w:tc>
          <w:tcPr>
            <w:tcW w:w="1956" w:type="dxa"/>
            <w:vAlign w:val="center"/>
          </w:tcPr>
          <w:p w14:paraId="42662DF4"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3</w:t>
            </w:r>
          </w:p>
        </w:tc>
        <w:tc>
          <w:tcPr>
            <w:tcW w:w="1337" w:type="dxa"/>
            <w:vAlign w:val="center"/>
          </w:tcPr>
          <w:p w14:paraId="64FDBAB6"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24.42440</w:t>
            </w:r>
          </w:p>
        </w:tc>
        <w:tc>
          <w:tcPr>
            <w:tcW w:w="1661" w:type="dxa"/>
            <w:vAlign w:val="center"/>
          </w:tcPr>
          <w:p w14:paraId="74F0D1F3"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6.04812</w:t>
            </w:r>
          </w:p>
        </w:tc>
        <w:tc>
          <w:tcPr>
            <w:tcW w:w="2398" w:type="dxa"/>
            <w:vAlign w:val="center"/>
          </w:tcPr>
          <w:p w14:paraId="55B33E74"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4.0383</w:t>
            </w:r>
          </w:p>
        </w:tc>
        <w:tc>
          <w:tcPr>
            <w:tcW w:w="1911" w:type="dxa"/>
            <w:vAlign w:val="center"/>
          </w:tcPr>
          <w:p w14:paraId="586FC6A0" w14:textId="424AB41A" w:rsidR="00A012FF" w:rsidRPr="00A92F86" w:rsidRDefault="00B92839" w:rsidP="002C0A18">
            <w:pPr>
              <w:jc w:val="center"/>
              <w:rPr>
                <w:rFonts w:ascii="Times" w:hAnsi="Times"/>
                <w:color w:val="000000" w:themeColor="text1"/>
              </w:rPr>
            </w:pPr>
            <w:r>
              <w:rPr>
                <w:rFonts w:ascii="Times" w:hAnsi="Times" w:cs="Arial"/>
                <w:color w:val="000000" w:themeColor="text1"/>
                <w:shd w:val="clear" w:color="auto" w:fill="FFFFFF"/>
              </w:rPr>
              <w:t>&lt;.001</w:t>
            </w:r>
          </w:p>
        </w:tc>
      </w:tr>
      <w:tr w:rsidR="00A012FF" w14:paraId="76436D4D" w14:textId="77777777" w:rsidTr="002C0A18">
        <w:trPr>
          <w:trHeight w:val="558"/>
          <w:jc w:val="center"/>
        </w:trPr>
        <w:tc>
          <w:tcPr>
            <w:tcW w:w="1956" w:type="dxa"/>
            <w:vAlign w:val="center"/>
          </w:tcPr>
          <w:p w14:paraId="1E1CCF2C"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4</w:t>
            </w:r>
          </w:p>
        </w:tc>
        <w:tc>
          <w:tcPr>
            <w:tcW w:w="1337" w:type="dxa"/>
            <w:vAlign w:val="center"/>
          </w:tcPr>
          <w:p w14:paraId="52448A13"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-1.33049</w:t>
            </w:r>
          </w:p>
        </w:tc>
        <w:tc>
          <w:tcPr>
            <w:tcW w:w="1661" w:type="dxa"/>
            <w:vAlign w:val="center"/>
          </w:tcPr>
          <w:p w14:paraId="2A71D27F"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6.14103</w:t>
            </w:r>
          </w:p>
        </w:tc>
        <w:tc>
          <w:tcPr>
            <w:tcW w:w="2398" w:type="dxa"/>
            <w:vAlign w:val="center"/>
          </w:tcPr>
          <w:p w14:paraId="6BA51293"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-0.2167</w:t>
            </w:r>
          </w:p>
        </w:tc>
        <w:tc>
          <w:tcPr>
            <w:tcW w:w="1911" w:type="dxa"/>
            <w:vAlign w:val="center"/>
          </w:tcPr>
          <w:p w14:paraId="36C67356" w14:textId="2ABA7F6A" w:rsidR="00A012FF" w:rsidRPr="00A92F86" w:rsidRDefault="00A012FF" w:rsidP="002C0A18">
            <w:pPr>
              <w:jc w:val="center"/>
              <w:rPr>
                <w:rFonts w:ascii="Times" w:hAnsi="Times"/>
                <w:color w:val="000000" w:themeColor="text1"/>
              </w:rPr>
            </w:pPr>
            <w:r w:rsidRPr="00A92F86">
              <w:rPr>
                <w:rFonts w:ascii="Times" w:hAnsi="Times"/>
                <w:color w:val="000000" w:themeColor="text1"/>
              </w:rPr>
              <w:t>.82</w:t>
            </w:r>
            <w:r w:rsidR="00B92839">
              <w:rPr>
                <w:rFonts w:ascii="Times" w:hAnsi="Times"/>
                <w:color w:val="000000" w:themeColor="text1"/>
              </w:rPr>
              <w:t>9</w:t>
            </w:r>
          </w:p>
        </w:tc>
      </w:tr>
      <w:tr w:rsidR="00A012FF" w14:paraId="53427E14" w14:textId="77777777" w:rsidTr="002C0A18">
        <w:trPr>
          <w:trHeight w:val="558"/>
          <w:jc w:val="center"/>
        </w:trPr>
        <w:tc>
          <w:tcPr>
            <w:tcW w:w="1956" w:type="dxa"/>
            <w:vAlign w:val="center"/>
          </w:tcPr>
          <w:p w14:paraId="13C5129E"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5</w:t>
            </w:r>
          </w:p>
        </w:tc>
        <w:tc>
          <w:tcPr>
            <w:tcW w:w="1337" w:type="dxa"/>
            <w:vAlign w:val="center"/>
          </w:tcPr>
          <w:p w14:paraId="0A6803C1"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-3.84564</w:t>
            </w:r>
          </w:p>
        </w:tc>
        <w:tc>
          <w:tcPr>
            <w:tcW w:w="1661" w:type="dxa"/>
            <w:vAlign w:val="center"/>
          </w:tcPr>
          <w:p w14:paraId="5364BA1C"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6.60354</w:t>
            </w:r>
          </w:p>
        </w:tc>
        <w:tc>
          <w:tcPr>
            <w:tcW w:w="2398" w:type="dxa"/>
            <w:vAlign w:val="center"/>
          </w:tcPr>
          <w:p w14:paraId="5A44AA73"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-0.5824</w:t>
            </w:r>
          </w:p>
        </w:tc>
        <w:tc>
          <w:tcPr>
            <w:tcW w:w="1911" w:type="dxa"/>
            <w:vAlign w:val="center"/>
          </w:tcPr>
          <w:p w14:paraId="174BD54C" w14:textId="27377C0E" w:rsidR="00A012FF" w:rsidRPr="00A92F86" w:rsidRDefault="00A012FF" w:rsidP="002C0A18">
            <w:pPr>
              <w:jc w:val="center"/>
              <w:rPr>
                <w:rFonts w:ascii="Times" w:hAnsi="Times"/>
                <w:color w:val="000000" w:themeColor="text1"/>
              </w:rPr>
            </w:pPr>
            <w:r w:rsidRPr="00A92F86">
              <w:rPr>
                <w:rFonts w:ascii="Times" w:hAnsi="Times"/>
                <w:color w:val="000000" w:themeColor="text1"/>
              </w:rPr>
              <w:t>.56</w:t>
            </w:r>
            <w:r w:rsidR="00B92839">
              <w:rPr>
                <w:rFonts w:ascii="Times" w:hAnsi="Times"/>
                <w:color w:val="000000" w:themeColor="text1"/>
              </w:rPr>
              <w:t>1</w:t>
            </w:r>
          </w:p>
        </w:tc>
      </w:tr>
      <w:tr w:rsidR="00A012FF" w14:paraId="30CF8E9F" w14:textId="77777777" w:rsidTr="002C0A18">
        <w:trPr>
          <w:trHeight w:val="601"/>
          <w:jc w:val="center"/>
        </w:trPr>
        <w:tc>
          <w:tcPr>
            <w:tcW w:w="1956" w:type="dxa"/>
            <w:vAlign w:val="center"/>
          </w:tcPr>
          <w:p w14:paraId="38EBAB52"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6</w:t>
            </w:r>
          </w:p>
        </w:tc>
        <w:tc>
          <w:tcPr>
            <w:tcW w:w="1337" w:type="dxa"/>
            <w:vAlign w:val="center"/>
          </w:tcPr>
          <w:p w14:paraId="44182B67"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-5.74197</w:t>
            </w:r>
          </w:p>
        </w:tc>
        <w:tc>
          <w:tcPr>
            <w:tcW w:w="1661" w:type="dxa"/>
            <w:vAlign w:val="center"/>
          </w:tcPr>
          <w:p w14:paraId="6E45D440"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6.68880</w:t>
            </w:r>
          </w:p>
        </w:tc>
        <w:tc>
          <w:tcPr>
            <w:tcW w:w="2398" w:type="dxa"/>
            <w:vAlign w:val="center"/>
          </w:tcPr>
          <w:p w14:paraId="07EC802F"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-0.8584</w:t>
            </w:r>
          </w:p>
        </w:tc>
        <w:tc>
          <w:tcPr>
            <w:tcW w:w="1911" w:type="dxa"/>
            <w:vAlign w:val="center"/>
          </w:tcPr>
          <w:p w14:paraId="16FE31F7" w14:textId="7F73EB2E" w:rsidR="00A012FF" w:rsidRPr="00A92F86" w:rsidRDefault="00B92839" w:rsidP="002C0A18">
            <w:pPr>
              <w:jc w:val="center"/>
              <w:rPr>
                <w:rFonts w:ascii="Times" w:hAnsi="Times"/>
                <w:color w:val="000000" w:themeColor="text1"/>
              </w:rPr>
            </w:pPr>
            <w:r>
              <w:rPr>
                <w:rFonts w:ascii="Times" w:hAnsi="Times"/>
                <w:color w:val="000000" w:themeColor="text1"/>
              </w:rPr>
              <w:t>.</w:t>
            </w:r>
            <w:r w:rsidR="00A012FF" w:rsidRPr="00A92F86">
              <w:rPr>
                <w:rFonts w:ascii="Times" w:hAnsi="Times"/>
                <w:color w:val="000000" w:themeColor="text1"/>
              </w:rPr>
              <w:t>39</w:t>
            </w:r>
            <w:r>
              <w:rPr>
                <w:rFonts w:ascii="Times" w:hAnsi="Times"/>
                <w:color w:val="000000" w:themeColor="text1"/>
              </w:rPr>
              <w:t>1</w:t>
            </w:r>
          </w:p>
        </w:tc>
      </w:tr>
      <w:tr w:rsidR="00A012FF" w14:paraId="4B4F56E4" w14:textId="77777777" w:rsidTr="002C0A18">
        <w:trPr>
          <w:trHeight w:val="558"/>
          <w:jc w:val="center"/>
        </w:trPr>
        <w:tc>
          <w:tcPr>
            <w:tcW w:w="1956" w:type="dxa"/>
            <w:vAlign w:val="center"/>
          </w:tcPr>
          <w:p w14:paraId="259F44F4"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7</w:t>
            </w:r>
          </w:p>
        </w:tc>
        <w:tc>
          <w:tcPr>
            <w:tcW w:w="1337" w:type="dxa"/>
            <w:vAlign w:val="center"/>
          </w:tcPr>
          <w:p w14:paraId="6A24FA49"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-8.42817</w:t>
            </w:r>
          </w:p>
        </w:tc>
        <w:tc>
          <w:tcPr>
            <w:tcW w:w="1661" w:type="dxa"/>
            <w:vAlign w:val="center"/>
          </w:tcPr>
          <w:p w14:paraId="27A2C4D2"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6.41263</w:t>
            </w:r>
          </w:p>
        </w:tc>
        <w:tc>
          <w:tcPr>
            <w:tcW w:w="2398" w:type="dxa"/>
            <w:vAlign w:val="center"/>
          </w:tcPr>
          <w:p w14:paraId="2A658142"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-1.3143</w:t>
            </w:r>
          </w:p>
        </w:tc>
        <w:tc>
          <w:tcPr>
            <w:tcW w:w="1911" w:type="dxa"/>
            <w:vAlign w:val="center"/>
          </w:tcPr>
          <w:p w14:paraId="131C9A12" w14:textId="4BAB6589" w:rsidR="00A012FF" w:rsidRPr="00A92F86" w:rsidRDefault="00A012FF" w:rsidP="002C0A18">
            <w:pPr>
              <w:jc w:val="center"/>
              <w:rPr>
                <w:rFonts w:ascii="Times" w:hAnsi="Times"/>
                <w:color w:val="000000" w:themeColor="text1"/>
              </w:rPr>
            </w:pPr>
            <w:r w:rsidRPr="00A92F86">
              <w:rPr>
                <w:rFonts w:ascii="Times" w:hAnsi="Times"/>
                <w:color w:val="000000" w:themeColor="text1"/>
              </w:rPr>
              <w:t>.189</w:t>
            </w:r>
          </w:p>
        </w:tc>
      </w:tr>
      <w:tr w:rsidR="00A012FF" w14:paraId="31F29E52" w14:textId="77777777" w:rsidTr="002C0A18">
        <w:trPr>
          <w:trHeight w:val="558"/>
          <w:jc w:val="center"/>
        </w:trPr>
        <w:tc>
          <w:tcPr>
            <w:tcW w:w="1956" w:type="dxa"/>
            <w:vAlign w:val="center"/>
          </w:tcPr>
          <w:p w14:paraId="3DC54511"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8</w:t>
            </w:r>
          </w:p>
        </w:tc>
        <w:tc>
          <w:tcPr>
            <w:tcW w:w="1337" w:type="dxa"/>
            <w:vAlign w:val="center"/>
          </w:tcPr>
          <w:p w14:paraId="53F767A7"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-6.02305</w:t>
            </w:r>
          </w:p>
        </w:tc>
        <w:tc>
          <w:tcPr>
            <w:tcW w:w="1661" w:type="dxa"/>
            <w:vAlign w:val="center"/>
          </w:tcPr>
          <w:p w14:paraId="555060A3"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6.50914</w:t>
            </w:r>
          </w:p>
        </w:tc>
        <w:tc>
          <w:tcPr>
            <w:tcW w:w="2398" w:type="dxa"/>
            <w:vAlign w:val="center"/>
          </w:tcPr>
          <w:p w14:paraId="0798276F"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-0.9253</w:t>
            </w:r>
          </w:p>
        </w:tc>
        <w:tc>
          <w:tcPr>
            <w:tcW w:w="1911" w:type="dxa"/>
            <w:vAlign w:val="center"/>
          </w:tcPr>
          <w:p w14:paraId="732D751C" w14:textId="58DF16F1" w:rsidR="00A012FF" w:rsidRPr="00A92F86" w:rsidRDefault="00A012FF" w:rsidP="002C0A18">
            <w:pPr>
              <w:jc w:val="center"/>
              <w:rPr>
                <w:rFonts w:ascii="Times" w:hAnsi="Times"/>
                <w:color w:val="000000" w:themeColor="text1"/>
              </w:rPr>
            </w:pPr>
            <w:r w:rsidRPr="00A92F86">
              <w:rPr>
                <w:rFonts w:ascii="Times" w:hAnsi="Times"/>
                <w:color w:val="000000" w:themeColor="text1"/>
              </w:rPr>
              <w:t>.355</w:t>
            </w:r>
          </w:p>
        </w:tc>
      </w:tr>
      <w:tr w:rsidR="00A012FF" w14:paraId="662A3E08" w14:textId="77777777" w:rsidTr="002C0A18">
        <w:trPr>
          <w:trHeight w:val="515"/>
          <w:jc w:val="center"/>
        </w:trPr>
        <w:tc>
          <w:tcPr>
            <w:tcW w:w="1956" w:type="dxa"/>
            <w:vAlign w:val="center"/>
          </w:tcPr>
          <w:p w14:paraId="43B0800A"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9</w:t>
            </w:r>
          </w:p>
        </w:tc>
        <w:tc>
          <w:tcPr>
            <w:tcW w:w="1337" w:type="dxa"/>
            <w:vAlign w:val="center"/>
          </w:tcPr>
          <w:p w14:paraId="652CC7B6"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-1.93072</w:t>
            </w:r>
          </w:p>
        </w:tc>
        <w:tc>
          <w:tcPr>
            <w:tcW w:w="1661" w:type="dxa"/>
            <w:vAlign w:val="center"/>
          </w:tcPr>
          <w:p w14:paraId="01F68749"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6.90999</w:t>
            </w:r>
          </w:p>
        </w:tc>
        <w:tc>
          <w:tcPr>
            <w:tcW w:w="2398" w:type="dxa"/>
            <w:vAlign w:val="center"/>
          </w:tcPr>
          <w:p w14:paraId="69B099CA"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-0.2794</w:t>
            </w:r>
          </w:p>
        </w:tc>
        <w:tc>
          <w:tcPr>
            <w:tcW w:w="1911" w:type="dxa"/>
            <w:vAlign w:val="center"/>
          </w:tcPr>
          <w:p w14:paraId="3708C2E9" w14:textId="0C0E4F14" w:rsidR="00A012FF" w:rsidRPr="00A92F86" w:rsidRDefault="00A012FF" w:rsidP="002C0A18">
            <w:pPr>
              <w:jc w:val="center"/>
              <w:rPr>
                <w:rFonts w:ascii="Times" w:hAnsi="Times"/>
                <w:color w:val="000000" w:themeColor="text1"/>
              </w:rPr>
            </w:pPr>
            <w:r w:rsidRPr="00A92F86">
              <w:rPr>
                <w:rFonts w:ascii="Times" w:hAnsi="Times"/>
                <w:color w:val="000000" w:themeColor="text1"/>
              </w:rPr>
              <w:t>.780</w:t>
            </w:r>
          </w:p>
        </w:tc>
      </w:tr>
      <w:tr w:rsidR="00A012FF" w14:paraId="5FF3B1A1" w14:textId="77777777" w:rsidTr="002C0A18">
        <w:trPr>
          <w:trHeight w:val="601"/>
          <w:jc w:val="center"/>
        </w:trPr>
        <w:tc>
          <w:tcPr>
            <w:tcW w:w="1956" w:type="dxa"/>
            <w:vAlign w:val="center"/>
          </w:tcPr>
          <w:p w14:paraId="7D9AAD7E"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10</w:t>
            </w:r>
          </w:p>
        </w:tc>
        <w:tc>
          <w:tcPr>
            <w:tcW w:w="1337" w:type="dxa"/>
            <w:vAlign w:val="center"/>
          </w:tcPr>
          <w:p w14:paraId="31FEACE4"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-0.99964</w:t>
            </w:r>
          </w:p>
        </w:tc>
        <w:tc>
          <w:tcPr>
            <w:tcW w:w="1661" w:type="dxa"/>
            <w:vAlign w:val="center"/>
          </w:tcPr>
          <w:p w14:paraId="123B72E2"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7.03884</w:t>
            </w:r>
          </w:p>
        </w:tc>
        <w:tc>
          <w:tcPr>
            <w:tcW w:w="2398" w:type="dxa"/>
            <w:vAlign w:val="center"/>
          </w:tcPr>
          <w:p w14:paraId="0DB30998"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-0.1420</w:t>
            </w:r>
          </w:p>
        </w:tc>
        <w:tc>
          <w:tcPr>
            <w:tcW w:w="1911" w:type="dxa"/>
            <w:vAlign w:val="center"/>
          </w:tcPr>
          <w:p w14:paraId="2883B641" w14:textId="4AE85B91" w:rsidR="00A012FF" w:rsidRPr="00A92F86" w:rsidRDefault="00A012FF" w:rsidP="002C0A18">
            <w:pPr>
              <w:jc w:val="center"/>
              <w:rPr>
                <w:rFonts w:ascii="Times" w:hAnsi="Times"/>
                <w:color w:val="000000" w:themeColor="text1"/>
              </w:rPr>
            </w:pPr>
            <w:r w:rsidRPr="00A92F86">
              <w:rPr>
                <w:rFonts w:ascii="Times" w:hAnsi="Times"/>
                <w:color w:val="000000" w:themeColor="text1"/>
              </w:rPr>
              <w:t>.887</w:t>
            </w:r>
          </w:p>
        </w:tc>
      </w:tr>
      <w:tr w:rsidR="00A012FF" w14:paraId="3E2FB8C6" w14:textId="77777777" w:rsidTr="002C0A18">
        <w:trPr>
          <w:trHeight w:val="558"/>
          <w:jc w:val="center"/>
        </w:trPr>
        <w:tc>
          <w:tcPr>
            <w:tcW w:w="1956" w:type="dxa"/>
            <w:vAlign w:val="center"/>
          </w:tcPr>
          <w:p w14:paraId="22F25B69"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11</w:t>
            </w:r>
          </w:p>
        </w:tc>
        <w:tc>
          <w:tcPr>
            <w:tcW w:w="1337" w:type="dxa"/>
            <w:vAlign w:val="center"/>
          </w:tcPr>
          <w:p w14:paraId="46A99087"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-10.29170</w:t>
            </w:r>
          </w:p>
        </w:tc>
        <w:tc>
          <w:tcPr>
            <w:tcW w:w="1661" w:type="dxa"/>
            <w:vAlign w:val="center"/>
          </w:tcPr>
          <w:p w14:paraId="721A6C86"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6.48564</w:t>
            </w:r>
          </w:p>
        </w:tc>
        <w:tc>
          <w:tcPr>
            <w:tcW w:w="2398" w:type="dxa"/>
            <w:vAlign w:val="center"/>
          </w:tcPr>
          <w:p w14:paraId="7AC23694"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-1.5868</w:t>
            </w:r>
          </w:p>
        </w:tc>
        <w:tc>
          <w:tcPr>
            <w:tcW w:w="1911" w:type="dxa"/>
            <w:vAlign w:val="center"/>
          </w:tcPr>
          <w:p w14:paraId="07B4CD2C" w14:textId="50314B40" w:rsidR="00A012FF" w:rsidRPr="00A92F86" w:rsidRDefault="00A012FF" w:rsidP="002C0A18">
            <w:pPr>
              <w:jc w:val="center"/>
              <w:rPr>
                <w:rFonts w:ascii="Times" w:hAnsi="Times"/>
                <w:color w:val="000000" w:themeColor="text1"/>
              </w:rPr>
            </w:pPr>
            <w:r w:rsidRPr="00A92F86">
              <w:rPr>
                <w:rFonts w:ascii="Times" w:hAnsi="Times"/>
                <w:color w:val="000000" w:themeColor="text1"/>
              </w:rPr>
              <w:t>.11</w:t>
            </w:r>
            <w:r w:rsidR="00B92839">
              <w:rPr>
                <w:rFonts w:ascii="Times" w:hAnsi="Times"/>
                <w:color w:val="000000" w:themeColor="text1"/>
              </w:rPr>
              <w:t>3</w:t>
            </w:r>
          </w:p>
        </w:tc>
      </w:tr>
      <w:tr w:rsidR="00A012FF" w14:paraId="26C5FFD3" w14:textId="77777777" w:rsidTr="002C0A18">
        <w:trPr>
          <w:trHeight w:val="558"/>
          <w:jc w:val="center"/>
        </w:trPr>
        <w:tc>
          <w:tcPr>
            <w:tcW w:w="1956" w:type="dxa"/>
            <w:vAlign w:val="center"/>
          </w:tcPr>
          <w:p w14:paraId="47D048B7"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12</w:t>
            </w:r>
          </w:p>
        </w:tc>
        <w:tc>
          <w:tcPr>
            <w:tcW w:w="1337" w:type="dxa"/>
            <w:vAlign w:val="center"/>
          </w:tcPr>
          <w:p w14:paraId="1C826495"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-4.61906</w:t>
            </w:r>
          </w:p>
        </w:tc>
        <w:tc>
          <w:tcPr>
            <w:tcW w:w="1661" w:type="dxa"/>
            <w:vAlign w:val="center"/>
          </w:tcPr>
          <w:p w14:paraId="51596246"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7.24800</w:t>
            </w:r>
          </w:p>
        </w:tc>
        <w:tc>
          <w:tcPr>
            <w:tcW w:w="2398" w:type="dxa"/>
            <w:vAlign w:val="center"/>
          </w:tcPr>
          <w:p w14:paraId="6D1BEF78"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-0.6373</w:t>
            </w:r>
          </w:p>
        </w:tc>
        <w:tc>
          <w:tcPr>
            <w:tcW w:w="1911" w:type="dxa"/>
            <w:vAlign w:val="center"/>
          </w:tcPr>
          <w:p w14:paraId="63BEB8D7" w14:textId="3D5DCAFA" w:rsidR="00A012FF" w:rsidRPr="00A92F86" w:rsidRDefault="00A012FF" w:rsidP="002C0A18">
            <w:pPr>
              <w:jc w:val="center"/>
              <w:rPr>
                <w:rFonts w:ascii="Times" w:hAnsi="Times"/>
                <w:color w:val="000000" w:themeColor="text1"/>
              </w:rPr>
            </w:pPr>
            <w:r w:rsidRPr="00A92F86">
              <w:rPr>
                <w:rFonts w:ascii="Times" w:hAnsi="Times"/>
                <w:color w:val="000000" w:themeColor="text1"/>
              </w:rPr>
              <w:t>.52</w:t>
            </w:r>
            <w:r w:rsidR="00B92839">
              <w:rPr>
                <w:rFonts w:ascii="Times" w:hAnsi="Times"/>
                <w:color w:val="000000" w:themeColor="text1"/>
              </w:rPr>
              <w:t>4</w:t>
            </w:r>
          </w:p>
        </w:tc>
      </w:tr>
      <w:tr w:rsidR="00A012FF" w14:paraId="09A0ADFC" w14:textId="77777777" w:rsidTr="002C0A18">
        <w:trPr>
          <w:trHeight w:val="558"/>
          <w:jc w:val="center"/>
        </w:trPr>
        <w:tc>
          <w:tcPr>
            <w:tcW w:w="1956" w:type="dxa"/>
            <w:vAlign w:val="center"/>
          </w:tcPr>
          <w:p w14:paraId="14F414D3"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13</w:t>
            </w:r>
          </w:p>
        </w:tc>
        <w:tc>
          <w:tcPr>
            <w:tcW w:w="1337" w:type="dxa"/>
            <w:vAlign w:val="center"/>
          </w:tcPr>
          <w:p w14:paraId="72CFADF4"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-5.34945</w:t>
            </w:r>
          </w:p>
        </w:tc>
        <w:tc>
          <w:tcPr>
            <w:tcW w:w="1661" w:type="dxa"/>
            <w:vAlign w:val="center"/>
          </w:tcPr>
          <w:p w14:paraId="24515889"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6.74224</w:t>
            </w:r>
          </w:p>
        </w:tc>
        <w:tc>
          <w:tcPr>
            <w:tcW w:w="2398" w:type="dxa"/>
            <w:vAlign w:val="center"/>
          </w:tcPr>
          <w:p w14:paraId="5FBE5303"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-0.7934</w:t>
            </w:r>
          </w:p>
        </w:tc>
        <w:tc>
          <w:tcPr>
            <w:tcW w:w="1911" w:type="dxa"/>
            <w:vAlign w:val="center"/>
          </w:tcPr>
          <w:p w14:paraId="238392BA" w14:textId="175CA642" w:rsidR="00A012FF" w:rsidRPr="00A92F86" w:rsidRDefault="00A012FF" w:rsidP="002C0A18">
            <w:pPr>
              <w:jc w:val="center"/>
              <w:rPr>
                <w:rFonts w:ascii="Times" w:hAnsi="Times"/>
                <w:color w:val="000000" w:themeColor="text1"/>
              </w:rPr>
            </w:pPr>
            <w:r w:rsidRPr="00A92F86">
              <w:rPr>
                <w:rFonts w:ascii="Times" w:hAnsi="Times"/>
                <w:color w:val="000000" w:themeColor="text1"/>
              </w:rPr>
              <w:t>.42</w:t>
            </w:r>
            <w:r w:rsidR="00B92839">
              <w:rPr>
                <w:rFonts w:ascii="Times" w:hAnsi="Times"/>
                <w:color w:val="000000" w:themeColor="text1"/>
              </w:rPr>
              <w:t>8</w:t>
            </w:r>
          </w:p>
        </w:tc>
      </w:tr>
      <w:tr w:rsidR="00A012FF" w14:paraId="6EFBD144" w14:textId="77777777" w:rsidTr="002C0A18">
        <w:trPr>
          <w:trHeight w:val="558"/>
          <w:jc w:val="center"/>
        </w:trPr>
        <w:tc>
          <w:tcPr>
            <w:tcW w:w="1956" w:type="dxa"/>
            <w:vAlign w:val="center"/>
          </w:tcPr>
          <w:p w14:paraId="743F49CD"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14</w:t>
            </w:r>
          </w:p>
        </w:tc>
        <w:tc>
          <w:tcPr>
            <w:tcW w:w="1337" w:type="dxa"/>
            <w:vAlign w:val="center"/>
          </w:tcPr>
          <w:p w14:paraId="3AFF3296"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9.54945</w:t>
            </w:r>
          </w:p>
        </w:tc>
        <w:tc>
          <w:tcPr>
            <w:tcW w:w="1661" w:type="dxa"/>
            <w:vAlign w:val="center"/>
          </w:tcPr>
          <w:p w14:paraId="6B447ABB"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6.96247</w:t>
            </w:r>
          </w:p>
        </w:tc>
        <w:tc>
          <w:tcPr>
            <w:tcW w:w="2398" w:type="dxa"/>
            <w:vAlign w:val="center"/>
          </w:tcPr>
          <w:p w14:paraId="3D255AC2"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1.371</w:t>
            </w:r>
          </w:p>
        </w:tc>
        <w:tc>
          <w:tcPr>
            <w:tcW w:w="1911" w:type="dxa"/>
            <w:vAlign w:val="center"/>
          </w:tcPr>
          <w:p w14:paraId="5D17A402" w14:textId="5E545C31" w:rsidR="00A012FF" w:rsidRPr="00A92F86" w:rsidRDefault="00A012FF" w:rsidP="002C0A18">
            <w:pPr>
              <w:jc w:val="center"/>
              <w:rPr>
                <w:rFonts w:ascii="Times" w:hAnsi="Times"/>
                <w:color w:val="000000" w:themeColor="text1"/>
              </w:rPr>
            </w:pPr>
            <w:r w:rsidRPr="00A92F86">
              <w:rPr>
                <w:rFonts w:ascii="Times" w:hAnsi="Times"/>
                <w:color w:val="000000" w:themeColor="text1"/>
              </w:rPr>
              <w:t>.17</w:t>
            </w:r>
            <w:r w:rsidR="00B92839">
              <w:rPr>
                <w:rFonts w:ascii="Times" w:hAnsi="Times"/>
                <w:color w:val="000000" w:themeColor="text1"/>
              </w:rPr>
              <w:t>1</w:t>
            </w:r>
          </w:p>
        </w:tc>
      </w:tr>
      <w:tr w:rsidR="00A012FF" w14:paraId="378356BA" w14:textId="77777777" w:rsidTr="002C0A18">
        <w:trPr>
          <w:trHeight w:val="558"/>
          <w:jc w:val="center"/>
        </w:trPr>
        <w:tc>
          <w:tcPr>
            <w:tcW w:w="1956" w:type="dxa"/>
            <w:vAlign w:val="center"/>
          </w:tcPr>
          <w:p w14:paraId="4D981729" w14:textId="77777777" w:rsidR="00A012FF" w:rsidRPr="00A92F86" w:rsidRDefault="00A012FF" w:rsidP="002C0A18">
            <w:pPr>
              <w:jc w:val="center"/>
              <w:rPr>
                <w:rFonts w:ascii="Times" w:hAnsi="Times"/>
                <w:color w:val="000000" w:themeColor="text1"/>
              </w:rPr>
            </w:pPr>
            <w:r w:rsidRPr="00A92F86">
              <w:rPr>
                <w:rFonts w:ascii="Times" w:hAnsi="Times" w:cs="Calibri"/>
                <w:color w:val="000000" w:themeColor="text1"/>
              </w:rPr>
              <w:t>Player 15</w:t>
            </w:r>
          </w:p>
        </w:tc>
        <w:tc>
          <w:tcPr>
            <w:tcW w:w="1337" w:type="dxa"/>
            <w:vAlign w:val="center"/>
          </w:tcPr>
          <w:p w14:paraId="5EBD6AAA"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6.95374</w:t>
            </w:r>
          </w:p>
        </w:tc>
        <w:tc>
          <w:tcPr>
            <w:tcW w:w="1661" w:type="dxa"/>
            <w:vAlign w:val="center"/>
          </w:tcPr>
          <w:p w14:paraId="23B1F5BE"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8.67135</w:t>
            </w:r>
          </w:p>
        </w:tc>
        <w:tc>
          <w:tcPr>
            <w:tcW w:w="2398" w:type="dxa"/>
            <w:vAlign w:val="center"/>
          </w:tcPr>
          <w:p w14:paraId="7D2D48C5"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0.8019</w:t>
            </w:r>
          </w:p>
        </w:tc>
        <w:tc>
          <w:tcPr>
            <w:tcW w:w="1911" w:type="dxa"/>
            <w:vAlign w:val="center"/>
          </w:tcPr>
          <w:p w14:paraId="4D4DAA19" w14:textId="3BC8DBDB" w:rsidR="00A012FF" w:rsidRPr="00A92F86" w:rsidRDefault="00A012FF" w:rsidP="002C0A18">
            <w:pPr>
              <w:jc w:val="center"/>
              <w:rPr>
                <w:rFonts w:ascii="Times" w:hAnsi="Times"/>
                <w:color w:val="000000" w:themeColor="text1"/>
              </w:rPr>
            </w:pPr>
            <w:r w:rsidRPr="00A92F86">
              <w:rPr>
                <w:rFonts w:ascii="Times" w:hAnsi="Times"/>
                <w:color w:val="000000" w:themeColor="text1"/>
              </w:rPr>
              <w:t>.42</w:t>
            </w:r>
            <w:r w:rsidR="00B92839">
              <w:rPr>
                <w:rFonts w:ascii="Times" w:hAnsi="Times"/>
                <w:color w:val="000000" w:themeColor="text1"/>
              </w:rPr>
              <w:t>3</w:t>
            </w:r>
          </w:p>
        </w:tc>
      </w:tr>
      <w:tr w:rsidR="00A012FF" w14:paraId="3198A0A5" w14:textId="77777777" w:rsidTr="002C0A18">
        <w:trPr>
          <w:trHeight w:val="558"/>
          <w:jc w:val="center"/>
        </w:trPr>
        <w:tc>
          <w:tcPr>
            <w:tcW w:w="1956" w:type="dxa"/>
            <w:vAlign w:val="center"/>
          </w:tcPr>
          <w:p w14:paraId="44A2E8A6"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1*Duration</w:t>
            </w:r>
          </w:p>
        </w:tc>
        <w:tc>
          <w:tcPr>
            <w:tcW w:w="1337" w:type="dxa"/>
            <w:vAlign w:val="center"/>
          </w:tcPr>
          <w:p w14:paraId="38C4024B"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0.79762</w:t>
            </w:r>
          </w:p>
        </w:tc>
        <w:tc>
          <w:tcPr>
            <w:tcW w:w="1661" w:type="dxa"/>
            <w:vAlign w:val="center"/>
          </w:tcPr>
          <w:p w14:paraId="5298D6DB"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0.51965</w:t>
            </w:r>
          </w:p>
        </w:tc>
        <w:tc>
          <w:tcPr>
            <w:tcW w:w="2398" w:type="dxa"/>
            <w:vAlign w:val="center"/>
          </w:tcPr>
          <w:p w14:paraId="4C7760B5"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1.5349</w:t>
            </w:r>
          </w:p>
        </w:tc>
        <w:tc>
          <w:tcPr>
            <w:tcW w:w="1911" w:type="dxa"/>
            <w:vAlign w:val="center"/>
          </w:tcPr>
          <w:p w14:paraId="1AC5CEBB" w14:textId="4B071DBB" w:rsidR="00A012FF" w:rsidRPr="00A92F86" w:rsidRDefault="00B92839" w:rsidP="002C0A18">
            <w:pPr>
              <w:jc w:val="center"/>
              <w:rPr>
                <w:rFonts w:ascii="Times" w:hAnsi="Times"/>
                <w:color w:val="000000" w:themeColor="text1"/>
              </w:rPr>
            </w:pPr>
            <w:r>
              <w:rPr>
                <w:rFonts w:ascii="Times" w:hAnsi="Times"/>
                <w:sz w:val="22"/>
                <w:szCs w:val="22"/>
              </w:rPr>
              <w:t>.</w:t>
            </w:r>
            <w:r w:rsidR="00A012FF" w:rsidRPr="006813C2">
              <w:rPr>
                <w:rFonts w:ascii="Times" w:hAnsi="Times"/>
                <w:sz w:val="22"/>
                <w:szCs w:val="22"/>
              </w:rPr>
              <w:t>125</w:t>
            </w:r>
          </w:p>
        </w:tc>
      </w:tr>
      <w:tr w:rsidR="00A012FF" w14:paraId="3A6FFD06" w14:textId="77777777" w:rsidTr="002C0A18">
        <w:trPr>
          <w:trHeight w:val="558"/>
          <w:jc w:val="center"/>
        </w:trPr>
        <w:tc>
          <w:tcPr>
            <w:tcW w:w="1956" w:type="dxa"/>
            <w:vAlign w:val="center"/>
          </w:tcPr>
          <w:p w14:paraId="4757A312"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2*Duration</w:t>
            </w:r>
          </w:p>
        </w:tc>
        <w:tc>
          <w:tcPr>
            <w:tcW w:w="1337" w:type="dxa"/>
            <w:vAlign w:val="center"/>
          </w:tcPr>
          <w:p w14:paraId="0817CE2C"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1.72518</w:t>
            </w:r>
          </w:p>
        </w:tc>
        <w:tc>
          <w:tcPr>
            <w:tcW w:w="1661" w:type="dxa"/>
            <w:vAlign w:val="center"/>
          </w:tcPr>
          <w:p w14:paraId="144D1F4A"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0.63560</w:t>
            </w:r>
          </w:p>
        </w:tc>
        <w:tc>
          <w:tcPr>
            <w:tcW w:w="2398" w:type="dxa"/>
            <w:vAlign w:val="center"/>
          </w:tcPr>
          <w:p w14:paraId="6DB62149"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2.7143</w:t>
            </w:r>
          </w:p>
        </w:tc>
        <w:tc>
          <w:tcPr>
            <w:tcW w:w="1911" w:type="dxa"/>
            <w:vAlign w:val="center"/>
          </w:tcPr>
          <w:p w14:paraId="7F27F1B1" w14:textId="448EDBE4" w:rsidR="00A012FF" w:rsidRPr="00A92F86" w:rsidRDefault="00B92839" w:rsidP="002C0A18">
            <w:pPr>
              <w:jc w:val="center"/>
              <w:rPr>
                <w:rFonts w:ascii="Times" w:hAnsi="Times"/>
                <w:color w:val="000000" w:themeColor="text1"/>
              </w:rPr>
            </w:pPr>
            <w:r>
              <w:rPr>
                <w:rFonts w:ascii="Times" w:hAnsi="Times"/>
                <w:sz w:val="22"/>
                <w:szCs w:val="22"/>
              </w:rPr>
              <w:t>.</w:t>
            </w:r>
            <w:r w:rsidR="00A012FF" w:rsidRPr="006813C2">
              <w:rPr>
                <w:rFonts w:ascii="Times" w:hAnsi="Times"/>
                <w:sz w:val="22"/>
                <w:szCs w:val="22"/>
              </w:rPr>
              <w:t>00</w:t>
            </w:r>
            <w:r>
              <w:rPr>
                <w:rFonts w:ascii="Times" w:hAnsi="Times"/>
                <w:sz w:val="22"/>
                <w:szCs w:val="22"/>
              </w:rPr>
              <w:t>6</w:t>
            </w:r>
          </w:p>
        </w:tc>
      </w:tr>
      <w:tr w:rsidR="00A012FF" w14:paraId="715074E4" w14:textId="77777777" w:rsidTr="002C0A18">
        <w:trPr>
          <w:trHeight w:val="558"/>
          <w:jc w:val="center"/>
        </w:trPr>
        <w:tc>
          <w:tcPr>
            <w:tcW w:w="1956" w:type="dxa"/>
            <w:vAlign w:val="center"/>
          </w:tcPr>
          <w:p w14:paraId="754AB468"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3*Duration</w:t>
            </w:r>
          </w:p>
        </w:tc>
        <w:tc>
          <w:tcPr>
            <w:tcW w:w="1337" w:type="dxa"/>
            <w:vAlign w:val="center"/>
          </w:tcPr>
          <w:p w14:paraId="4DF7E2D5"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-1.09583</w:t>
            </w:r>
          </w:p>
        </w:tc>
        <w:tc>
          <w:tcPr>
            <w:tcW w:w="1661" w:type="dxa"/>
            <w:vAlign w:val="center"/>
          </w:tcPr>
          <w:p w14:paraId="39C5D255"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0.45196</w:t>
            </w:r>
          </w:p>
        </w:tc>
        <w:tc>
          <w:tcPr>
            <w:tcW w:w="2398" w:type="dxa"/>
            <w:vAlign w:val="center"/>
          </w:tcPr>
          <w:p w14:paraId="7522CF42"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-2.4246</w:t>
            </w:r>
          </w:p>
        </w:tc>
        <w:tc>
          <w:tcPr>
            <w:tcW w:w="1911" w:type="dxa"/>
            <w:vAlign w:val="center"/>
          </w:tcPr>
          <w:p w14:paraId="537602A6" w14:textId="56900D73" w:rsidR="00A012FF" w:rsidRPr="00A92F86" w:rsidRDefault="00A012FF" w:rsidP="002C0A18">
            <w:pPr>
              <w:jc w:val="center"/>
              <w:rPr>
                <w:rFonts w:ascii="Times" w:hAnsi="Times"/>
                <w:color w:val="000000" w:themeColor="text1"/>
              </w:rPr>
            </w:pPr>
            <w:r w:rsidRPr="006813C2">
              <w:rPr>
                <w:rFonts w:ascii="Times" w:hAnsi="Times"/>
                <w:sz w:val="22"/>
                <w:szCs w:val="22"/>
              </w:rPr>
              <w:t>.01</w:t>
            </w:r>
            <w:r w:rsidR="00B92839">
              <w:rPr>
                <w:rFonts w:ascii="Times" w:hAnsi="Times"/>
                <w:sz w:val="22"/>
                <w:szCs w:val="22"/>
              </w:rPr>
              <w:t>6</w:t>
            </w:r>
          </w:p>
        </w:tc>
      </w:tr>
      <w:tr w:rsidR="00A012FF" w14:paraId="3D17D146" w14:textId="77777777" w:rsidTr="002C0A18">
        <w:trPr>
          <w:trHeight w:val="558"/>
          <w:jc w:val="center"/>
        </w:trPr>
        <w:tc>
          <w:tcPr>
            <w:tcW w:w="1956" w:type="dxa"/>
            <w:vAlign w:val="center"/>
          </w:tcPr>
          <w:p w14:paraId="36A13FD2"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4*Duration</w:t>
            </w:r>
          </w:p>
        </w:tc>
        <w:tc>
          <w:tcPr>
            <w:tcW w:w="1337" w:type="dxa"/>
            <w:vAlign w:val="center"/>
          </w:tcPr>
          <w:p w14:paraId="631A31D4"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1.10445</w:t>
            </w:r>
          </w:p>
        </w:tc>
        <w:tc>
          <w:tcPr>
            <w:tcW w:w="1661" w:type="dxa"/>
            <w:vAlign w:val="center"/>
          </w:tcPr>
          <w:p w14:paraId="7EF68A59"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0.53843</w:t>
            </w:r>
          </w:p>
        </w:tc>
        <w:tc>
          <w:tcPr>
            <w:tcW w:w="2398" w:type="dxa"/>
            <w:vAlign w:val="center"/>
          </w:tcPr>
          <w:p w14:paraId="53266D98"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2.0512</w:t>
            </w:r>
          </w:p>
        </w:tc>
        <w:tc>
          <w:tcPr>
            <w:tcW w:w="1911" w:type="dxa"/>
            <w:vAlign w:val="center"/>
          </w:tcPr>
          <w:p w14:paraId="04474467" w14:textId="2E01D34C" w:rsidR="00A012FF" w:rsidRPr="00A92F86" w:rsidRDefault="00A012FF" w:rsidP="002C0A18">
            <w:pPr>
              <w:jc w:val="center"/>
              <w:rPr>
                <w:rFonts w:ascii="Times" w:hAnsi="Times"/>
                <w:color w:val="000000" w:themeColor="text1"/>
              </w:rPr>
            </w:pPr>
            <w:r w:rsidRPr="006813C2">
              <w:rPr>
                <w:rFonts w:ascii="Times" w:hAnsi="Times"/>
                <w:sz w:val="22"/>
                <w:szCs w:val="22"/>
              </w:rPr>
              <w:t>.04</w:t>
            </w:r>
            <w:r w:rsidR="00B92839">
              <w:rPr>
                <w:rFonts w:ascii="Times" w:hAnsi="Times"/>
                <w:sz w:val="22"/>
                <w:szCs w:val="22"/>
              </w:rPr>
              <w:t>1</w:t>
            </w:r>
          </w:p>
        </w:tc>
      </w:tr>
      <w:tr w:rsidR="00A012FF" w14:paraId="13A5C91A" w14:textId="77777777" w:rsidTr="002C0A18">
        <w:trPr>
          <w:trHeight w:val="558"/>
          <w:jc w:val="center"/>
        </w:trPr>
        <w:tc>
          <w:tcPr>
            <w:tcW w:w="1956" w:type="dxa"/>
            <w:vAlign w:val="center"/>
          </w:tcPr>
          <w:p w14:paraId="55C44A90"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5*Duration</w:t>
            </w:r>
          </w:p>
        </w:tc>
        <w:tc>
          <w:tcPr>
            <w:tcW w:w="1337" w:type="dxa"/>
            <w:vAlign w:val="center"/>
          </w:tcPr>
          <w:p w14:paraId="666D51DF"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2.03928</w:t>
            </w:r>
          </w:p>
        </w:tc>
        <w:tc>
          <w:tcPr>
            <w:tcW w:w="1661" w:type="dxa"/>
            <w:vAlign w:val="center"/>
          </w:tcPr>
          <w:p w14:paraId="0AEAD6DE"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0.57778</w:t>
            </w:r>
          </w:p>
        </w:tc>
        <w:tc>
          <w:tcPr>
            <w:tcW w:w="2398" w:type="dxa"/>
            <w:vAlign w:val="center"/>
          </w:tcPr>
          <w:p w14:paraId="6E41C9FA"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3.5295</w:t>
            </w:r>
          </w:p>
        </w:tc>
        <w:tc>
          <w:tcPr>
            <w:tcW w:w="1911" w:type="dxa"/>
            <w:vAlign w:val="center"/>
          </w:tcPr>
          <w:p w14:paraId="6CEE7906" w14:textId="4DB72F21" w:rsidR="00A012FF" w:rsidRPr="00A92F86" w:rsidRDefault="00B92839" w:rsidP="002C0A18">
            <w:pPr>
              <w:jc w:val="center"/>
              <w:rPr>
                <w:rFonts w:ascii="Times" w:hAnsi="Times"/>
                <w:color w:val="000000" w:themeColor="text1"/>
              </w:rPr>
            </w:pPr>
            <w:r>
              <w:rPr>
                <w:rFonts w:ascii="Times" w:hAnsi="Times"/>
                <w:sz w:val="22"/>
                <w:szCs w:val="22"/>
              </w:rPr>
              <w:t>&lt;.001</w:t>
            </w:r>
          </w:p>
        </w:tc>
      </w:tr>
      <w:tr w:rsidR="00A012FF" w14:paraId="63CE3208" w14:textId="77777777" w:rsidTr="002C0A18">
        <w:trPr>
          <w:trHeight w:val="558"/>
          <w:jc w:val="center"/>
        </w:trPr>
        <w:tc>
          <w:tcPr>
            <w:tcW w:w="1956" w:type="dxa"/>
            <w:vAlign w:val="center"/>
          </w:tcPr>
          <w:p w14:paraId="5A20AFE7"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lastRenderedPageBreak/>
              <w:t>Player 6*Duration</w:t>
            </w:r>
          </w:p>
        </w:tc>
        <w:tc>
          <w:tcPr>
            <w:tcW w:w="1337" w:type="dxa"/>
            <w:vAlign w:val="center"/>
          </w:tcPr>
          <w:p w14:paraId="3309195E"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1.48520</w:t>
            </w:r>
          </w:p>
        </w:tc>
        <w:tc>
          <w:tcPr>
            <w:tcW w:w="1661" w:type="dxa"/>
            <w:vAlign w:val="center"/>
          </w:tcPr>
          <w:p w14:paraId="7F1F0CED"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0.62327</w:t>
            </w:r>
          </w:p>
        </w:tc>
        <w:tc>
          <w:tcPr>
            <w:tcW w:w="2398" w:type="dxa"/>
            <w:vAlign w:val="center"/>
          </w:tcPr>
          <w:p w14:paraId="653FE1DF"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2.3829</w:t>
            </w:r>
          </w:p>
        </w:tc>
        <w:tc>
          <w:tcPr>
            <w:tcW w:w="1911" w:type="dxa"/>
            <w:vAlign w:val="center"/>
          </w:tcPr>
          <w:p w14:paraId="5EC918ED" w14:textId="35C7BD3B" w:rsidR="00A012FF" w:rsidRPr="00A92F86" w:rsidRDefault="00A012FF" w:rsidP="002C0A18">
            <w:pPr>
              <w:jc w:val="center"/>
              <w:rPr>
                <w:rFonts w:ascii="Times" w:hAnsi="Times"/>
                <w:color w:val="000000" w:themeColor="text1"/>
              </w:rPr>
            </w:pPr>
            <w:r w:rsidRPr="006813C2">
              <w:rPr>
                <w:rFonts w:ascii="Times" w:hAnsi="Times"/>
                <w:sz w:val="22"/>
                <w:szCs w:val="22"/>
              </w:rPr>
              <w:t>.017</w:t>
            </w:r>
          </w:p>
        </w:tc>
      </w:tr>
      <w:tr w:rsidR="00A012FF" w14:paraId="3C24F071" w14:textId="77777777" w:rsidTr="002C0A18">
        <w:trPr>
          <w:trHeight w:val="558"/>
          <w:jc w:val="center"/>
        </w:trPr>
        <w:tc>
          <w:tcPr>
            <w:tcW w:w="1956" w:type="dxa"/>
            <w:vAlign w:val="center"/>
          </w:tcPr>
          <w:p w14:paraId="7862595C"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7*Duration</w:t>
            </w:r>
          </w:p>
        </w:tc>
        <w:tc>
          <w:tcPr>
            <w:tcW w:w="1337" w:type="dxa"/>
            <w:vAlign w:val="center"/>
          </w:tcPr>
          <w:p w14:paraId="700B134F"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2.16480</w:t>
            </w:r>
          </w:p>
        </w:tc>
        <w:tc>
          <w:tcPr>
            <w:tcW w:w="1661" w:type="dxa"/>
            <w:vAlign w:val="center"/>
          </w:tcPr>
          <w:p w14:paraId="73F0A552"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0.60460</w:t>
            </w:r>
          </w:p>
        </w:tc>
        <w:tc>
          <w:tcPr>
            <w:tcW w:w="2398" w:type="dxa"/>
            <w:vAlign w:val="center"/>
          </w:tcPr>
          <w:p w14:paraId="72034315"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3.5806</w:t>
            </w:r>
          </w:p>
        </w:tc>
        <w:tc>
          <w:tcPr>
            <w:tcW w:w="1911" w:type="dxa"/>
            <w:vAlign w:val="center"/>
          </w:tcPr>
          <w:p w14:paraId="0231660F" w14:textId="106534BA" w:rsidR="00A012FF" w:rsidRPr="00A92F86" w:rsidRDefault="00B92839" w:rsidP="002C0A18">
            <w:pPr>
              <w:jc w:val="center"/>
              <w:rPr>
                <w:rFonts w:ascii="Times" w:hAnsi="Times"/>
                <w:color w:val="000000" w:themeColor="text1"/>
              </w:rPr>
            </w:pPr>
            <w:r>
              <w:rPr>
                <w:rFonts w:ascii="Times" w:hAnsi="Times"/>
                <w:sz w:val="22"/>
                <w:szCs w:val="22"/>
              </w:rPr>
              <w:t>&lt;.001</w:t>
            </w:r>
          </w:p>
        </w:tc>
      </w:tr>
      <w:tr w:rsidR="00A012FF" w14:paraId="0EA81D88" w14:textId="77777777" w:rsidTr="002C0A18">
        <w:trPr>
          <w:trHeight w:val="558"/>
          <w:jc w:val="center"/>
        </w:trPr>
        <w:tc>
          <w:tcPr>
            <w:tcW w:w="1956" w:type="dxa"/>
            <w:vAlign w:val="center"/>
          </w:tcPr>
          <w:p w14:paraId="7028F239"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8*Duration</w:t>
            </w:r>
          </w:p>
        </w:tc>
        <w:tc>
          <w:tcPr>
            <w:tcW w:w="1337" w:type="dxa"/>
            <w:vAlign w:val="center"/>
          </w:tcPr>
          <w:p w14:paraId="6DE15703"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0.53005</w:t>
            </w:r>
          </w:p>
        </w:tc>
        <w:tc>
          <w:tcPr>
            <w:tcW w:w="1661" w:type="dxa"/>
            <w:vAlign w:val="center"/>
          </w:tcPr>
          <w:p w14:paraId="78D3F3EA"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0.66193</w:t>
            </w:r>
          </w:p>
        </w:tc>
        <w:tc>
          <w:tcPr>
            <w:tcW w:w="2398" w:type="dxa"/>
            <w:vAlign w:val="center"/>
          </w:tcPr>
          <w:p w14:paraId="76415283"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0.8008</w:t>
            </w:r>
          </w:p>
        </w:tc>
        <w:tc>
          <w:tcPr>
            <w:tcW w:w="1911" w:type="dxa"/>
            <w:vAlign w:val="center"/>
          </w:tcPr>
          <w:p w14:paraId="43076B31" w14:textId="388E3150" w:rsidR="00A012FF" w:rsidRPr="00A92F86" w:rsidRDefault="00A012FF" w:rsidP="002C0A18">
            <w:pPr>
              <w:jc w:val="center"/>
              <w:rPr>
                <w:rFonts w:ascii="Times" w:hAnsi="Times"/>
                <w:color w:val="000000" w:themeColor="text1"/>
              </w:rPr>
            </w:pPr>
            <w:r w:rsidRPr="006813C2">
              <w:rPr>
                <w:rFonts w:ascii="Times" w:hAnsi="Times"/>
                <w:sz w:val="22"/>
                <w:szCs w:val="22"/>
              </w:rPr>
              <w:t>.42</w:t>
            </w:r>
            <w:r w:rsidR="00B92839">
              <w:rPr>
                <w:rFonts w:ascii="Times" w:hAnsi="Times"/>
                <w:sz w:val="22"/>
                <w:szCs w:val="22"/>
              </w:rPr>
              <w:t>4</w:t>
            </w:r>
          </w:p>
        </w:tc>
      </w:tr>
      <w:tr w:rsidR="00A012FF" w14:paraId="2EE702FB" w14:textId="77777777" w:rsidTr="002C0A18">
        <w:trPr>
          <w:trHeight w:val="558"/>
          <w:jc w:val="center"/>
        </w:trPr>
        <w:tc>
          <w:tcPr>
            <w:tcW w:w="1956" w:type="dxa"/>
            <w:vAlign w:val="center"/>
          </w:tcPr>
          <w:p w14:paraId="62819F01"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9*Duration</w:t>
            </w:r>
          </w:p>
        </w:tc>
        <w:tc>
          <w:tcPr>
            <w:tcW w:w="1337" w:type="dxa"/>
            <w:vAlign w:val="center"/>
          </w:tcPr>
          <w:p w14:paraId="21BDD6D6"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1.63343</w:t>
            </w:r>
          </w:p>
        </w:tc>
        <w:tc>
          <w:tcPr>
            <w:tcW w:w="1661" w:type="dxa"/>
            <w:vAlign w:val="center"/>
          </w:tcPr>
          <w:p w14:paraId="0AE791AF"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0.60129</w:t>
            </w:r>
          </w:p>
        </w:tc>
        <w:tc>
          <w:tcPr>
            <w:tcW w:w="2398" w:type="dxa"/>
            <w:vAlign w:val="center"/>
          </w:tcPr>
          <w:p w14:paraId="70CC940E"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2.7165</w:t>
            </w:r>
          </w:p>
        </w:tc>
        <w:tc>
          <w:tcPr>
            <w:tcW w:w="1911" w:type="dxa"/>
            <w:vAlign w:val="center"/>
          </w:tcPr>
          <w:p w14:paraId="7358C0BD" w14:textId="645BB996" w:rsidR="00A012FF" w:rsidRPr="00A92F86" w:rsidRDefault="00A012FF" w:rsidP="002C0A18">
            <w:pPr>
              <w:jc w:val="center"/>
              <w:rPr>
                <w:rFonts w:ascii="Times" w:hAnsi="Times"/>
                <w:color w:val="000000" w:themeColor="text1"/>
              </w:rPr>
            </w:pPr>
            <w:r w:rsidRPr="006813C2">
              <w:rPr>
                <w:rFonts w:ascii="Times" w:hAnsi="Times"/>
                <w:sz w:val="22"/>
                <w:szCs w:val="22"/>
              </w:rPr>
              <w:t>.00</w:t>
            </w:r>
            <w:r w:rsidR="00B92839">
              <w:rPr>
                <w:rFonts w:ascii="Times" w:hAnsi="Times"/>
                <w:sz w:val="22"/>
                <w:szCs w:val="22"/>
              </w:rPr>
              <w:t>7</w:t>
            </w:r>
          </w:p>
        </w:tc>
      </w:tr>
      <w:tr w:rsidR="00A012FF" w14:paraId="4A583278" w14:textId="77777777" w:rsidTr="002C0A18">
        <w:trPr>
          <w:trHeight w:val="558"/>
          <w:jc w:val="center"/>
        </w:trPr>
        <w:tc>
          <w:tcPr>
            <w:tcW w:w="1956" w:type="dxa"/>
            <w:vAlign w:val="center"/>
          </w:tcPr>
          <w:p w14:paraId="6F6A1572" w14:textId="77777777" w:rsidR="00A012FF" w:rsidRPr="00A92F86" w:rsidRDefault="00A012FF" w:rsidP="002C0A18">
            <w:pPr>
              <w:jc w:val="center"/>
              <w:rPr>
                <w:rFonts w:ascii="Times" w:hAnsi="Times" w:cs="Calibri"/>
                <w:color w:val="000000" w:themeColor="text1"/>
              </w:rPr>
            </w:pPr>
            <w:r w:rsidRPr="00117F15">
              <w:rPr>
                <w:rFonts w:ascii="Times" w:hAnsi="Times" w:cs="Calibri"/>
                <w:color w:val="000000"/>
                <w:sz w:val="22"/>
                <w:szCs w:val="22"/>
              </w:rPr>
              <w:t>Player 10*Duration</w:t>
            </w:r>
          </w:p>
        </w:tc>
        <w:tc>
          <w:tcPr>
            <w:tcW w:w="1337" w:type="dxa"/>
            <w:vAlign w:val="center"/>
          </w:tcPr>
          <w:p w14:paraId="53C5B471"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0.73501</w:t>
            </w:r>
          </w:p>
        </w:tc>
        <w:tc>
          <w:tcPr>
            <w:tcW w:w="1661" w:type="dxa"/>
            <w:vAlign w:val="center"/>
          </w:tcPr>
          <w:p w14:paraId="62A840F8"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0.61875</w:t>
            </w:r>
          </w:p>
        </w:tc>
        <w:tc>
          <w:tcPr>
            <w:tcW w:w="2398" w:type="dxa"/>
            <w:vAlign w:val="center"/>
          </w:tcPr>
          <w:p w14:paraId="6BD155D7"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1.1879</w:t>
            </w:r>
          </w:p>
        </w:tc>
        <w:tc>
          <w:tcPr>
            <w:tcW w:w="1911" w:type="dxa"/>
            <w:vAlign w:val="center"/>
          </w:tcPr>
          <w:p w14:paraId="58D6FA96" w14:textId="2F139C59" w:rsidR="00A012FF" w:rsidRPr="00A92F86" w:rsidRDefault="00A012FF" w:rsidP="002C0A18">
            <w:pPr>
              <w:jc w:val="center"/>
              <w:rPr>
                <w:rFonts w:ascii="Times" w:hAnsi="Times"/>
                <w:color w:val="000000" w:themeColor="text1"/>
              </w:rPr>
            </w:pPr>
            <w:r w:rsidRPr="006813C2">
              <w:rPr>
                <w:rFonts w:ascii="Times" w:hAnsi="Times"/>
                <w:sz w:val="22"/>
                <w:szCs w:val="22"/>
              </w:rPr>
              <w:t>.235</w:t>
            </w:r>
          </w:p>
        </w:tc>
      </w:tr>
      <w:tr w:rsidR="00A012FF" w14:paraId="16DE6F92" w14:textId="77777777" w:rsidTr="002C0A18">
        <w:trPr>
          <w:trHeight w:val="558"/>
          <w:jc w:val="center"/>
        </w:trPr>
        <w:tc>
          <w:tcPr>
            <w:tcW w:w="1956" w:type="dxa"/>
            <w:vAlign w:val="center"/>
          </w:tcPr>
          <w:p w14:paraId="3495079A"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11*Duration</w:t>
            </w:r>
          </w:p>
        </w:tc>
        <w:tc>
          <w:tcPr>
            <w:tcW w:w="1337" w:type="dxa"/>
            <w:vAlign w:val="center"/>
          </w:tcPr>
          <w:p w14:paraId="545168E6"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2.00230</w:t>
            </w:r>
          </w:p>
        </w:tc>
        <w:tc>
          <w:tcPr>
            <w:tcW w:w="1661" w:type="dxa"/>
            <w:vAlign w:val="center"/>
          </w:tcPr>
          <w:p w14:paraId="5232241C"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0.49256</w:t>
            </w:r>
          </w:p>
        </w:tc>
        <w:tc>
          <w:tcPr>
            <w:tcW w:w="2398" w:type="dxa"/>
            <w:vAlign w:val="center"/>
          </w:tcPr>
          <w:p w14:paraId="68A016DE"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4.0651</w:t>
            </w:r>
          </w:p>
        </w:tc>
        <w:tc>
          <w:tcPr>
            <w:tcW w:w="1911" w:type="dxa"/>
            <w:vAlign w:val="center"/>
          </w:tcPr>
          <w:p w14:paraId="609A348A" w14:textId="074E0F4D" w:rsidR="00A012FF" w:rsidRPr="00A92F86" w:rsidRDefault="00B92839" w:rsidP="002C0A18">
            <w:pPr>
              <w:jc w:val="center"/>
              <w:rPr>
                <w:rFonts w:ascii="Times" w:hAnsi="Times"/>
                <w:color w:val="000000" w:themeColor="text1"/>
              </w:rPr>
            </w:pPr>
            <w:r>
              <w:rPr>
                <w:rFonts w:ascii="Times" w:hAnsi="Times"/>
                <w:sz w:val="22"/>
                <w:szCs w:val="22"/>
              </w:rPr>
              <w:t>&lt;.001</w:t>
            </w:r>
          </w:p>
        </w:tc>
      </w:tr>
      <w:tr w:rsidR="00A012FF" w14:paraId="3AD33B2E" w14:textId="77777777" w:rsidTr="002C0A18">
        <w:trPr>
          <w:trHeight w:val="558"/>
          <w:jc w:val="center"/>
        </w:trPr>
        <w:tc>
          <w:tcPr>
            <w:tcW w:w="1956" w:type="dxa"/>
            <w:vAlign w:val="center"/>
          </w:tcPr>
          <w:p w14:paraId="6E6AFAEB"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12*Duration</w:t>
            </w:r>
          </w:p>
        </w:tc>
        <w:tc>
          <w:tcPr>
            <w:tcW w:w="1337" w:type="dxa"/>
            <w:vAlign w:val="center"/>
          </w:tcPr>
          <w:p w14:paraId="19290322"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-2.61208</w:t>
            </w:r>
          </w:p>
        </w:tc>
        <w:tc>
          <w:tcPr>
            <w:tcW w:w="1661" w:type="dxa"/>
            <w:vAlign w:val="center"/>
          </w:tcPr>
          <w:p w14:paraId="5569E945"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0.98249</w:t>
            </w:r>
          </w:p>
        </w:tc>
        <w:tc>
          <w:tcPr>
            <w:tcW w:w="2398" w:type="dxa"/>
            <w:vAlign w:val="center"/>
          </w:tcPr>
          <w:p w14:paraId="5B26E590"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w:t>
            </w:r>
            <w:r w:rsidRPr="006813C2">
              <w:rPr>
                <w:rFonts w:ascii="Times" w:hAnsi="Times" w:cs="Calibri"/>
                <w:color w:val="000000"/>
                <w:sz w:val="22"/>
                <w:szCs w:val="22"/>
              </w:rPr>
              <w:t>2.6586</w:t>
            </w:r>
          </w:p>
        </w:tc>
        <w:tc>
          <w:tcPr>
            <w:tcW w:w="1911" w:type="dxa"/>
            <w:vAlign w:val="center"/>
          </w:tcPr>
          <w:p w14:paraId="7E41BBEC" w14:textId="23AAE443" w:rsidR="00A012FF" w:rsidRPr="00A92F86" w:rsidRDefault="00B92839" w:rsidP="002C0A18">
            <w:pPr>
              <w:jc w:val="center"/>
              <w:rPr>
                <w:rFonts w:ascii="Times" w:hAnsi="Times"/>
                <w:color w:val="000000" w:themeColor="text1"/>
              </w:rPr>
            </w:pPr>
            <w:r>
              <w:rPr>
                <w:rFonts w:ascii="Times" w:hAnsi="Times"/>
                <w:sz w:val="22"/>
                <w:szCs w:val="22"/>
              </w:rPr>
              <w:t>.008</w:t>
            </w:r>
          </w:p>
        </w:tc>
      </w:tr>
      <w:tr w:rsidR="00A012FF" w14:paraId="703F2CE3" w14:textId="77777777" w:rsidTr="002C0A18">
        <w:trPr>
          <w:trHeight w:val="558"/>
          <w:jc w:val="center"/>
        </w:trPr>
        <w:tc>
          <w:tcPr>
            <w:tcW w:w="1956" w:type="dxa"/>
            <w:vAlign w:val="center"/>
          </w:tcPr>
          <w:p w14:paraId="549223A9"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13*Duration</w:t>
            </w:r>
          </w:p>
        </w:tc>
        <w:tc>
          <w:tcPr>
            <w:tcW w:w="1337" w:type="dxa"/>
            <w:vAlign w:val="center"/>
          </w:tcPr>
          <w:p w14:paraId="056EDCF8"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0.18819</w:t>
            </w:r>
          </w:p>
        </w:tc>
        <w:tc>
          <w:tcPr>
            <w:tcW w:w="1661" w:type="dxa"/>
            <w:vAlign w:val="center"/>
          </w:tcPr>
          <w:p w14:paraId="091FD004"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0.55774</w:t>
            </w:r>
          </w:p>
        </w:tc>
        <w:tc>
          <w:tcPr>
            <w:tcW w:w="2398" w:type="dxa"/>
            <w:vAlign w:val="center"/>
          </w:tcPr>
          <w:p w14:paraId="247BEC97"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0.3374</w:t>
            </w:r>
          </w:p>
        </w:tc>
        <w:tc>
          <w:tcPr>
            <w:tcW w:w="1911" w:type="dxa"/>
            <w:vAlign w:val="center"/>
          </w:tcPr>
          <w:p w14:paraId="41302D1B" w14:textId="5FD552C7" w:rsidR="00A012FF" w:rsidRPr="00A92F86" w:rsidRDefault="00A012FF" w:rsidP="002C0A18">
            <w:pPr>
              <w:jc w:val="center"/>
              <w:rPr>
                <w:rFonts w:ascii="Times" w:hAnsi="Times"/>
                <w:color w:val="000000" w:themeColor="text1"/>
              </w:rPr>
            </w:pPr>
            <w:r w:rsidRPr="006813C2">
              <w:rPr>
                <w:rFonts w:ascii="Times" w:hAnsi="Times"/>
                <w:sz w:val="22"/>
                <w:szCs w:val="22"/>
              </w:rPr>
              <w:t>.73</w:t>
            </w:r>
            <w:r w:rsidR="00B92839">
              <w:rPr>
                <w:rFonts w:ascii="Times" w:hAnsi="Times"/>
                <w:sz w:val="22"/>
                <w:szCs w:val="22"/>
              </w:rPr>
              <w:t>6</w:t>
            </w:r>
          </w:p>
        </w:tc>
      </w:tr>
      <w:tr w:rsidR="00A012FF" w14:paraId="6D8FF937" w14:textId="77777777" w:rsidTr="002C0A18">
        <w:trPr>
          <w:trHeight w:val="558"/>
          <w:jc w:val="center"/>
        </w:trPr>
        <w:tc>
          <w:tcPr>
            <w:tcW w:w="1956" w:type="dxa"/>
            <w:vAlign w:val="center"/>
          </w:tcPr>
          <w:p w14:paraId="42A9F6A0"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Player14*Duration</w:t>
            </w:r>
          </w:p>
        </w:tc>
        <w:tc>
          <w:tcPr>
            <w:tcW w:w="1337" w:type="dxa"/>
            <w:vAlign w:val="center"/>
          </w:tcPr>
          <w:p w14:paraId="0D674333"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1.32763</w:t>
            </w:r>
          </w:p>
        </w:tc>
        <w:tc>
          <w:tcPr>
            <w:tcW w:w="1661" w:type="dxa"/>
            <w:vAlign w:val="center"/>
          </w:tcPr>
          <w:p w14:paraId="4D89C4A8"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0.50243</w:t>
            </w:r>
          </w:p>
        </w:tc>
        <w:tc>
          <w:tcPr>
            <w:tcW w:w="2398" w:type="dxa"/>
            <w:vAlign w:val="center"/>
          </w:tcPr>
          <w:p w14:paraId="394A45A9"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1.8476</w:t>
            </w:r>
          </w:p>
        </w:tc>
        <w:tc>
          <w:tcPr>
            <w:tcW w:w="1911" w:type="dxa"/>
            <w:vAlign w:val="center"/>
          </w:tcPr>
          <w:p w14:paraId="715F3C0F" w14:textId="152BBE1B" w:rsidR="00A012FF" w:rsidRPr="00A92F86" w:rsidRDefault="00A012FF" w:rsidP="002C0A18">
            <w:pPr>
              <w:jc w:val="center"/>
              <w:rPr>
                <w:rFonts w:ascii="Times" w:hAnsi="Times"/>
                <w:color w:val="000000" w:themeColor="text1"/>
              </w:rPr>
            </w:pPr>
            <w:r>
              <w:rPr>
                <w:rFonts w:ascii="Times" w:hAnsi="Times"/>
                <w:sz w:val="22"/>
                <w:szCs w:val="22"/>
              </w:rPr>
              <w:t>.00</w:t>
            </w:r>
            <w:r w:rsidR="00B92839">
              <w:rPr>
                <w:rFonts w:ascii="Times" w:hAnsi="Times"/>
                <w:sz w:val="22"/>
                <w:szCs w:val="22"/>
              </w:rPr>
              <w:t>5</w:t>
            </w:r>
          </w:p>
        </w:tc>
      </w:tr>
      <w:tr w:rsidR="00A012FF" w14:paraId="13354FD6" w14:textId="77777777" w:rsidTr="002C0A18">
        <w:trPr>
          <w:trHeight w:val="558"/>
          <w:jc w:val="center"/>
        </w:trPr>
        <w:tc>
          <w:tcPr>
            <w:tcW w:w="1956" w:type="dxa"/>
            <w:tcBorders>
              <w:bottom w:val="single" w:sz="4" w:space="0" w:color="auto"/>
            </w:tcBorders>
            <w:vAlign w:val="center"/>
          </w:tcPr>
          <w:p w14:paraId="4758B73B" w14:textId="77777777" w:rsidR="00A012FF" w:rsidRPr="00A92F86" w:rsidRDefault="00A012FF" w:rsidP="002C0A18">
            <w:pPr>
              <w:jc w:val="center"/>
              <w:rPr>
                <w:rFonts w:ascii="Times" w:hAnsi="Times" w:cs="Calibri"/>
                <w:color w:val="000000" w:themeColor="text1"/>
              </w:rPr>
            </w:pPr>
            <w:r>
              <w:rPr>
                <w:rFonts w:ascii="Times" w:hAnsi="Times" w:cs="Calibri"/>
                <w:color w:val="000000"/>
                <w:sz w:val="22"/>
                <w:szCs w:val="22"/>
              </w:rPr>
              <w:t>Player 15*Duration</w:t>
            </w:r>
          </w:p>
        </w:tc>
        <w:tc>
          <w:tcPr>
            <w:tcW w:w="1337" w:type="dxa"/>
            <w:tcBorders>
              <w:bottom w:val="single" w:sz="4" w:space="0" w:color="auto"/>
            </w:tcBorders>
            <w:vAlign w:val="center"/>
          </w:tcPr>
          <w:p w14:paraId="317A1CD7"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0.28321</w:t>
            </w:r>
          </w:p>
        </w:tc>
        <w:tc>
          <w:tcPr>
            <w:tcW w:w="1661" w:type="dxa"/>
            <w:tcBorders>
              <w:bottom w:val="single" w:sz="4" w:space="0" w:color="auto"/>
            </w:tcBorders>
            <w:vAlign w:val="center"/>
          </w:tcPr>
          <w:p w14:paraId="34B125BE"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0.67477</w:t>
            </w:r>
          </w:p>
        </w:tc>
        <w:tc>
          <w:tcPr>
            <w:tcW w:w="2398" w:type="dxa"/>
            <w:tcBorders>
              <w:bottom w:val="single" w:sz="4" w:space="0" w:color="auto"/>
            </w:tcBorders>
            <w:vAlign w:val="center"/>
          </w:tcPr>
          <w:p w14:paraId="0B01C85D" w14:textId="77777777" w:rsidR="00A012FF" w:rsidRPr="00A92F86" w:rsidRDefault="00A012FF" w:rsidP="002C0A18">
            <w:pPr>
              <w:jc w:val="center"/>
              <w:rPr>
                <w:rFonts w:ascii="Times" w:hAnsi="Times" w:cs="Calibri"/>
                <w:color w:val="000000" w:themeColor="text1"/>
              </w:rPr>
            </w:pPr>
            <w:r w:rsidRPr="006813C2">
              <w:rPr>
                <w:rFonts w:ascii="Times" w:hAnsi="Times" w:cs="Calibri"/>
                <w:color w:val="000000"/>
                <w:sz w:val="22"/>
                <w:szCs w:val="22"/>
              </w:rPr>
              <w:t>0.4197</w:t>
            </w:r>
          </w:p>
        </w:tc>
        <w:tc>
          <w:tcPr>
            <w:tcW w:w="1911" w:type="dxa"/>
            <w:tcBorders>
              <w:bottom w:val="single" w:sz="4" w:space="0" w:color="auto"/>
            </w:tcBorders>
            <w:vAlign w:val="center"/>
          </w:tcPr>
          <w:p w14:paraId="5E703F32" w14:textId="5A7D5381" w:rsidR="00A012FF" w:rsidRPr="00A92F86" w:rsidRDefault="00A012FF" w:rsidP="002C0A18">
            <w:pPr>
              <w:jc w:val="center"/>
              <w:rPr>
                <w:rFonts w:ascii="Times" w:hAnsi="Times"/>
                <w:color w:val="000000" w:themeColor="text1"/>
              </w:rPr>
            </w:pPr>
            <w:r w:rsidRPr="006813C2">
              <w:rPr>
                <w:rFonts w:ascii="Times" w:hAnsi="Times"/>
                <w:sz w:val="22"/>
                <w:szCs w:val="22"/>
              </w:rPr>
              <w:t>.67</w:t>
            </w:r>
            <w:r w:rsidR="00B92839">
              <w:rPr>
                <w:rFonts w:ascii="Times" w:hAnsi="Times"/>
                <w:sz w:val="22"/>
                <w:szCs w:val="22"/>
              </w:rPr>
              <w:t>5</w:t>
            </w:r>
          </w:p>
        </w:tc>
      </w:tr>
      <w:tr w:rsidR="00A012FF" w14:paraId="6EC30EC8" w14:textId="77777777" w:rsidTr="002C0A18">
        <w:trPr>
          <w:trHeight w:val="558"/>
          <w:jc w:val="center"/>
        </w:trPr>
        <w:tc>
          <w:tcPr>
            <w:tcW w:w="1956" w:type="dxa"/>
            <w:tcBorders>
              <w:top w:val="single" w:sz="4" w:space="0" w:color="auto"/>
            </w:tcBorders>
            <w:vAlign w:val="center"/>
          </w:tcPr>
          <w:p w14:paraId="7F448314"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N</w:t>
            </w:r>
          </w:p>
        </w:tc>
        <w:tc>
          <w:tcPr>
            <w:tcW w:w="1337" w:type="dxa"/>
            <w:tcBorders>
              <w:top w:val="single" w:sz="4" w:space="0" w:color="auto"/>
            </w:tcBorders>
            <w:vAlign w:val="center"/>
          </w:tcPr>
          <w:p w14:paraId="02659B44"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784</w:t>
            </w:r>
          </w:p>
        </w:tc>
        <w:tc>
          <w:tcPr>
            <w:tcW w:w="1661" w:type="dxa"/>
            <w:tcBorders>
              <w:top w:val="single" w:sz="4" w:space="0" w:color="auto"/>
            </w:tcBorders>
            <w:vAlign w:val="center"/>
          </w:tcPr>
          <w:p w14:paraId="0F024311"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Residual Sum of Squares</w:t>
            </w:r>
          </w:p>
        </w:tc>
        <w:tc>
          <w:tcPr>
            <w:tcW w:w="2398" w:type="dxa"/>
            <w:tcBorders>
              <w:top w:val="single" w:sz="4" w:space="0" w:color="auto"/>
            </w:tcBorders>
            <w:vAlign w:val="center"/>
          </w:tcPr>
          <w:p w14:paraId="64D3A1F7"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280410</w:t>
            </w:r>
          </w:p>
        </w:tc>
        <w:tc>
          <w:tcPr>
            <w:tcW w:w="1911" w:type="dxa"/>
            <w:tcBorders>
              <w:top w:val="single" w:sz="4" w:space="0" w:color="auto"/>
            </w:tcBorders>
            <w:vAlign w:val="center"/>
          </w:tcPr>
          <w:p w14:paraId="25F979D1" w14:textId="77777777" w:rsidR="00A012FF" w:rsidRPr="00A92F86" w:rsidRDefault="00A012FF" w:rsidP="002C0A18">
            <w:pPr>
              <w:jc w:val="center"/>
              <w:rPr>
                <w:rFonts w:ascii="Times" w:hAnsi="Times"/>
                <w:color w:val="000000" w:themeColor="text1"/>
              </w:rPr>
            </w:pPr>
          </w:p>
        </w:tc>
      </w:tr>
      <w:tr w:rsidR="00A012FF" w14:paraId="6722050D" w14:textId="77777777" w:rsidTr="002C0A18">
        <w:trPr>
          <w:trHeight w:val="558"/>
          <w:jc w:val="center"/>
        </w:trPr>
        <w:tc>
          <w:tcPr>
            <w:tcW w:w="1956" w:type="dxa"/>
            <w:vAlign w:val="center"/>
          </w:tcPr>
          <w:p w14:paraId="4C1AEFEA" w14:textId="77777777" w:rsidR="00A012FF" w:rsidRPr="00A92F86" w:rsidRDefault="00A012FF" w:rsidP="002C0A18">
            <w:pPr>
              <w:jc w:val="center"/>
              <w:rPr>
                <w:rFonts w:ascii="Times" w:hAnsi="Times" w:cs="Calibri"/>
                <w:color w:val="000000" w:themeColor="text1"/>
                <w:vertAlign w:val="superscript"/>
              </w:rPr>
            </w:pPr>
            <w:r w:rsidRPr="00A92F86">
              <w:rPr>
                <w:rFonts w:ascii="Times" w:hAnsi="Times" w:cs="Calibri"/>
                <w:color w:val="000000" w:themeColor="text1"/>
              </w:rPr>
              <w:t>R</w:t>
            </w:r>
            <w:r w:rsidRPr="00A92F86">
              <w:rPr>
                <w:rFonts w:ascii="Times" w:hAnsi="Times" w:cs="Calibri"/>
                <w:color w:val="000000" w:themeColor="text1"/>
                <w:vertAlign w:val="superscript"/>
              </w:rPr>
              <w:t>2</w:t>
            </w:r>
          </w:p>
        </w:tc>
        <w:tc>
          <w:tcPr>
            <w:tcW w:w="1337" w:type="dxa"/>
            <w:vAlign w:val="center"/>
          </w:tcPr>
          <w:p w14:paraId="4072B528"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0.78221</w:t>
            </w:r>
          </w:p>
        </w:tc>
        <w:tc>
          <w:tcPr>
            <w:tcW w:w="1661" w:type="dxa"/>
            <w:vAlign w:val="center"/>
          </w:tcPr>
          <w:p w14:paraId="0B9C8E82" w14:textId="77777777" w:rsidR="00A012FF" w:rsidRPr="00A92F86" w:rsidRDefault="00A012FF" w:rsidP="002C0A18">
            <w:pPr>
              <w:jc w:val="center"/>
              <w:rPr>
                <w:rFonts w:ascii="Times" w:hAnsi="Times" w:cs="Calibri"/>
                <w:color w:val="000000" w:themeColor="text1"/>
              </w:rPr>
            </w:pPr>
            <w:r w:rsidRPr="00A92F86">
              <w:rPr>
                <w:rFonts w:ascii="Times" w:hAnsi="Times" w:cs="Calibri"/>
                <w:i/>
                <w:iCs/>
                <w:color w:val="000000" w:themeColor="text1"/>
              </w:rPr>
              <w:t>f</w:t>
            </w:r>
            <w:r w:rsidRPr="00A92F86">
              <w:rPr>
                <w:rFonts w:ascii="Times" w:hAnsi="Times" w:cs="Calibri"/>
                <w:color w:val="000000" w:themeColor="text1"/>
              </w:rPr>
              <w:t xml:space="preserve"> Statistic</w:t>
            </w:r>
          </w:p>
        </w:tc>
        <w:tc>
          <w:tcPr>
            <w:tcW w:w="2398" w:type="dxa"/>
            <w:vAlign w:val="center"/>
          </w:tcPr>
          <w:p w14:paraId="1013D5F0"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87.0646</w:t>
            </w:r>
          </w:p>
        </w:tc>
        <w:tc>
          <w:tcPr>
            <w:tcW w:w="1911" w:type="dxa"/>
            <w:vAlign w:val="center"/>
          </w:tcPr>
          <w:p w14:paraId="64032151" w14:textId="77777777" w:rsidR="00A012FF" w:rsidRPr="00A92F86" w:rsidRDefault="00A012FF" w:rsidP="002C0A18">
            <w:pPr>
              <w:jc w:val="center"/>
              <w:rPr>
                <w:rFonts w:ascii="Times" w:hAnsi="Times"/>
                <w:color w:val="000000" w:themeColor="text1"/>
              </w:rPr>
            </w:pPr>
          </w:p>
        </w:tc>
      </w:tr>
      <w:tr w:rsidR="00A012FF" w14:paraId="4A7BCF21" w14:textId="77777777" w:rsidTr="002C0A18">
        <w:trPr>
          <w:trHeight w:val="558"/>
          <w:jc w:val="center"/>
        </w:trPr>
        <w:tc>
          <w:tcPr>
            <w:tcW w:w="1956" w:type="dxa"/>
            <w:vAlign w:val="center"/>
          </w:tcPr>
          <w:p w14:paraId="1F28C1C1" w14:textId="77777777" w:rsidR="00A012FF" w:rsidRPr="00A92F86" w:rsidRDefault="00A012FF" w:rsidP="002C0A18">
            <w:pPr>
              <w:jc w:val="center"/>
              <w:rPr>
                <w:rFonts w:ascii="Times" w:hAnsi="Times" w:cs="Calibri"/>
                <w:color w:val="000000" w:themeColor="text1"/>
                <w:vertAlign w:val="superscript"/>
              </w:rPr>
            </w:pPr>
            <w:r w:rsidRPr="00A92F86">
              <w:rPr>
                <w:rFonts w:ascii="Times" w:hAnsi="Times" w:cs="Calibri"/>
                <w:color w:val="000000" w:themeColor="text1"/>
              </w:rPr>
              <w:t>Adj. R</w:t>
            </w:r>
            <w:r w:rsidRPr="00A92F86">
              <w:rPr>
                <w:rFonts w:ascii="Times" w:hAnsi="Times" w:cs="Calibri"/>
                <w:color w:val="000000" w:themeColor="text1"/>
                <w:vertAlign w:val="superscript"/>
              </w:rPr>
              <w:t>2</w:t>
            </w:r>
          </w:p>
        </w:tc>
        <w:tc>
          <w:tcPr>
            <w:tcW w:w="1337" w:type="dxa"/>
            <w:vAlign w:val="center"/>
          </w:tcPr>
          <w:p w14:paraId="799DD084"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0.75742</w:t>
            </w:r>
          </w:p>
        </w:tc>
        <w:tc>
          <w:tcPr>
            <w:tcW w:w="1661" w:type="dxa"/>
            <w:vAlign w:val="center"/>
          </w:tcPr>
          <w:p w14:paraId="36555C21" w14:textId="77777777" w:rsidR="00A012FF" w:rsidRPr="00A92F86" w:rsidRDefault="00A012FF" w:rsidP="002C0A18">
            <w:pPr>
              <w:jc w:val="center"/>
              <w:rPr>
                <w:rFonts w:ascii="Times" w:hAnsi="Times" w:cs="Calibri"/>
                <w:color w:val="000000" w:themeColor="text1"/>
              </w:rPr>
            </w:pPr>
            <w:r w:rsidRPr="00A92F86">
              <w:rPr>
                <w:rFonts w:ascii="Times" w:hAnsi="Times" w:cs="Calibri"/>
                <w:i/>
                <w:iCs/>
                <w:color w:val="000000" w:themeColor="text1"/>
              </w:rPr>
              <w:t>p</w:t>
            </w:r>
            <w:r w:rsidRPr="00A92F86">
              <w:rPr>
                <w:rFonts w:ascii="Times" w:hAnsi="Times" w:cs="Calibri"/>
                <w:color w:val="000000" w:themeColor="text1"/>
              </w:rPr>
              <w:t xml:space="preserve"> Value</w:t>
            </w:r>
          </w:p>
        </w:tc>
        <w:tc>
          <w:tcPr>
            <w:tcW w:w="2398" w:type="dxa"/>
            <w:vAlign w:val="center"/>
          </w:tcPr>
          <w:p w14:paraId="03BC215A" w14:textId="59A8EB95" w:rsidR="00A012FF" w:rsidRPr="00A92F86" w:rsidRDefault="00B92839" w:rsidP="002C0A18">
            <w:pPr>
              <w:jc w:val="center"/>
              <w:rPr>
                <w:rFonts w:ascii="Times" w:hAnsi="Times" w:cstheme="minorBidi"/>
                <w:color w:val="000000" w:themeColor="text1"/>
              </w:rPr>
            </w:pPr>
            <w:r>
              <w:rPr>
                <w:rFonts w:ascii="Times" w:hAnsi="Times" w:cs="Arial"/>
                <w:color w:val="000000" w:themeColor="text1"/>
                <w:shd w:val="clear" w:color="auto" w:fill="FFFFFF"/>
              </w:rPr>
              <w:t>&lt;.001</w:t>
            </w:r>
          </w:p>
        </w:tc>
        <w:tc>
          <w:tcPr>
            <w:tcW w:w="1911" w:type="dxa"/>
            <w:vAlign w:val="center"/>
          </w:tcPr>
          <w:p w14:paraId="6358387C" w14:textId="77777777" w:rsidR="00A012FF" w:rsidRPr="00A92F86" w:rsidRDefault="00A012FF" w:rsidP="002C0A18">
            <w:pPr>
              <w:jc w:val="center"/>
              <w:rPr>
                <w:rFonts w:ascii="Times" w:hAnsi="Times"/>
                <w:color w:val="000000" w:themeColor="text1"/>
              </w:rPr>
            </w:pPr>
          </w:p>
        </w:tc>
      </w:tr>
      <w:tr w:rsidR="00A012FF" w14:paraId="1E5E5547" w14:textId="77777777" w:rsidTr="00CA56DF">
        <w:trPr>
          <w:trHeight w:val="558"/>
          <w:jc w:val="center"/>
        </w:trPr>
        <w:tc>
          <w:tcPr>
            <w:tcW w:w="1956" w:type="dxa"/>
            <w:vAlign w:val="center"/>
          </w:tcPr>
          <w:p w14:paraId="0AC5F5EA" w14:textId="206CFDD5" w:rsidR="00CA56DF" w:rsidRPr="00A92F86" w:rsidRDefault="00A012FF" w:rsidP="00CA56DF">
            <w:pPr>
              <w:jc w:val="center"/>
              <w:rPr>
                <w:rFonts w:ascii="Times" w:hAnsi="Times" w:cs="Calibri"/>
                <w:color w:val="000000" w:themeColor="text1"/>
              </w:rPr>
            </w:pPr>
            <w:r w:rsidRPr="00A92F86">
              <w:rPr>
                <w:rFonts w:ascii="Times" w:hAnsi="Times" w:cs="Calibri"/>
                <w:color w:val="000000" w:themeColor="text1"/>
              </w:rPr>
              <w:t>Total Sum of Squares</w:t>
            </w:r>
          </w:p>
        </w:tc>
        <w:tc>
          <w:tcPr>
            <w:tcW w:w="1337" w:type="dxa"/>
            <w:vAlign w:val="center"/>
          </w:tcPr>
          <w:p w14:paraId="6777CC13" w14:textId="77777777" w:rsidR="00A012FF" w:rsidRPr="00A92F86" w:rsidRDefault="00A012FF" w:rsidP="002C0A18">
            <w:pPr>
              <w:jc w:val="center"/>
              <w:rPr>
                <w:rFonts w:ascii="Times" w:hAnsi="Times" w:cs="Calibri"/>
                <w:color w:val="000000" w:themeColor="text1"/>
              </w:rPr>
            </w:pPr>
            <w:r w:rsidRPr="00A92F86">
              <w:rPr>
                <w:rFonts w:ascii="Times" w:hAnsi="Times" w:cs="Calibri"/>
                <w:color w:val="000000" w:themeColor="text1"/>
              </w:rPr>
              <w:t>1287500</w:t>
            </w:r>
          </w:p>
        </w:tc>
        <w:tc>
          <w:tcPr>
            <w:tcW w:w="1661" w:type="dxa"/>
            <w:vAlign w:val="center"/>
          </w:tcPr>
          <w:p w14:paraId="00E92412" w14:textId="77777777" w:rsidR="00A012FF" w:rsidRDefault="00A012FF" w:rsidP="002C0A18">
            <w:pPr>
              <w:jc w:val="center"/>
              <w:rPr>
                <w:rFonts w:ascii="Times" w:hAnsi="Times" w:cs="Calibri"/>
                <w:color w:val="000000" w:themeColor="text1"/>
              </w:rPr>
            </w:pPr>
          </w:p>
          <w:p w14:paraId="79DCEC56" w14:textId="044FB1E7" w:rsidR="00CA56DF" w:rsidRPr="00A92F86" w:rsidRDefault="00CA56DF" w:rsidP="00CA56DF">
            <w:pPr>
              <w:rPr>
                <w:rFonts w:ascii="Times" w:hAnsi="Times" w:cs="Calibri"/>
                <w:color w:val="000000" w:themeColor="text1"/>
              </w:rPr>
            </w:pPr>
          </w:p>
        </w:tc>
        <w:tc>
          <w:tcPr>
            <w:tcW w:w="2398" w:type="dxa"/>
            <w:vAlign w:val="center"/>
          </w:tcPr>
          <w:p w14:paraId="2B638D9D" w14:textId="77777777" w:rsidR="00A012FF" w:rsidRPr="00A92F86" w:rsidRDefault="00A012FF" w:rsidP="002C0A18">
            <w:pPr>
              <w:jc w:val="center"/>
              <w:rPr>
                <w:rFonts w:ascii="Times" w:hAnsi="Times" w:cs="Calibri"/>
                <w:color w:val="000000" w:themeColor="text1"/>
              </w:rPr>
            </w:pPr>
          </w:p>
        </w:tc>
        <w:tc>
          <w:tcPr>
            <w:tcW w:w="1911" w:type="dxa"/>
            <w:vAlign w:val="center"/>
          </w:tcPr>
          <w:p w14:paraId="253C88F1" w14:textId="77777777" w:rsidR="00A012FF" w:rsidRPr="00A92F86" w:rsidRDefault="00A012FF" w:rsidP="002C0A18">
            <w:pPr>
              <w:jc w:val="center"/>
              <w:rPr>
                <w:rFonts w:ascii="Times" w:hAnsi="Times"/>
                <w:color w:val="000000" w:themeColor="text1"/>
              </w:rPr>
            </w:pPr>
          </w:p>
        </w:tc>
      </w:tr>
      <w:tr w:rsidR="00CA56DF" w14:paraId="37B17B60" w14:textId="77777777" w:rsidTr="002C0A18">
        <w:trPr>
          <w:trHeight w:val="558"/>
          <w:jc w:val="center"/>
        </w:trPr>
        <w:tc>
          <w:tcPr>
            <w:tcW w:w="1956" w:type="dxa"/>
            <w:tcBorders>
              <w:bottom w:val="single" w:sz="4" w:space="0" w:color="auto"/>
            </w:tcBorders>
            <w:vAlign w:val="center"/>
          </w:tcPr>
          <w:p w14:paraId="4BBFF8BD" w14:textId="00A4A489" w:rsidR="00CA56DF" w:rsidRPr="00A92F86" w:rsidRDefault="00CA56DF" w:rsidP="00CA56DF">
            <w:pPr>
              <w:rPr>
                <w:rFonts w:ascii="Times" w:hAnsi="Times" w:cs="Calibri"/>
                <w:color w:val="000000" w:themeColor="text1"/>
              </w:rPr>
            </w:pPr>
          </w:p>
        </w:tc>
        <w:tc>
          <w:tcPr>
            <w:tcW w:w="1337" w:type="dxa"/>
            <w:tcBorders>
              <w:bottom w:val="single" w:sz="4" w:space="0" w:color="auto"/>
            </w:tcBorders>
            <w:vAlign w:val="center"/>
          </w:tcPr>
          <w:p w14:paraId="1EB65B48" w14:textId="77777777" w:rsidR="00CA56DF" w:rsidRPr="00A92F86" w:rsidRDefault="00CA56DF" w:rsidP="00BE6377">
            <w:pPr>
              <w:rPr>
                <w:rFonts w:ascii="Times" w:hAnsi="Times" w:cs="Calibri"/>
                <w:color w:val="000000" w:themeColor="text1"/>
              </w:rPr>
            </w:pPr>
          </w:p>
        </w:tc>
        <w:tc>
          <w:tcPr>
            <w:tcW w:w="1661" w:type="dxa"/>
            <w:tcBorders>
              <w:bottom w:val="single" w:sz="4" w:space="0" w:color="auto"/>
            </w:tcBorders>
            <w:vAlign w:val="center"/>
          </w:tcPr>
          <w:p w14:paraId="54D88CDB" w14:textId="77777777" w:rsidR="00CA56DF" w:rsidRDefault="00CA56DF" w:rsidP="002C0A18">
            <w:pPr>
              <w:jc w:val="center"/>
              <w:rPr>
                <w:rFonts w:ascii="Times" w:hAnsi="Times" w:cs="Calibri"/>
                <w:color w:val="000000" w:themeColor="text1"/>
              </w:rPr>
            </w:pPr>
          </w:p>
        </w:tc>
        <w:tc>
          <w:tcPr>
            <w:tcW w:w="2398" w:type="dxa"/>
            <w:tcBorders>
              <w:bottom w:val="single" w:sz="4" w:space="0" w:color="auto"/>
            </w:tcBorders>
            <w:vAlign w:val="center"/>
          </w:tcPr>
          <w:p w14:paraId="12A09423" w14:textId="77777777" w:rsidR="00CA56DF" w:rsidRPr="00A92F86" w:rsidRDefault="00CA56DF" w:rsidP="002C0A18">
            <w:pPr>
              <w:jc w:val="center"/>
              <w:rPr>
                <w:rFonts w:ascii="Times" w:hAnsi="Times" w:cs="Calibri"/>
                <w:color w:val="000000" w:themeColor="text1"/>
              </w:rPr>
            </w:pPr>
          </w:p>
        </w:tc>
        <w:tc>
          <w:tcPr>
            <w:tcW w:w="1911" w:type="dxa"/>
            <w:tcBorders>
              <w:bottom w:val="single" w:sz="4" w:space="0" w:color="auto"/>
            </w:tcBorders>
            <w:vAlign w:val="center"/>
          </w:tcPr>
          <w:p w14:paraId="355FCFBE" w14:textId="77777777" w:rsidR="00CA56DF" w:rsidRPr="00A92F86" w:rsidRDefault="00CA56DF" w:rsidP="00CA56DF">
            <w:pPr>
              <w:rPr>
                <w:rFonts w:ascii="Times" w:hAnsi="Times"/>
                <w:color w:val="000000" w:themeColor="text1"/>
              </w:rPr>
            </w:pPr>
          </w:p>
        </w:tc>
      </w:tr>
    </w:tbl>
    <w:p w14:paraId="0BD7238E" w14:textId="6A1B37A7" w:rsidR="001E59D2" w:rsidRPr="001E59D2" w:rsidRDefault="001E59D2" w:rsidP="00A012FF">
      <w:pPr>
        <w:pStyle w:val="Caption"/>
        <w:keepNext/>
        <w:jc w:val="center"/>
        <w:rPr>
          <w:rFonts w:ascii="Times" w:hAnsi="Times"/>
          <w:b/>
          <w:bCs/>
          <w:i w:val="0"/>
          <w:iCs w:val="0"/>
          <w:color w:val="000000" w:themeColor="text1"/>
          <w:sz w:val="24"/>
          <w:szCs w:val="24"/>
        </w:rPr>
      </w:pPr>
      <w:r w:rsidRPr="001E59D2">
        <w:rPr>
          <w:rFonts w:ascii="Times" w:hAnsi="Times"/>
          <w:b/>
          <w:bCs/>
          <w:i w:val="0"/>
          <w:iCs w:val="0"/>
          <w:color w:val="000000" w:themeColor="text1"/>
          <w:sz w:val="24"/>
          <w:szCs w:val="24"/>
        </w:rPr>
        <w:t xml:space="preserve">Table </w:t>
      </w:r>
      <w:r w:rsidR="00966B90">
        <w:rPr>
          <w:rFonts w:ascii="Times" w:hAnsi="Times"/>
          <w:b/>
          <w:bCs/>
          <w:i w:val="0"/>
          <w:iCs w:val="0"/>
          <w:color w:val="000000" w:themeColor="text1"/>
          <w:sz w:val="24"/>
          <w:szCs w:val="24"/>
        </w:rPr>
        <w:t>3</w:t>
      </w:r>
      <w:r w:rsidRPr="001E59D2">
        <w:rPr>
          <w:rFonts w:ascii="Times" w:hAnsi="Times"/>
          <w:b/>
          <w:bCs/>
          <w:i w:val="0"/>
          <w:iCs w:val="0"/>
          <w:color w:val="000000" w:themeColor="text1"/>
          <w:sz w:val="24"/>
          <w:szCs w:val="24"/>
        </w:rPr>
        <w:t xml:space="preserve">. </w:t>
      </w:r>
      <w:r w:rsidR="00A446ED">
        <w:rPr>
          <w:rFonts w:ascii="Times" w:hAnsi="Times"/>
          <w:b/>
          <w:bCs/>
          <w:i w:val="0"/>
          <w:iCs w:val="0"/>
          <w:color w:val="000000" w:themeColor="text1"/>
          <w:sz w:val="24"/>
          <w:szCs w:val="24"/>
        </w:rPr>
        <w:t>Descriptive Statistics</w:t>
      </w:r>
    </w:p>
    <w:tbl>
      <w:tblPr>
        <w:tblStyle w:val="TableGrid"/>
        <w:tblW w:w="94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5"/>
        <w:gridCol w:w="796"/>
        <w:gridCol w:w="989"/>
        <w:gridCol w:w="1428"/>
        <w:gridCol w:w="1138"/>
        <w:gridCol w:w="1504"/>
        <w:gridCol w:w="1350"/>
        <w:gridCol w:w="1125"/>
      </w:tblGrid>
      <w:tr w:rsidR="00A446ED" w14:paraId="3860CDBD" w14:textId="77777777" w:rsidTr="0059317D">
        <w:trPr>
          <w:trHeight w:val="608"/>
          <w:jc w:val="center"/>
        </w:trPr>
        <w:tc>
          <w:tcPr>
            <w:tcW w:w="1165" w:type="dxa"/>
            <w:tcBorders>
              <w:top w:val="single" w:sz="4" w:space="0" w:color="000000" w:themeColor="text1"/>
              <w:bottom w:val="single" w:sz="4" w:space="0" w:color="000000" w:themeColor="text1"/>
            </w:tcBorders>
            <w:vAlign w:val="center"/>
          </w:tcPr>
          <w:p w14:paraId="259552C2" w14:textId="77777777" w:rsidR="00E200FE" w:rsidRPr="001E59D2" w:rsidRDefault="00E200FE" w:rsidP="00A446ED">
            <w:pPr>
              <w:jc w:val="center"/>
              <w:rPr>
                <w:rFonts w:ascii="Times" w:hAnsi="Times"/>
              </w:rPr>
            </w:pPr>
            <w:r w:rsidRPr="001E59D2">
              <w:rPr>
                <w:rFonts w:ascii="Times" w:hAnsi="Times"/>
              </w:rPr>
              <w:t>Player ID</w:t>
            </w:r>
          </w:p>
        </w:tc>
        <w:tc>
          <w:tcPr>
            <w:tcW w:w="796" w:type="dxa"/>
            <w:tcBorders>
              <w:top w:val="single" w:sz="4" w:space="0" w:color="000000" w:themeColor="text1"/>
              <w:bottom w:val="single" w:sz="4" w:space="0" w:color="000000" w:themeColor="text1"/>
            </w:tcBorders>
            <w:vAlign w:val="center"/>
          </w:tcPr>
          <w:p w14:paraId="182611D2" w14:textId="54530AE3" w:rsidR="00E200FE" w:rsidRDefault="00E200FE" w:rsidP="009A23FB">
            <w:pPr>
              <w:jc w:val="center"/>
              <w:rPr>
                <w:rFonts w:ascii="Times" w:hAnsi="Times"/>
              </w:rPr>
            </w:pPr>
            <w:r>
              <w:rPr>
                <w:rFonts w:ascii="Times" w:hAnsi="Times"/>
              </w:rPr>
              <w:t>N Game</w:t>
            </w:r>
          </w:p>
        </w:tc>
        <w:tc>
          <w:tcPr>
            <w:tcW w:w="989" w:type="dxa"/>
            <w:tcBorders>
              <w:top w:val="single" w:sz="4" w:space="0" w:color="000000" w:themeColor="text1"/>
              <w:bottom w:val="single" w:sz="4" w:space="0" w:color="000000" w:themeColor="text1"/>
            </w:tcBorders>
            <w:vAlign w:val="center"/>
          </w:tcPr>
          <w:p w14:paraId="501BFC3E" w14:textId="1EEA28A5" w:rsidR="00E200FE" w:rsidRPr="001E59D2" w:rsidRDefault="00E200FE" w:rsidP="00AF5718">
            <w:pPr>
              <w:jc w:val="center"/>
              <w:rPr>
                <w:rFonts w:ascii="Times" w:hAnsi="Times"/>
              </w:rPr>
            </w:pPr>
            <w:r>
              <w:rPr>
                <w:rFonts w:ascii="Times" w:hAnsi="Times"/>
              </w:rPr>
              <w:t>N Practice</w:t>
            </w:r>
          </w:p>
        </w:tc>
        <w:tc>
          <w:tcPr>
            <w:tcW w:w="1428" w:type="dxa"/>
            <w:tcBorders>
              <w:top w:val="single" w:sz="4" w:space="0" w:color="000000" w:themeColor="text1"/>
              <w:bottom w:val="single" w:sz="4" w:space="0" w:color="000000" w:themeColor="text1"/>
            </w:tcBorders>
            <w:vAlign w:val="center"/>
          </w:tcPr>
          <w:p w14:paraId="683E3F58" w14:textId="287ADA32" w:rsidR="00E200FE" w:rsidRPr="00F32051" w:rsidRDefault="00E200FE" w:rsidP="000B4010">
            <w:pPr>
              <w:jc w:val="center"/>
              <w:rPr>
                <w:rFonts w:ascii="Times" w:hAnsi="Times"/>
                <w:i/>
                <w:iCs/>
              </w:rPr>
            </w:pPr>
            <w:r w:rsidRPr="00F32051">
              <w:rPr>
                <w:rFonts w:ascii="Times" w:hAnsi="Times"/>
                <w:i/>
                <w:iCs/>
              </w:rPr>
              <w:t>PL Per Game</w:t>
            </w:r>
          </w:p>
        </w:tc>
        <w:tc>
          <w:tcPr>
            <w:tcW w:w="1138" w:type="dxa"/>
            <w:tcBorders>
              <w:top w:val="single" w:sz="4" w:space="0" w:color="000000" w:themeColor="text1"/>
              <w:bottom w:val="single" w:sz="4" w:space="0" w:color="000000" w:themeColor="text1"/>
            </w:tcBorders>
            <w:vAlign w:val="center"/>
          </w:tcPr>
          <w:p w14:paraId="6C94AB26" w14:textId="4A9243C2" w:rsidR="00E200FE" w:rsidRPr="00F32051" w:rsidRDefault="00E200FE" w:rsidP="008D24FB">
            <w:pPr>
              <w:jc w:val="center"/>
              <w:rPr>
                <w:rFonts w:ascii="Times" w:hAnsi="Times"/>
                <w:i/>
                <w:iCs/>
              </w:rPr>
            </w:pPr>
            <w:r w:rsidRPr="00F32051">
              <w:rPr>
                <w:rFonts w:ascii="Times" w:hAnsi="Times"/>
                <w:i/>
                <w:iCs/>
              </w:rPr>
              <w:t>Minutes Per Game</w:t>
            </w:r>
          </w:p>
        </w:tc>
        <w:tc>
          <w:tcPr>
            <w:tcW w:w="1504" w:type="dxa"/>
            <w:tcBorders>
              <w:top w:val="single" w:sz="4" w:space="0" w:color="000000" w:themeColor="text1"/>
              <w:bottom w:val="single" w:sz="4" w:space="0" w:color="000000" w:themeColor="text1"/>
            </w:tcBorders>
            <w:vAlign w:val="center"/>
          </w:tcPr>
          <w:p w14:paraId="558EA322" w14:textId="5B69649C" w:rsidR="00E200FE" w:rsidRPr="001E59D2" w:rsidRDefault="00E200FE" w:rsidP="002520FE">
            <w:pPr>
              <w:jc w:val="center"/>
              <w:rPr>
                <w:rFonts w:ascii="Times" w:hAnsi="Times"/>
              </w:rPr>
            </w:pPr>
            <w:r>
              <w:rPr>
                <w:rFonts w:ascii="Times" w:hAnsi="Times"/>
              </w:rPr>
              <w:t>PL Per Practice</w:t>
            </w:r>
          </w:p>
        </w:tc>
        <w:tc>
          <w:tcPr>
            <w:tcW w:w="1350" w:type="dxa"/>
            <w:tcBorders>
              <w:top w:val="single" w:sz="4" w:space="0" w:color="000000" w:themeColor="text1"/>
              <w:bottom w:val="single" w:sz="4" w:space="0" w:color="000000" w:themeColor="text1"/>
            </w:tcBorders>
            <w:vAlign w:val="center"/>
          </w:tcPr>
          <w:p w14:paraId="5F946194" w14:textId="53DE7AB6" w:rsidR="00E200FE" w:rsidRPr="001E59D2" w:rsidRDefault="00E200FE">
            <w:pPr>
              <w:jc w:val="center"/>
              <w:rPr>
                <w:rFonts w:ascii="Times" w:hAnsi="Times"/>
              </w:rPr>
            </w:pPr>
            <w:r>
              <w:rPr>
                <w:rFonts w:ascii="Times" w:hAnsi="Times"/>
              </w:rPr>
              <w:t>Minutes Per Practice</w:t>
            </w:r>
          </w:p>
        </w:tc>
        <w:tc>
          <w:tcPr>
            <w:tcW w:w="1125" w:type="dxa"/>
            <w:tcBorders>
              <w:top w:val="single" w:sz="4" w:space="0" w:color="000000" w:themeColor="text1"/>
              <w:bottom w:val="single" w:sz="4" w:space="0" w:color="000000" w:themeColor="text1"/>
            </w:tcBorders>
            <w:vAlign w:val="center"/>
          </w:tcPr>
          <w:p w14:paraId="1E76C65F" w14:textId="3A72C24A" w:rsidR="00E200FE" w:rsidRPr="001E59D2" w:rsidRDefault="00E200FE">
            <w:pPr>
              <w:jc w:val="center"/>
              <w:rPr>
                <w:rFonts w:ascii="Times" w:hAnsi="Times"/>
              </w:rPr>
            </w:pPr>
            <w:r w:rsidRPr="001E59D2">
              <w:rPr>
                <w:rFonts w:ascii="Times" w:hAnsi="Times"/>
              </w:rPr>
              <w:t>Category</w:t>
            </w:r>
          </w:p>
        </w:tc>
      </w:tr>
      <w:tr w:rsidR="00A446ED" w14:paraId="008F5D26" w14:textId="77777777" w:rsidTr="0059317D">
        <w:trPr>
          <w:trHeight w:val="608"/>
          <w:jc w:val="center"/>
        </w:trPr>
        <w:tc>
          <w:tcPr>
            <w:tcW w:w="1165" w:type="dxa"/>
            <w:tcBorders>
              <w:top w:val="single" w:sz="4" w:space="0" w:color="000000" w:themeColor="text1"/>
            </w:tcBorders>
            <w:vAlign w:val="center"/>
          </w:tcPr>
          <w:p w14:paraId="74C19922" w14:textId="1168E5A8" w:rsidR="00E200FE" w:rsidRPr="001E59D2" w:rsidRDefault="00ED7A04" w:rsidP="00E200FE">
            <w:pPr>
              <w:jc w:val="center"/>
              <w:rPr>
                <w:rFonts w:ascii="Times" w:hAnsi="Times"/>
              </w:rPr>
            </w:pPr>
            <w:r>
              <w:rPr>
                <w:rFonts w:ascii="Times Roman" w:hAnsi="Times Roman" w:cs="Calibri"/>
                <w:color w:val="000000"/>
                <w:sz w:val="22"/>
                <w:szCs w:val="22"/>
              </w:rPr>
              <w:t>Player 1</w:t>
            </w:r>
          </w:p>
        </w:tc>
        <w:tc>
          <w:tcPr>
            <w:tcW w:w="796" w:type="dxa"/>
            <w:tcBorders>
              <w:top w:val="single" w:sz="4" w:space="0" w:color="000000" w:themeColor="text1"/>
            </w:tcBorders>
            <w:vAlign w:val="center"/>
          </w:tcPr>
          <w:p w14:paraId="479F3D98" w14:textId="6A7F5AC8"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29</w:t>
            </w:r>
          </w:p>
        </w:tc>
        <w:tc>
          <w:tcPr>
            <w:tcW w:w="989" w:type="dxa"/>
            <w:tcBorders>
              <w:top w:val="single" w:sz="4" w:space="0" w:color="000000" w:themeColor="text1"/>
            </w:tcBorders>
            <w:vAlign w:val="center"/>
          </w:tcPr>
          <w:p w14:paraId="4E859154" w14:textId="08FF3635" w:rsidR="00E200FE" w:rsidRDefault="00ED7A04" w:rsidP="00C42339">
            <w:pPr>
              <w:jc w:val="center"/>
              <w:rPr>
                <w:rFonts w:ascii="Times Roman" w:hAnsi="Times Roman" w:cs="Calibri"/>
                <w:color w:val="000000"/>
                <w:sz w:val="22"/>
                <w:szCs w:val="22"/>
              </w:rPr>
            </w:pPr>
            <w:r>
              <w:rPr>
                <w:rFonts w:ascii="Times Roman" w:hAnsi="Times Roman" w:cs="Calibri"/>
                <w:color w:val="000000"/>
                <w:sz w:val="22"/>
                <w:szCs w:val="22"/>
              </w:rPr>
              <w:t>74</w:t>
            </w:r>
          </w:p>
        </w:tc>
        <w:tc>
          <w:tcPr>
            <w:tcW w:w="1428" w:type="dxa"/>
            <w:tcBorders>
              <w:top w:val="single" w:sz="4" w:space="0" w:color="000000" w:themeColor="text1"/>
            </w:tcBorders>
            <w:vAlign w:val="center"/>
          </w:tcPr>
          <w:p w14:paraId="20454845" w14:textId="24805C58" w:rsidR="00E200FE" w:rsidRDefault="00C42339" w:rsidP="00C42339">
            <w:pPr>
              <w:jc w:val="center"/>
              <w:rPr>
                <w:rFonts w:ascii="Times Roman" w:hAnsi="Times Roman" w:cs="Calibri"/>
                <w:color w:val="000000"/>
                <w:sz w:val="22"/>
                <w:szCs w:val="22"/>
              </w:rPr>
            </w:pPr>
            <w:r>
              <w:rPr>
                <w:rFonts w:ascii="Times Roman" w:hAnsi="Times Roman" w:cs="Calibri"/>
                <w:color w:val="000000"/>
                <w:sz w:val="22"/>
                <w:szCs w:val="22"/>
              </w:rPr>
              <w:t>282.</w:t>
            </w:r>
            <w:r w:rsidR="00A012FF">
              <w:rPr>
                <w:rFonts w:ascii="Times Roman" w:hAnsi="Times Roman" w:cs="Calibri"/>
                <w:color w:val="000000"/>
                <w:sz w:val="22"/>
                <w:szCs w:val="22"/>
              </w:rPr>
              <w:t>9</w:t>
            </w:r>
            <w:r>
              <w:rPr>
                <w:rFonts w:ascii="Times Roman" w:hAnsi="Times Roman" w:cs="Calibri"/>
                <w:color w:val="000000"/>
                <w:sz w:val="22"/>
                <w:szCs w:val="22"/>
              </w:rPr>
              <w:t xml:space="preserve"> ± 42.6 </w:t>
            </w:r>
          </w:p>
        </w:tc>
        <w:tc>
          <w:tcPr>
            <w:tcW w:w="1138" w:type="dxa"/>
            <w:tcBorders>
              <w:top w:val="single" w:sz="4" w:space="0" w:color="000000" w:themeColor="text1"/>
            </w:tcBorders>
            <w:vAlign w:val="center"/>
          </w:tcPr>
          <w:p w14:paraId="421CA683" w14:textId="19135ECF" w:rsidR="00E200FE" w:rsidRPr="001E59D2" w:rsidRDefault="00E200FE" w:rsidP="00DE0A3F">
            <w:pPr>
              <w:jc w:val="center"/>
              <w:rPr>
                <w:rFonts w:ascii="Times" w:hAnsi="Times"/>
              </w:rPr>
            </w:pPr>
            <w:r>
              <w:rPr>
                <w:rFonts w:ascii="Times Roman" w:hAnsi="Times Roman" w:cs="Calibri"/>
                <w:color w:val="000000"/>
                <w:sz w:val="22"/>
                <w:szCs w:val="22"/>
              </w:rPr>
              <w:t>32.9</w:t>
            </w:r>
            <w:r w:rsidR="00ED7A04">
              <w:rPr>
                <w:rFonts w:ascii="Times Roman" w:hAnsi="Times Roman" w:cs="Calibri"/>
                <w:color w:val="000000"/>
                <w:sz w:val="22"/>
                <w:szCs w:val="22"/>
              </w:rPr>
              <w:t xml:space="preserve"> ± 5.2</w:t>
            </w:r>
          </w:p>
        </w:tc>
        <w:tc>
          <w:tcPr>
            <w:tcW w:w="1504" w:type="dxa"/>
            <w:tcBorders>
              <w:top w:val="single" w:sz="4" w:space="0" w:color="000000" w:themeColor="text1"/>
            </w:tcBorders>
            <w:vAlign w:val="center"/>
          </w:tcPr>
          <w:p w14:paraId="334D094D" w14:textId="257E66FC" w:rsidR="00E200FE" w:rsidRDefault="00C42339" w:rsidP="00A446ED">
            <w:pPr>
              <w:jc w:val="center"/>
              <w:rPr>
                <w:rFonts w:ascii="Times Roman" w:hAnsi="Times Roman" w:cs="Calibri"/>
                <w:color w:val="000000"/>
                <w:sz w:val="22"/>
                <w:szCs w:val="22"/>
              </w:rPr>
            </w:pPr>
            <w:r>
              <w:rPr>
                <w:rFonts w:ascii="Times Roman" w:hAnsi="Times Roman" w:cs="Calibri"/>
                <w:color w:val="000000"/>
                <w:sz w:val="22"/>
                <w:szCs w:val="22"/>
              </w:rPr>
              <w:t>487.2</w:t>
            </w:r>
            <w:r w:rsidR="00ED7A04">
              <w:rPr>
                <w:rFonts w:ascii="Times Roman" w:hAnsi="Times Roman" w:cs="Calibri"/>
                <w:color w:val="000000"/>
                <w:sz w:val="22"/>
                <w:szCs w:val="22"/>
              </w:rPr>
              <w:t xml:space="preserve"> ± </w:t>
            </w:r>
            <w:r>
              <w:rPr>
                <w:rFonts w:ascii="Times Roman" w:hAnsi="Times Roman" w:cs="Calibri"/>
                <w:color w:val="000000"/>
                <w:sz w:val="22"/>
                <w:szCs w:val="22"/>
              </w:rPr>
              <w:t>188.7</w:t>
            </w:r>
          </w:p>
        </w:tc>
        <w:tc>
          <w:tcPr>
            <w:tcW w:w="1350" w:type="dxa"/>
            <w:tcBorders>
              <w:top w:val="single" w:sz="4" w:space="0" w:color="000000" w:themeColor="text1"/>
            </w:tcBorders>
            <w:vAlign w:val="center"/>
          </w:tcPr>
          <w:p w14:paraId="239F7678" w14:textId="72DE458C" w:rsidR="00E200FE" w:rsidRDefault="00C42339" w:rsidP="00A446ED">
            <w:pPr>
              <w:jc w:val="center"/>
              <w:rPr>
                <w:rFonts w:ascii="Times Roman" w:hAnsi="Times Roman" w:cs="Calibri"/>
                <w:color w:val="000000"/>
                <w:sz w:val="22"/>
                <w:szCs w:val="22"/>
              </w:rPr>
            </w:pPr>
            <w:r>
              <w:rPr>
                <w:rFonts w:ascii="Times Roman" w:hAnsi="Times Roman" w:cs="Calibri"/>
                <w:color w:val="000000"/>
                <w:sz w:val="22"/>
                <w:szCs w:val="22"/>
              </w:rPr>
              <w:t>79.1 ± 31.5</w:t>
            </w:r>
          </w:p>
        </w:tc>
        <w:tc>
          <w:tcPr>
            <w:tcW w:w="1125" w:type="dxa"/>
            <w:tcBorders>
              <w:top w:val="single" w:sz="4" w:space="0" w:color="000000" w:themeColor="text1"/>
            </w:tcBorders>
            <w:vAlign w:val="center"/>
          </w:tcPr>
          <w:p w14:paraId="602CBE7D" w14:textId="5A705CA8" w:rsidR="00E200FE" w:rsidRPr="001E59D2" w:rsidRDefault="00E200FE" w:rsidP="00A446ED">
            <w:pPr>
              <w:jc w:val="center"/>
              <w:rPr>
                <w:rFonts w:ascii="Times" w:hAnsi="Times"/>
              </w:rPr>
            </w:pPr>
            <w:r>
              <w:rPr>
                <w:rFonts w:ascii="Times Roman" w:hAnsi="Times Roman" w:cs="Calibri"/>
                <w:color w:val="000000"/>
                <w:sz w:val="22"/>
                <w:szCs w:val="22"/>
              </w:rPr>
              <w:t>Starter</w:t>
            </w:r>
          </w:p>
        </w:tc>
      </w:tr>
      <w:tr w:rsidR="00A446ED" w14:paraId="02A733DD" w14:textId="77777777" w:rsidTr="0059317D">
        <w:trPr>
          <w:trHeight w:val="565"/>
          <w:jc w:val="center"/>
        </w:trPr>
        <w:tc>
          <w:tcPr>
            <w:tcW w:w="1165" w:type="dxa"/>
            <w:vAlign w:val="center"/>
          </w:tcPr>
          <w:p w14:paraId="16F52FC8" w14:textId="6E7D1ADB" w:rsidR="00E200FE" w:rsidRPr="001E59D2" w:rsidRDefault="00E200FE" w:rsidP="00E200FE">
            <w:pPr>
              <w:jc w:val="center"/>
              <w:rPr>
                <w:rFonts w:ascii="Times" w:hAnsi="Times"/>
              </w:rPr>
            </w:pPr>
            <w:r>
              <w:rPr>
                <w:rFonts w:ascii="Times Roman" w:hAnsi="Times Roman" w:cs="Calibri"/>
                <w:color w:val="000000"/>
                <w:sz w:val="22"/>
                <w:szCs w:val="22"/>
              </w:rPr>
              <w:t>Player 2</w:t>
            </w:r>
          </w:p>
        </w:tc>
        <w:tc>
          <w:tcPr>
            <w:tcW w:w="796" w:type="dxa"/>
            <w:vAlign w:val="center"/>
          </w:tcPr>
          <w:p w14:paraId="1250A811" w14:textId="048A4CDF"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29</w:t>
            </w:r>
          </w:p>
        </w:tc>
        <w:tc>
          <w:tcPr>
            <w:tcW w:w="989" w:type="dxa"/>
            <w:vAlign w:val="center"/>
          </w:tcPr>
          <w:p w14:paraId="2B34A59F" w14:textId="3273872E" w:rsidR="00E200FE" w:rsidRDefault="00ED7A04" w:rsidP="00DE0A3F">
            <w:pPr>
              <w:jc w:val="center"/>
              <w:rPr>
                <w:rFonts w:ascii="Times Roman" w:hAnsi="Times Roman" w:cs="Calibri"/>
                <w:color w:val="000000"/>
                <w:sz w:val="22"/>
                <w:szCs w:val="22"/>
              </w:rPr>
            </w:pPr>
            <w:r>
              <w:rPr>
                <w:rFonts w:ascii="Times Roman" w:hAnsi="Times Roman" w:cs="Calibri"/>
                <w:color w:val="000000"/>
                <w:sz w:val="22"/>
                <w:szCs w:val="22"/>
              </w:rPr>
              <w:t>78</w:t>
            </w:r>
          </w:p>
        </w:tc>
        <w:tc>
          <w:tcPr>
            <w:tcW w:w="1428" w:type="dxa"/>
            <w:vAlign w:val="center"/>
          </w:tcPr>
          <w:p w14:paraId="13924446" w14:textId="5D41AAB2" w:rsidR="00E200FE" w:rsidRDefault="00DE0A3F" w:rsidP="00DE0A3F">
            <w:pPr>
              <w:jc w:val="center"/>
              <w:rPr>
                <w:rFonts w:ascii="Times Roman" w:hAnsi="Times Roman" w:cs="Calibri"/>
                <w:color w:val="000000"/>
                <w:sz w:val="22"/>
                <w:szCs w:val="22"/>
              </w:rPr>
            </w:pPr>
            <w:r>
              <w:rPr>
                <w:rFonts w:ascii="Times Roman" w:hAnsi="Times Roman" w:cs="Calibri"/>
                <w:color w:val="000000"/>
                <w:sz w:val="22"/>
                <w:szCs w:val="22"/>
              </w:rPr>
              <w:t>27</w:t>
            </w:r>
            <w:r w:rsidR="00A012FF">
              <w:rPr>
                <w:rFonts w:ascii="Times Roman" w:hAnsi="Times Roman" w:cs="Calibri"/>
                <w:color w:val="000000"/>
                <w:sz w:val="22"/>
                <w:szCs w:val="22"/>
              </w:rPr>
              <w:t>5</w:t>
            </w:r>
            <w:r>
              <w:rPr>
                <w:rFonts w:ascii="Times Roman" w:hAnsi="Times Roman" w:cs="Calibri"/>
                <w:color w:val="000000"/>
                <w:sz w:val="22"/>
                <w:szCs w:val="22"/>
              </w:rPr>
              <w:t>.</w:t>
            </w:r>
            <w:r w:rsidR="00A012FF">
              <w:rPr>
                <w:rFonts w:ascii="Times Roman" w:hAnsi="Times Roman" w:cs="Calibri"/>
                <w:color w:val="000000"/>
                <w:sz w:val="22"/>
                <w:szCs w:val="22"/>
              </w:rPr>
              <w:t>3</w:t>
            </w:r>
            <w:r>
              <w:rPr>
                <w:rFonts w:ascii="Times Roman" w:hAnsi="Times Roman" w:cs="Calibri"/>
                <w:color w:val="000000"/>
                <w:sz w:val="22"/>
                <w:szCs w:val="22"/>
              </w:rPr>
              <w:t xml:space="preserve"> ± 47.6</w:t>
            </w:r>
          </w:p>
        </w:tc>
        <w:tc>
          <w:tcPr>
            <w:tcW w:w="1138" w:type="dxa"/>
            <w:vAlign w:val="center"/>
          </w:tcPr>
          <w:p w14:paraId="5736CF3E" w14:textId="1BCEAFC3" w:rsidR="00E200FE" w:rsidRPr="001E59D2" w:rsidRDefault="00E200FE" w:rsidP="00A446ED">
            <w:pPr>
              <w:jc w:val="center"/>
              <w:rPr>
                <w:rFonts w:ascii="Times" w:hAnsi="Times"/>
              </w:rPr>
            </w:pPr>
            <w:r>
              <w:rPr>
                <w:rFonts w:ascii="Times Roman" w:hAnsi="Times Roman" w:cs="Calibri"/>
                <w:color w:val="000000"/>
                <w:sz w:val="22"/>
                <w:szCs w:val="22"/>
              </w:rPr>
              <w:t>31.7</w:t>
            </w:r>
            <w:r w:rsidR="00C42339">
              <w:rPr>
                <w:rFonts w:ascii="Times Roman" w:hAnsi="Times Roman" w:cs="Calibri"/>
                <w:color w:val="000000"/>
                <w:sz w:val="22"/>
                <w:szCs w:val="22"/>
              </w:rPr>
              <w:t xml:space="preserve"> ± 5.8</w:t>
            </w:r>
          </w:p>
        </w:tc>
        <w:tc>
          <w:tcPr>
            <w:tcW w:w="1504" w:type="dxa"/>
            <w:vAlign w:val="center"/>
          </w:tcPr>
          <w:p w14:paraId="6E14D9AA" w14:textId="12C37B84" w:rsidR="00E200FE" w:rsidRDefault="00DE0A3F" w:rsidP="00A446ED">
            <w:pPr>
              <w:jc w:val="center"/>
              <w:rPr>
                <w:rFonts w:ascii="Times Roman" w:hAnsi="Times Roman" w:cs="Calibri"/>
                <w:color w:val="000000"/>
                <w:sz w:val="22"/>
                <w:szCs w:val="22"/>
              </w:rPr>
            </w:pPr>
            <w:r>
              <w:rPr>
                <w:rFonts w:ascii="Times Roman" w:hAnsi="Times Roman" w:cs="Calibri"/>
                <w:color w:val="000000"/>
                <w:sz w:val="22"/>
                <w:szCs w:val="22"/>
              </w:rPr>
              <w:t>469.3 ± 186.8</w:t>
            </w:r>
          </w:p>
        </w:tc>
        <w:tc>
          <w:tcPr>
            <w:tcW w:w="1350" w:type="dxa"/>
            <w:vAlign w:val="center"/>
          </w:tcPr>
          <w:p w14:paraId="42693BB7" w14:textId="5C535D82" w:rsidR="00E200FE" w:rsidRDefault="00DE0A3F" w:rsidP="00A446ED">
            <w:pPr>
              <w:jc w:val="center"/>
              <w:rPr>
                <w:rFonts w:ascii="Times Roman" w:hAnsi="Times Roman" w:cs="Calibri"/>
                <w:color w:val="000000"/>
                <w:sz w:val="22"/>
                <w:szCs w:val="22"/>
              </w:rPr>
            </w:pPr>
            <w:r>
              <w:rPr>
                <w:rFonts w:ascii="Times Roman" w:hAnsi="Times Roman" w:cs="Calibri"/>
                <w:color w:val="000000"/>
                <w:sz w:val="22"/>
                <w:szCs w:val="22"/>
              </w:rPr>
              <w:t>82.0 ± 54.3</w:t>
            </w:r>
          </w:p>
        </w:tc>
        <w:tc>
          <w:tcPr>
            <w:tcW w:w="1125" w:type="dxa"/>
            <w:vAlign w:val="center"/>
          </w:tcPr>
          <w:p w14:paraId="6CB95CB8" w14:textId="3790A07A" w:rsidR="00E200FE" w:rsidRPr="001E59D2" w:rsidRDefault="00E200FE" w:rsidP="00A446ED">
            <w:pPr>
              <w:jc w:val="center"/>
              <w:rPr>
                <w:rFonts w:ascii="Times" w:hAnsi="Times"/>
              </w:rPr>
            </w:pPr>
            <w:r>
              <w:rPr>
                <w:rFonts w:ascii="Times Roman" w:hAnsi="Times Roman" w:cs="Calibri"/>
                <w:color w:val="000000"/>
                <w:sz w:val="22"/>
                <w:szCs w:val="22"/>
              </w:rPr>
              <w:t>Starter</w:t>
            </w:r>
          </w:p>
        </w:tc>
      </w:tr>
      <w:tr w:rsidR="00A446ED" w14:paraId="10D2723B" w14:textId="77777777" w:rsidTr="0059317D">
        <w:trPr>
          <w:trHeight w:val="565"/>
          <w:jc w:val="center"/>
        </w:trPr>
        <w:tc>
          <w:tcPr>
            <w:tcW w:w="1165" w:type="dxa"/>
            <w:vAlign w:val="center"/>
          </w:tcPr>
          <w:p w14:paraId="637D5B9B" w14:textId="2BC2D28E" w:rsidR="00E200FE" w:rsidRPr="001E59D2" w:rsidRDefault="00E200FE" w:rsidP="00E200FE">
            <w:pPr>
              <w:jc w:val="center"/>
              <w:rPr>
                <w:rFonts w:ascii="Times" w:hAnsi="Times"/>
              </w:rPr>
            </w:pPr>
            <w:r>
              <w:rPr>
                <w:rFonts w:ascii="Times Roman" w:hAnsi="Times Roman" w:cs="Calibri"/>
                <w:color w:val="000000"/>
                <w:sz w:val="22"/>
                <w:szCs w:val="22"/>
              </w:rPr>
              <w:t>Player 3</w:t>
            </w:r>
          </w:p>
        </w:tc>
        <w:tc>
          <w:tcPr>
            <w:tcW w:w="796" w:type="dxa"/>
            <w:vAlign w:val="center"/>
          </w:tcPr>
          <w:p w14:paraId="7BB2BD51" w14:textId="73C9546E"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29</w:t>
            </w:r>
          </w:p>
        </w:tc>
        <w:tc>
          <w:tcPr>
            <w:tcW w:w="989" w:type="dxa"/>
            <w:vAlign w:val="center"/>
          </w:tcPr>
          <w:p w14:paraId="4BAAA9E1" w14:textId="52443A8D" w:rsidR="00E200FE" w:rsidRDefault="00ED7A04" w:rsidP="00DE0A3F">
            <w:pPr>
              <w:jc w:val="center"/>
              <w:rPr>
                <w:rFonts w:ascii="Times Roman" w:hAnsi="Times Roman" w:cs="Calibri"/>
                <w:color w:val="000000"/>
                <w:sz w:val="22"/>
                <w:szCs w:val="22"/>
              </w:rPr>
            </w:pPr>
            <w:r>
              <w:rPr>
                <w:rFonts w:ascii="Times Roman" w:hAnsi="Times Roman" w:cs="Calibri"/>
                <w:color w:val="000000"/>
                <w:sz w:val="22"/>
                <w:szCs w:val="22"/>
              </w:rPr>
              <w:t>74</w:t>
            </w:r>
          </w:p>
        </w:tc>
        <w:tc>
          <w:tcPr>
            <w:tcW w:w="1428" w:type="dxa"/>
            <w:vAlign w:val="center"/>
          </w:tcPr>
          <w:p w14:paraId="7A62A2F7" w14:textId="60A100D3" w:rsidR="00E200FE" w:rsidRDefault="00DE0A3F" w:rsidP="00DE0A3F">
            <w:pPr>
              <w:jc w:val="center"/>
              <w:rPr>
                <w:rFonts w:ascii="Times Roman" w:hAnsi="Times Roman" w:cs="Calibri"/>
                <w:color w:val="000000"/>
                <w:sz w:val="22"/>
                <w:szCs w:val="22"/>
              </w:rPr>
            </w:pPr>
            <w:r>
              <w:rPr>
                <w:rFonts w:ascii="Times Roman" w:hAnsi="Times Roman" w:cs="Calibri"/>
                <w:color w:val="000000"/>
                <w:sz w:val="22"/>
                <w:szCs w:val="22"/>
              </w:rPr>
              <w:t>24</w:t>
            </w:r>
            <w:r w:rsidR="00A012FF">
              <w:rPr>
                <w:rFonts w:ascii="Times Roman" w:hAnsi="Times Roman" w:cs="Calibri"/>
                <w:color w:val="000000"/>
                <w:sz w:val="22"/>
                <w:szCs w:val="22"/>
              </w:rPr>
              <w:t>5</w:t>
            </w:r>
            <w:r>
              <w:rPr>
                <w:rFonts w:ascii="Times Roman" w:hAnsi="Times Roman" w:cs="Calibri"/>
                <w:color w:val="000000"/>
                <w:sz w:val="22"/>
                <w:szCs w:val="22"/>
              </w:rPr>
              <w:t>.</w:t>
            </w:r>
            <w:r w:rsidR="00A012FF">
              <w:rPr>
                <w:rFonts w:ascii="Times Roman" w:hAnsi="Times Roman" w:cs="Calibri"/>
                <w:color w:val="000000"/>
                <w:sz w:val="22"/>
                <w:szCs w:val="22"/>
              </w:rPr>
              <w:t>5</w:t>
            </w:r>
            <w:r>
              <w:rPr>
                <w:rFonts w:ascii="Times Roman" w:hAnsi="Times Roman" w:cs="Calibri"/>
                <w:color w:val="000000"/>
                <w:sz w:val="22"/>
                <w:szCs w:val="22"/>
              </w:rPr>
              <w:t xml:space="preserve"> ± 62.2</w:t>
            </w:r>
          </w:p>
        </w:tc>
        <w:tc>
          <w:tcPr>
            <w:tcW w:w="1138" w:type="dxa"/>
            <w:vAlign w:val="center"/>
          </w:tcPr>
          <w:p w14:paraId="5B303D99" w14:textId="7E241993" w:rsidR="00E200FE" w:rsidRPr="001E59D2" w:rsidRDefault="00E200FE" w:rsidP="00DE0A3F">
            <w:pPr>
              <w:jc w:val="center"/>
              <w:rPr>
                <w:rFonts w:ascii="Times" w:hAnsi="Times"/>
              </w:rPr>
            </w:pPr>
            <w:r>
              <w:rPr>
                <w:rFonts w:ascii="Times Roman" w:hAnsi="Times Roman" w:cs="Calibri"/>
                <w:color w:val="000000"/>
                <w:sz w:val="22"/>
                <w:szCs w:val="22"/>
              </w:rPr>
              <w:t>27.8</w:t>
            </w:r>
            <w:r w:rsidR="00DE0A3F">
              <w:rPr>
                <w:rFonts w:ascii="Times Roman" w:hAnsi="Times Roman" w:cs="Calibri"/>
                <w:color w:val="000000"/>
                <w:sz w:val="22"/>
                <w:szCs w:val="22"/>
              </w:rPr>
              <w:t xml:space="preserve"> ± 7.6</w:t>
            </w:r>
          </w:p>
        </w:tc>
        <w:tc>
          <w:tcPr>
            <w:tcW w:w="1504" w:type="dxa"/>
            <w:vAlign w:val="center"/>
          </w:tcPr>
          <w:p w14:paraId="677B87B3" w14:textId="4CB12D1B" w:rsidR="00E200FE" w:rsidRDefault="00DE0A3F" w:rsidP="00A446ED">
            <w:pPr>
              <w:jc w:val="center"/>
              <w:rPr>
                <w:rFonts w:ascii="Times Roman" w:hAnsi="Times Roman" w:cs="Calibri"/>
                <w:color w:val="000000"/>
                <w:sz w:val="22"/>
                <w:szCs w:val="22"/>
              </w:rPr>
            </w:pPr>
            <w:r>
              <w:rPr>
                <w:rFonts w:ascii="Times Roman" w:hAnsi="Times Roman" w:cs="Calibri"/>
                <w:color w:val="000000"/>
                <w:sz w:val="22"/>
                <w:szCs w:val="22"/>
              </w:rPr>
              <w:t>498.4 ± 172.6</w:t>
            </w:r>
          </w:p>
        </w:tc>
        <w:tc>
          <w:tcPr>
            <w:tcW w:w="1350" w:type="dxa"/>
            <w:vAlign w:val="center"/>
          </w:tcPr>
          <w:p w14:paraId="4E413178" w14:textId="48D8F574" w:rsidR="00E200FE" w:rsidRDefault="00DE0A3F" w:rsidP="00A446ED">
            <w:pPr>
              <w:jc w:val="center"/>
              <w:rPr>
                <w:rFonts w:ascii="Times Roman" w:hAnsi="Times Roman" w:cs="Calibri"/>
                <w:color w:val="000000"/>
                <w:sz w:val="22"/>
                <w:szCs w:val="22"/>
              </w:rPr>
            </w:pPr>
            <w:r>
              <w:rPr>
                <w:rFonts w:ascii="Times Roman" w:hAnsi="Times Roman" w:cs="Calibri"/>
                <w:color w:val="000000"/>
                <w:sz w:val="22"/>
                <w:szCs w:val="22"/>
              </w:rPr>
              <w:t>82.8 ± 30.4</w:t>
            </w:r>
          </w:p>
        </w:tc>
        <w:tc>
          <w:tcPr>
            <w:tcW w:w="1125" w:type="dxa"/>
            <w:vAlign w:val="center"/>
          </w:tcPr>
          <w:p w14:paraId="64B803D3" w14:textId="5A24BBB0" w:rsidR="00E200FE" w:rsidRPr="001E59D2" w:rsidRDefault="00E200FE" w:rsidP="00A446ED">
            <w:pPr>
              <w:jc w:val="center"/>
              <w:rPr>
                <w:rFonts w:ascii="Times" w:hAnsi="Times"/>
              </w:rPr>
            </w:pPr>
            <w:r>
              <w:rPr>
                <w:rFonts w:ascii="Times Roman" w:hAnsi="Times Roman" w:cs="Calibri"/>
                <w:color w:val="000000"/>
                <w:sz w:val="22"/>
                <w:szCs w:val="22"/>
              </w:rPr>
              <w:t>Starter</w:t>
            </w:r>
          </w:p>
        </w:tc>
      </w:tr>
      <w:tr w:rsidR="00A446ED" w14:paraId="5E54F4D1" w14:textId="77777777" w:rsidTr="0059317D">
        <w:trPr>
          <w:trHeight w:val="565"/>
          <w:jc w:val="center"/>
        </w:trPr>
        <w:tc>
          <w:tcPr>
            <w:tcW w:w="1165" w:type="dxa"/>
            <w:vAlign w:val="center"/>
          </w:tcPr>
          <w:p w14:paraId="74750671" w14:textId="0714EFC2" w:rsidR="00E200FE" w:rsidRPr="001E59D2" w:rsidRDefault="00E200FE" w:rsidP="00E200FE">
            <w:pPr>
              <w:jc w:val="center"/>
              <w:rPr>
                <w:rFonts w:ascii="Times" w:hAnsi="Times"/>
              </w:rPr>
            </w:pPr>
            <w:r>
              <w:rPr>
                <w:rFonts w:ascii="Times Roman" w:hAnsi="Times Roman" w:cs="Calibri"/>
                <w:color w:val="000000"/>
                <w:sz w:val="22"/>
                <w:szCs w:val="22"/>
              </w:rPr>
              <w:t>Player 4</w:t>
            </w:r>
          </w:p>
        </w:tc>
        <w:tc>
          <w:tcPr>
            <w:tcW w:w="796" w:type="dxa"/>
            <w:vAlign w:val="center"/>
          </w:tcPr>
          <w:p w14:paraId="42EE358D" w14:textId="6936B027"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29</w:t>
            </w:r>
          </w:p>
        </w:tc>
        <w:tc>
          <w:tcPr>
            <w:tcW w:w="989" w:type="dxa"/>
            <w:vAlign w:val="center"/>
          </w:tcPr>
          <w:p w14:paraId="640F5529" w14:textId="4B8A8C17" w:rsidR="00E200FE" w:rsidRDefault="00ED7A04" w:rsidP="00DE0A3F">
            <w:pPr>
              <w:jc w:val="center"/>
              <w:rPr>
                <w:rFonts w:ascii="Times Roman" w:hAnsi="Times Roman" w:cs="Calibri"/>
                <w:color w:val="000000"/>
                <w:sz w:val="22"/>
                <w:szCs w:val="22"/>
              </w:rPr>
            </w:pPr>
            <w:r>
              <w:rPr>
                <w:rFonts w:ascii="Times Roman" w:hAnsi="Times Roman" w:cs="Calibri"/>
                <w:color w:val="000000"/>
                <w:sz w:val="22"/>
                <w:szCs w:val="22"/>
              </w:rPr>
              <w:t>77</w:t>
            </w:r>
          </w:p>
        </w:tc>
        <w:tc>
          <w:tcPr>
            <w:tcW w:w="1428" w:type="dxa"/>
            <w:vAlign w:val="center"/>
          </w:tcPr>
          <w:p w14:paraId="30ECDF28" w14:textId="52F5A39D" w:rsidR="00E200FE" w:rsidRDefault="00DE0A3F" w:rsidP="00DE0A3F">
            <w:pPr>
              <w:jc w:val="center"/>
              <w:rPr>
                <w:rFonts w:ascii="Times Roman" w:hAnsi="Times Roman" w:cs="Calibri"/>
                <w:color w:val="000000"/>
                <w:sz w:val="22"/>
                <w:szCs w:val="22"/>
              </w:rPr>
            </w:pPr>
            <w:r>
              <w:rPr>
                <w:rFonts w:ascii="Times Roman" w:hAnsi="Times Roman" w:cs="Calibri"/>
                <w:color w:val="000000"/>
                <w:sz w:val="22"/>
                <w:szCs w:val="22"/>
              </w:rPr>
              <w:t>21</w:t>
            </w:r>
            <w:r w:rsidR="00A012FF">
              <w:rPr>
                <w:rFonts w:ascii="Times Roman" w:hAnsi="Times Roman" w:cs="Calibri"/>
                <w:color w:val="000000"/>
                <w:sz w:val="22"/>
                <w:szCs w:val="22"/>
              </w:rPr>
              <w:t>4</w:t>
            </w:r>
            <w:r>
              <w:rPr>
                <w:rFonts w:ascii="Times Roman" w:hAnsi="Times Roman" w:cs="Calibri"/>
                <w:color w:val="000000"/>
                <w:sz w:val="22"/>
                <w:szCs w:val="22"/>
              </w:rPr>
              <w:t>.</w:t>
            </w:r>
            <w:r w:rsidR="00A012FF">
              <w:rPr>
                <w:rFonts w:ascii="Times Roman" w:hAnsi="Times Roman" w:cs="Calibri"/>
                <w:color w:val="000000"/>
                <w:sz w:val="22"/>
                <w:szCs w:val="22"/>
              </w:rPr>
              <w:t>4</w:t>
            </w:r>
            <w:r>
              <w:rPr>
                <w:rFonts w:ascii="Times Roman" w:hAnsi="Times Roman" w:cs="Calibri"/>
                <w:color w:val="000000"/>
                <w:sz w:val="22"/>
                <w:szCs w:val="22"/>
              </w:rPr>
              <w:t xml:space="preserve"> ± 46.9</w:t>
            </w:r>
          </w:p>
        </w:tc>
        <w:tc>
          <w:tcPr>
            <w:tcW w:w="1138" w:type="dxa"/>
            <w:vAlign w:val="center"/>
          </w:tcPr>
          <w:p w14:paraId="4885020E" w14:textId="098AEBBF" w:rsidR="00E200FE" w:rsidRPr="001E59D2" w:rsidRDefault="00E200FE" w:rsidP="00A446ED">
            <w:pPr>
              <w:jc w:val="center"/>
              <w:rPr>
                <w:rFonts w:ascii="Times" w:hAnsi="Times"/>
              </w:rPr>
            </w:pPr>
            <w:r>
              <w:rPr>
                <w:rFonts w:ascii="Times Roman" w:hAnsi="Times Roman" w:cs="Calibri"/>
                <w:color w:val="000000"/>
                <w:sz w:val="22"/>
                <w:szCs w:val="22"/>
              </w:rPr>
              <w:t>25</w:t>
            </w:r>
            <w:r w:rsidR="00DE0A3F">
              <w:rPr>
                <w:rFonts w:ascii="Times Roman" w:hAnsi="Times Roman" w:cs="Calibri"/>
                <w:color w:val="000000"/>
                <w:sz w:val="22"/>
                <w:szCs w:val="22"/>
              </w:rPr>
              <w:t>.0 ± 5.7</w:t>
            </w:r>
          </w:p>
        </w:tc>
        <w:tc>
          <w:tcPr>
            <w:tcW w:w="1504" w:type="dxa"/>
            <w:vAlign w:val="center"/>
          </w:tcPr>
          <w:p w14:paraId="099C1C3E" w14:textId="597D26C1" w:rsidR="00E200FE" w:rsidRDefault="00DE0A3F" w:rsidP="00A446ED">
            <w:pPr>
              <w:jc w:val="center"/>
              <w:rPr>
                <w:rFonts w:ascii="Times Roman" w:hAnsi="Times Roman" w:cs="Calibri"/>
                <w:color w:val="000000"/>
                <w:sz w:val="22"/>
                <w:szCs w:val="22"/>
              </w:rPr>
            </w:pPr>
            <w:r>
              <w:rPr>
                <w:rFonts w:ascii="Times Roman" w:hAnsi="Times Roman" w:cs="Calibri"/>
                <w:color w:val="000000"/>
                <w:sz w:val="22"/>
                <w:szCs w:val="22"/>
              </w:rPr>
              <w:t>422.2 ± 162.6</w:t>
            </w:r>
          </w:p>
        </w:tc>
        <w:tc>
          <w:tcPr>
            <w:tcW w:w="1350" w:type="dxa"/>
            <w:vAlign w:val="center"/>
          </w:tcPr>
          <w:p w14:paraId="29797770" w14:textId="21DEA298" w:rsidR="00E200FE" w:rsidRDefault="00DE0A3F" w:rsidP="00A446ED">
            <w:pPr>
              <w:jc w:val="center"/>
              <w:rPr>
                <w:rFonts w:ascii="Times Roman" w:hAnsi="Times Roman" w:cs="Calibri"/>
                <w:color w:val="000000"/>
                <w:sz w:val="22"/>
                <w:szCs w:val="22"/>
              </w:rPr>
            </w:pPr>
            <w:r>
              <w:rPr>
                <w:rFonts w:ascii="Times Roman" w:hAnsi="Times Roman" w:cs="Calibri"/>
                <w:color w:val="000000"/>
                <w:sz w:val="22"/>
                <w:szCs w:val="22"/>
              </w:rPr>
              <w:t>80.1 ± 29.0</w:t>
            </w:r>
          </w:p>
        </w:tc>
        <w:tc>
          <w:tcPr>
            <w:tcW w:w="1125" w:type="dxa"/>
            <w:vAlign w:val="center"/>
          </w:tcPr>
          <w:p w14:paraId="31ACA73B" w14:textId="36139CF7" w:rsidR="00E200FE" w:rsidRPr="001E59D2" w:rsidRDefault="00E200FE" w:rsidP="00A446ED">
            <w:pPr>
              <w:jc w:val="center"/>
              <w:rPr>
                <w:rFonts w:ascii="Times" w:hAnsi="Times"/>
              </w:rPr>
            </w:pPr>
            <w:r>
              <w:rPr>
                <w:rFonts w:ascii="Times Roman" w:hAnsi="Times Roman" w:cs="Calibri"/>
                <w:color w:val="000000"/>
                <w:sz w:val="22"/>
                <w:szCs w:val="22"/>
              </w:rPr>
              <w:t>Starter</w:t>
            </w:r>
          </w:p>
        </w:tc>
      </w:tr>
      <w:tr w:rsidR="00A446ED" w14:paraId="3C68286A" w14:textId="77777777" w:rsidTr="0059317D">
        <w:trPr>
          <w:trHeight w:val="565"/>
          <w:jc w:val="center"/>
        </w:trPr>
        <w:tc>
          <w:tcPr>
            <w:tcW w:w="1165" w:type="dxa"/>
            <w:vAlign w:val="center"/>
          </w:tcPr>
          <w:p w14:paraId="7C40E724" w14:textId="7EC6F99B" w:rsidR="00E200FE" w:rsidRPr="001E59D2" w:rsidRDefault="00E200FE" w:rsidP="00E200FE">
            <w:pPr>
              <w:jc w:val="center"/>
              <w:rPr>
                <w:rFonts w:ascii="Times" w:hAnsi="Times"/>
              </w:rPr>
            </w:pPr>
            <w:r>
              <w:rPr>
                <w:rFonts w:ascii="Times Roman" w:hAnsi="Times Roman" w:cs="Calibri"/>
                <w:color w:val="000000"/>
                <w:sz w:val="22"/>
                <w:szCs w:val="22"/>
              </w:rPr>
              <w:t>Player 5</w:t>
            </w:r>
          </w:p>
        </w:tc>
        <w:tc>
          <w:tcPr>
            <w:tcW w:w="796" w:type="dxa"/>
            <w:vAlign w:val="center"/>
          </w:tcPr>
          <w:p w14:paraId="75D22EFE" w14:textId="1DE163F8"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29</w:t>
            </w:r>
          </w:p>
        </w:tc>
        <w:tc>
          <w:tcPr>
            <w:tcW w:w="989" w:type="dxa"/>
            <w:vAlign w:val="center"/>
          </w:tcPr>
          <w:p w14:paraId="103A7936" w14:textId="02947C55" w:rsidR="00E200FE" w:rsidRDefault="00ED7A04" w:rsidP="00DE0A3F">
            <w:pPr>
              <w:jc w:val="center"/>
              <w:rPr>
                <w:rFonts w:ascii="Times Roman" w:hAnsi="Times Roman" w:cs="Calibri"/>
                <w:color w:val="000000"/>
                <w:sz w:val="22"/>
                <w:szCs w:val="22"/>
              </w:rPr>
            </w:pPr>
            <w:r>
              <w:rPr>
                <w:rFonts w:ascii="Times Roman" w:hAnsi="Times Roman" w:cs="Calibri"/>
                <w:color w:val="000000"/>
                <w:sz w:val="22"/>
                <w:szCs w:val="22"/>
              </w:rPr>
              <w:t>72</w:t>
            </w:r>
          </w:p>
        </w:tc>
        <w:tc>
          <w:tcPr>
            <w:tcW w:w="1428" w:type="dxa"/>
            <w:vAlign w:val="center"/>
          </w:tcPr>
          <w:p w14:paraId="67CFC69F" w14:textId="34929421" w:rsidR="00E200FE" w:rsidRDefault="00DE0A3F" w:rsidP="00DE0A3F">
            <w:pPr>
              <w:jc w:val="center"/>
              <w:rPr>
                <w:rFonts w:ascii="Times Roman" w:hAnsi="Times Roman" w:cs="Calibri"/>
                <w:color w:val="000000"/>
                <w:sz w:val="22"/>
                <w:szCs w:val="22"/>
              </w:rPr>
            </w:pPr>
            <w:r>
              <w:rPr>
                <w:rFonts w:ascii="Times Roman" w:hAnsi="Times Roman" w:cs="Calibri"/>
                <w:color w:val="000000"/>
                <w:sz w:val="22"/>
                <w:szCs w:val="22"/>
              </w:rPr>
              <w:t>200.</w:t>
            </w:r>
            <w:r w:rsidR="00A012FF">
              <w:rPr>
                <w:rFonts w:ascii="Times Roman" w:hAnsi="Times Roman" w:cs="Calibri"/>
                <w:color w:val="000000"/>
                <w:sz w:val="22"/>
                <w:szCs w:val="22"/>
              </w:rPr>
              <w:t>4</w:t>
            </w:r>
            <w:r>
              <w:rPr>
                <w:rFonts w:ascii="Times Roman" w:hAnsi="Times Roman" w:cs="Calibri"/>
                <w:color w:val="000000"/>
                <w:sz w:val="22"/>
                <w:szCs w:val="22"/>
              </w:rPr>
              <w:t xml:space="preserve"> ± 67.3</w:t>
            </w:r>
          </w:p>
        </w:tc>
        <w:tc>
          <w:tcPr>
            <w:tcW w:w="1138" w:type="dxa"/>
            <w:vAlign w:val="center"/>
          </w:tcPr>
          <w:p w14:paraId="60F03B86" w14:textId="7526EC2C" w:rsidR="00E200FE" w:rsidRPr="001E59D2" w:rsidRDefault="00E200FE" w:rsidP="00A446ED">
            <w:pPr>
              <w:jc w:val="center"/>
              <w:rPr>
                <w:rFonts w:ascii="Times" w:hAnsi="Times"/>
              </w:rPr>
            </w:pPr>
            <w:r>
              <w:rPr>
                <w:rFonts w:ascii="Times Roman" w:hAnsi="Times Roman" w:cs="Calibri"/>
                <w:color w:val="000000"/>
                <w:sz w:val="22"/>
                <w:szCs w:val="22"/>
              </w:rPr>
              <w:t>20.2</w:t>
            </w:r>
            <w:r w:rsidR="00DE0A3F">
              <w:rPr>
                <w:rFonts w:ascii="Times Roman" w:hAnsi="Times Roman" w:cs="Calibri"/>
                <w:color w:val="000000"/>
                <w:sz w:val="22"/>
                <w:szCs w:val="22"/>
              </w:rPr>
              <w:t xml:space="preserve"> ± 8.2</w:t>
            </w:r>
          </w:p>
        </w:tc>
        <w:tc>
          <w:tcPr>
            <w:tcW w:w="1504" w:type="dxa"/>
            <w:vAlign w:val="center"/>
          </w:tcPr>
          <w:p w14:paraId="68BC53FC" w14:textId="7D4831E6" w:rsidR="00E200FE" w:rsidRDefault="00DE0A3F" w:rsidP="00A446ED">
            <w:pPr>
              <w:jc w:val="center"/>
              <w:rPr>
                <w:rFonts w:ascii="Times Roman" w:hAnsi="Times Roman" w:cs="Calibri"/>
                <w:color w:val="000000"/>
                <w:sz w:val="22"/>
                <w:szCs w:val="22"/>
              </w:rPr>
            </w:pPr>
            <w:r>
              <w:rPr>
                <w:rFonts w:ascii="Times Roman" w:hAnsi="Times Roman" w:cs="Calibri"/>
                <w:color w:val="000000"/>
                <w:sz w:val="22"/>
                <w:szCs w:val="22"/>
              </w:rPr>
              <w:t>437.0 ± 191.9</w:t>
            </w:r>
          </w:p>
        </w:tc>
        <w:tc>
          <w:tcPr>
            <w:tcW w:w="1350" w:type="dxa"/>
            <w:vAlign w:val="center"/>
          </w:tcPr>
          <w:p w14:paraId="603040F7" w14:textId="5926395C" w:rsidR="00E200FE" w:rsidRDefault="00DE0A3F" w:rsidP="00A446ED">
            <w:pPr>
              <w:jc w:val="center"/>
              <w:rPr>
                <w:rFonts w:ascii="Times Roman" w:hAnsi="Times Roman" w:cs="Calibri"/>
                <w:color w:val="000000"/>
                <w:sz w:val="22"/>
                <w:szCs w:val="22"/>
              </w:rPr>
            </w:pPr>
            <w:r>
              <w:rPr>
                <w:rFonts w:ascii="Times Roman" w:hAnsi="Times Roman" w:cs="Calibri"/>
                <w:color w:val="000000"/>
                <w:sz w:val="22"/>
                <w:szCs w:val="22"/>
              </w:rPr>
              <w:t>73.6 ± 28.1</w:t>
            </w:r>
          </w:p>
        </w:tc>
        <w:tc>
          <w:tcPr>
            <w:tcW w:w="1125" w:type="dxa"/>
            <w:vAlign w:val="center"/>
          </w:tcPr>
          <w:p w14:paraId="7B286FCC" w14:textId="33E7D702" w:rsidR="00E200FE" w:rsidRPr="001E59D2" w:rsidRDefault="00E200FE" w:rsidP="00A446ED">
            <w:pPr>
              <w:jc w:val="center"/>
              <w:rPr>
                <w:rFonts w:ascii="Times" w:hAnsi="Times"/>
              </w:rPr>
            </w:pPr>
            <w:r>
              <w:rPr>
                <w:rFonts w:ascii="Times Roman" w:hAnsi="Times Roman" w:cs="Calibri"/>
                <w:color w:val="000000"/>
                <w:sz w:val="22"/>
                <w:szCs w:val="22"/>
              </w:rPr>
              <w:t>Starter</w:t>
            </w:r>
          </w:p>
        </w:tc>
      </w:tr>
      <w:tr w:rsidR="00A446ED" w14:paraId="0FE410C5" w14:textId="77777777" w:rsidTr="0059317D">
        <w:trPr>
          <w:trHeight w:val="608"/>
          <w:jc w:val="center"/>
        </w:trPr>
        <w:tc>
          <w:tcPr>
            <w:tcW w:w="1165" w:type="dxa"/>
            <w:vAlign w:val="center"/>
          </w:tcPr>
          <w:p w14:paraId="02E3451A" w14:textId="0EDD0760" w:rsidR="00E200FE" w:rsidRPr="001E59D2" w:rsidRDefault="00E200FE" w:rsidP="00E200FE">
            <w:pPr>
              <w:jc w:val="center"/>
              <w:rPr>
                <w:rFonts w:ascii="Times" w:hAnsi="Times"/>
              </w:rPr>
            </w:pPr>
            <w:r>
              <w:rPr>
                <w:rFonts w:ascii="Times Roman" w:hAnsi="Times Roman" w:cs="Calibri"/>
                <w:color w:val="000000"/>
                <w:sz w:val="22"/>
                <w:szCs w:val="22"/>
              </w:rPr>
              <w:lastRenderedPageBreak/>
              <w:t>Player 6</w:t>
            </w:r>
          </w:p>
        </w:tc>
        <w:tc>
          <w:tcPr>
            <w:tcW w:w="796" w:type="dxa"/>
            <w:vAlign w:val="center"/>
          </w:tcPr>
          <w:p w14:paraId="0E7005DF" w14:textId="62AB58A8"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29</w:t>
            </w:r>
          </w:p>
        </w:tc>
        <w:tc>
          <w:tcPr>
            <w:tcW w:w="989" w:type="dxa"/>
            <w:vAlign w:val="center"/>
          </w:tcPr>
          <w:p w14:paraId="3B1D4670" w14:textId="6B02B914"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66</w:t>
            </w:r>
          </w:p>
        </w:tc>
        <w:tc>
          <w:tcPr>
            <w:tcW w:w="1428" w:type="dxa"/>
            <w:vAlign w:val="center"/>
          </w:tcPr>
          <w:p w14:paraId="0F3ADDA8" w14:textId="7D6D7D36" w:rsidR="00E200FE" w:rsidRDefault="00DE0A3F" w:rsidP="00DE0A3F">
            <w:pPr>
              <w:jc w:val="center"/>
              <w:rPr>
                <w:rFonts w:ascii="Times Roman" w:hAnsi="Times Roman" w:cs="Calibri"/>
                <w:color w:val="000000"/>
                <w:sz w:val="22"/>
                <w:szCs w:val="22"/>
              </w:rPr>
            </w:pPr>
            <w:r>
              <w:rPr>
                <w:rFonts w:ascii="Times Roman" w:hAnsi="Times Roman" w:cs="Calibri"/>
                <w:color w:val="000000"/>
                <w:sz w:val="22"/>
                <w:szCs w:val="22"/>
              </w:rPr>
              <w:t>135.</w:t>
            </w:r>
            <w:r w:rsidR="00A012FF">
              <w:rPr>
                <w:rFonts w:ascii="Times Roman" w:hAnsi="Times Roman" w:cs="Calibri"/>
                <w:color w:val="000000"/>
                <w:sz w:val="22"/>
                <w:szCs w:val="22"/>
              </w:rPr>
              <w:t>4</w:t>
            </w:r>
            <w:r>
              <w:rPr>
                <w:rFonts w:ascii="Times Roman" w:hAnsi="Times Roman" w:cs="Calibri"/>
                <w:color w:val="000000"/>
                <w:sz w:val="22"/>
                <w:szCs w:val="22"/>
              </w:rPr>
              <w:t xml:space="preserve"> ± 76.</w:t>
            </w:r>
            <w:r w:rsidR="00A012FF">
              <w:rPr>
                <w:rFonts w:ascii="Times Roman" w:hAnsi="Times Roman" w:cs="Calibri"/>
                <w:color w:val="000000"/>
                <w:sz w:val="22"/>
                <w:szCs w:val="22"/>
              </w:rPr>
              <w:t>1</w:t>
            </w:r>
          </w:p>
        </w:tc>
        <w:tc>
          <w:tcPr>
            <w:tcW w:w="1138" w:type="dxa"/>
            <w:vAlign w:val="center"/>
          </w:tcPr>
          <w:p w14:paraId="63DE9AB5" w14:textId="17E6A5EB" w:rsidR="00E200FE" w:rsidRPr="001E59D2" w:rsidRDefault="00E200FE" w:rsidP="00DE0A3F">
            <w:pPr>
              <w:jc w:val="center"/>
              <w:rPr>
                <w:rFonts w:ascii="Times" w:hAnsi="Times"/>
              </w:rPr>
            </w:pPr>
            <w:r>
              <w:rPr>
                <w:rFonts w:ascii="Times Roman" w:hAnsi="Times Roman" w:cs="Calibri"/>
                <w:color w:val="000000"/>
                <w:sz w:val="22"/>
                <w:szCs w:val="22"/>
              </w:rPr>
              <w:t>14.8</w:t>
            </w:r>
            <w:r w:rsidR="00DE0A3F">
              <w:rPr>
                <w:rFonts w:ascii="Times Roman" w:hAnsi="Times Roman" w:cs="Calibri"/>
                <w:color w:val="000000"/>
                <w:sz w:val="22"/>
                <w:szCs w:val="22"/>
              </w:rPr>
              <w:t xml:space="preserve"> ± 8.6</w:t>
            </w:r>
          </w:p>
        </w:tc>
        <w:tc>
          <w:tcPr>
            <w:tcW w:w="1504" w:type="dxa"/>
            <w:vAlign w:val="center"/>
          </w:tcPr>
          <w:p w14:paraId="35CACF47" w14:textId="28626482" w:rsidR="00E200FE" w:rsidRDefault="00DE0A3F" w:rsidP="00DE0A3F">
            <w:pPr>
              <w:jc w:val="center"/>
              <w:rPr>
                <w:rFonts w:ascii="Times Roman" w:hAnsi="Times Roman" w:cs="Calibri"/>
                <w:color w:val="000000"/>
                <w:sz w:val="22"/>
                <w:szCs w:val="22"/>
              </w:rPr>
            </w:pPr>
            <w:r>
              <w:rPr>
                <w:rFonts w:ascii="Times Roman" w:hAnsi="Times Roman" w:cs="Calibri"/>
                <w:color w:val="000000"/>
                <w:sz w:val="22"/>
                <w:szCs w:val="22"/>
              </w:rPr>
              <w:t>395.2 ± 184.8</w:t>
            </w:r>
          </w:p>
        </w:tc>
        <w:tc>
          <w:tcPr>
            <w:tcW w:w="1350" w:type="dxa"/>
            <w:vAlign w:val="center"/>
          </w:tcPr>
          <w:p w14:paraId="4A1BC599" w14:textId="5AA065B6" w:rsidR="00E200FE" w:rsidRDefault="00DE0A3F" w:rsidP="00DE0A3F">
            <w:pPr>
              <w:jc w:val="center"/>
              <w:rPr>
                <w:rFonts w:ascii="Times Roman" w:hAnsi="Times Roman" w:cs="Calibri"/>
                <w:color w:val="000000"/>
                <w:sz w:val="22"/>
                <w:szCs w:val="22"/>
              </w:rPr>
            </w:pPr>
            <w:r>
              <w:rPr>
                <w:rFonts w:ascii="Times Roman" w:hAnsi="Times Roman" w:cs="Calibri"/>
                <w:color w:val="000000"/>
                <w:sz w:val="22"/>
                <w:szCs w:val="22"/>
              </w:rPr>
              <w:t>72.8 ± 28.9</w:t>
            </w:r>
          </w:p>
        </w:tc>
        <w:tc>
          <w:tcPr>
            <w:tcW w:w="1125" w:type="dxa"/>
            <w:vAlign w:val="center"/>
          </w:tcPr>
          <w:p w14:paraId="6DE20EA9" w14:textId="36392A62" w:rsidR="00E200FE" w:rsidRPr="001E59D2" w:rsidRDefault="00E200FE" w:rsidP="00A446ED">
            <w:pPr>
              <w:jc w:val="center"/>
              <w:rPr>
                <w:rFonts w:ascii="Times" w:hAnsi="Times"/>
              </w:rPr>
            </w:pPr>
            <w:r>
              <w:rPr>
                <w:rFonts w:ascii="Times Roman" w:hAnsi="Times Roman" w:cs="Calibri"/>
                <w:color w:val="000000"/>
                <w:sz w:val="22"/>
                <w:szCs w:val="22"/>
              </w:rPr>
              <w:t>Rotation</w:t>
            </w:r>
          </w:p>
        </w:tc>
      </w:tr>
      <w:tr w:rsidR="00A446ED" w14:paraId="3321AD3F" w14:textId="77777777" w:rsidTr="0059317D">
        <w:trPr>
          <w:trHeight w:val="565"/>
          <w:jc w:val="center"/>
        </w:trPr>
        <w:tc>
          <w:tcPr>
            <w:tcW w:w="1165" w:type="dxa"/>
            <w:vAlign w:val="center"/>
          </w:tcPr>
          <w:p w14:paraId="3B641E9F" w14:textId="291E7D9F" w:rsidR="00E200FE" w:rsidRPr="001E59D2" w:rsidRDefault="00E200FE" w:rsidP="00E200FE">
            <w:pPr>
              <w:jc w:val="center"/>
              <w:rPr>
                <w:rFonts w:ascii="Times" w:hAnsi="Times"/>
              </w:rPr>
            </w:pPr>
            <w:r>
              <w:rPr>
                <w:rFonts w:ascii="Times Roman" w:hAnsi="Times Roman" w:cs="Calibri"/>
                <w:color w:val="000000"/>
                <w:sz w:val="22"/>
                <w:szCs w:val="22"/>
              </w:rPr>
              <w:t>Player 7</w:t>
            </w:r>
          </w:p>
        </w:tc>
        <w:tc>
          <w:tcPr>
            <w:tcW w:w="796" w:type="dxa"/>
            <w:vAlign w:val="center"/>
          </w:tcPr>
          <w:p w14:paraId="16D70D26" w14:textId="02C17FC6"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28</w:t>
            </w:r>
          </w:p>
        </w:tc>
        <w:tc>
          <w:tcPr>
            <w:tcW w:w="989" w:type="dxa"/>
            <w:vAlign w:val="center"/>
          </w:tcPr>
          <w:p w14:paraId="1C52D471" w14:textId="116CF4B1" w:rsidR="00E200FE" w:rsidRDefault="00ED7A04" w:rsidP="00DE0A3F">
            <w:pPr>
              <w:jc w:val="center"/>
              <w:rPr>
                <w:rFonts w:ascii="Times Roman" w:hAnsi="Times Roman" w:cs="Calibri"/>
                <w:color w:val="000000"/>
                <w:sz w:val="22"/>
                <w:szCs w:val="22"/>
              </w:rPr>
            </w:pPr>
            <w:r>
              <w:rPr>
                <w:rFonts w:ascii="Times Roman" w:hAnsi="Times Roman" w:cs="Calibri"/>
                <w:color w:val="000000"/>
                <w:sz w:val="22"/>
                <w:szCs w:val="22"/>
              </w:rPr>
              <w:t>71</w:t>
            </w:r>
          </w:p>
        </w:tc>
        <w:tc>
          <w:tcPr>
            <w:tcW w:w="1428" w:type="dxa"/>
            <w:vAlign w:val="center"/>
          </w:tcPr>
          <w:p w14:paraId="666EBBC8" w14:textId="6FEB3F3B" w:rsidR="00E200FE" w:rsidRDefault="00DE0A3F" w:rsidP="00DE0A3F">
            <w:pPr>
              <w:jc w:val="center"/>
              <w:rPr>
                <w:rFonts w:ascii="Times Roman" w:hAnsi="Times Roman" w:cs="Calibri"/>
                <w:color w:val="000000"/>
                <w:sz w:val="22"/>
                <w:szCs w:val="22"/>
              </w:rPr>
            </w:pPr>
            <w:r>
              <w:rPr>
                <w:rFonts w:ascii="Times Roman" w:hAnsi="Times Roman" w:cs="Calibri"/>
                <w:color w:val="000000"/>
                <w:sz w:val="22"/>
                <w:szCs w:val="22"/>
              </w:rPr>
              <w:t>121.0 ± 82.7</w:t>
            </w:r>
          </w:p>
        </w:tc>
        <w:tc>
          <w:tcPr>
            <w:tcW w:w="1138" w:type="dxa"/>
            <w:vAlign w:val="center"/>
          </w:tcPr>
          <w:p w14:paraId="0AF7976D" w14:textId="086423DD" w:rsidR="00E200FE" w:rsidRPr="001E59D2" w:rsidRDefault="00E200FE" w:rsidP="00A446ED">
            <w:pPr>
              <w:jc w:val="center"/>
              <w:rPr>
                <w:rFonts w:ascii="Times" w:hAnsi="Times"/>
              </w:rPr>
            </w:pPr>
            <w:r>
              <w:rPr>
                <w:rFonts w:ascii="Times Roman" w:hAnsi="Times Roman" w:cs="Calibri"/>
                <w:color w:val="000000"/>
                <w:sz w:val="22"/>
                <w:szCs w:val="22"/>
              </w:rPr>
              <w:t>12.8</w:t>
            </w:r>
            <w:r w:rsidR="00DE0A3F">
              <w:rPr>
                <w:rFonts w:ascii="Times Roman" w:hAnsi="Times Roman" w:cs="Calibri"/>
                <w:color w:val="000000"/>
                <w:sz w:val="22"/>
                <w:szCs w:val="22"/>
              </w:rPr>
              <w:t xml:space="preserve"> ± 9.8</w:t>
            </w:r>
          </w:p>
        </w:tc>
        <w:tc>
          <w:tcPr>
            <w:tcW w:w="1504" w:type="dxa"/>
            <w:vAlign w:val="center"/>
          </w:tcPr>
          <w:p w14:paraId="581CDF15" w14:textId="4B844F87" w:rsidR="00E200FE" w:rsidRDefault="00DE0A3F" w:rsidP="00A446ED">
            <w:pPr>
              <w:jc w:val="center"/>
              <w:rPr>
                <w:rFonts w:ascii="Times Roman" w:hAnsi="Times Roman" w:cs="Calibri"/>
                <w:color w:val="000000"/>
                <w:sz w:val="22"/>
                <w:szCs w:val="22"/>
              </w:rPr>
            </w:pPr>
            <w:r>
              <w:rPr>
                <w:rFonts w:ascii="Times Roman" w:hAnsi="Times Roman" w:cs="Calibri"/>
                <w:color w:val="000000"/>
                <w:sz w:val="22"/>
                <w:szCs w:val="22"/>
              </w:rPr>
              <w:t>420.4 ± 175.7</w:t>
            </w:r>
          </w:p>
        </w:tc>
        <w:tc>
          <w:tcPr>
            <w:tcW w:w="1350" w:type="dxa"/>
            <w:vAlign w:val="center"/>
          </w:tcPr>
          <w:p w14:paraId="6FB4721F" w14:textId="14E0761A" w:rsidR="00E200FE" w:rsidRDefault="00DE0A3F" w:rsidP="00A446ED">
            <w:pPr>
              <w:jc w:val="center"/>
              <w:rPr>
                <w:rFonts w:ascii="Times Roman" w:hAnsi="Times Roman" w:cs="Calibri"/>
                <w:color w:val="000000"/>
                <w:sz w:val="22"/>
                <w:szCs w:val="22"/>
              </w:rPr>
            </w:pPr>
            <w:r>
              <w:rPr>
                <w:rFonts w:ascii="Times Roman" w:hAnsi="Times Roman" w:cs="Calibri"/>
                <w:color w:val="000000"/>
                <w:sz w:val="22"/>
                <w:szCs w:val="22"/>
              </w:rPr>
              <w:t>76.5 ± 30.4</w:t>
            </w:r>
          </w:p>
        </w:tc>
        <w:tc>
          <w:tcPr>
            <w:tcW w:w="1125" w:type="dxa"/>
            <w:vAlign w:val="center"/>
          </w:tcPr>
          <w:p w14:paraId="5778E605" w14:textId="267849D0" w:rsidR="00E200FE" w:rsidRPr="001E59D2" w:rsidRDefault="00E200FE" w:rsidP="00A446ED">
            <w:pPr>
              <w:jc w:val="center"/>
              <w:rPr>
                <w:rFonts w:ascii="Times" w:hAnsi="Times"/>
              </w:rPr>
            </w:pPr>
            <w:r>
              <w:rPr>
                <w:rFonts w:ascii="Times Roman" w:hAnsi="Times Roman" w:cs="Calibri"/>
                <w:color w:val="000000"/>
                <w:sz w:val="22"/>
                <w:szCs w:val="22"/>
              </w:rPr>
              <w:t>Rotation</w:t>
            </w:r>
          </w:p>
        </w:tc>
      </w:tr>
      <w:tr w:rsidR="00A446ED" w14:paraId="16891667" w14:textId="77777777" w:rsidTr="0059317D">
        <w:trPr>
          <w:trHeight w:val="565"/>
          <w:jc w:val="center"/>
        </w:trPr>
        <w:tc>
          <w:tcPr>
            <w:tcW w:w="1165" w:type="dxa"/>
            <w:vAlign w:val="center"/>
          </w:tcPr>
          <w:p w14:paraId="2E0006CE" w14:textId="76892D2F" w:rsidR="00E200FE" w:rsidRPr="001E59D2" w:rsidRDefault="00E200FE" w:rsidP="00E200FE">
            <w:pPr>
              <w:jc w:val="center"/>
              <w:rPr>
                <w:rFonts w:ascii="Times" w:hAnsi="Times"/>
              </w:rPr>
            </w:pPr>
            <w:r>
              <w:rPr>
                <w:rFonts w:ascii="Times Roman" w:hAnsi="Times Roman" w:cs="Calibri"/>
                <w:color w:val="000000"/>
                <w:sz w:val="22"/>
                <w:szCs w:val="22"/>
              </w:rPr>
              <w:t>Player 8</w:t>
            </w:r>
          </w:p>
        </w:tc>
        <w:tc>
          <w:tcPr>
            <w:tcW w:w="796" w:type="dxa"/>
            <w:vAlign w:val="center"/>
          </w:tcPr>
          <w:p w14:paraId="114ACC70" w14:textId="3F0F9D28"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29</w:t>
            </w:r>
          </w:p>
        </w:tc>
        <w:tc>
          <w:tcPr>
            <w:tcW w:w="989" w:type="dxa"/>
            <w:vAlign w:val="center"/>
          </w:tcPr>
          <w:p w14:paraId="6B29D2F4" w14:textId="1A2A46B4"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70</w:t>
            </w:r>
          </w:p>
        </w:tc>
        <w:tc>
          <w:tcPr>
            <w:tcW w:w="1428" w:type="dxa"/>
            <w:vAlign w:val="center"/>
          </w:tcPr>
          <w:p w14:paraId="0A692DD1" w14:textId="6C6988E9" w:rsidR="00E200FE" w:rsidRDefault="008F4CCE" w:rsidP="00DE0A3F">
            <w:pPr>
              <w:jc w:val="center"/>
              <w:rPr>
                <w:rFonts w:ascii="Times Roman" w:hAnsi="Times Roman" w:cs="Calibri"/>
                <w:color w:val="000000"/>
                <w:sz w:val="22"/>
                <w:szCs w:val="22"/>
              </w:rPr>
            </w:pPr>
            <w:r>
              <w:rPr>
                <w:rFonts w:ascii="Times Roman" w:hAnsi="Times Roman" w:cs="Calibri"/>
                <w:color w:val="000000"/>
                <w:sz w:val="22"/>
                <w:szCs w:val="22"/>
              </w:rPr>
              <w:t>100.</w:t>
            </w:r>
            <w:r w:rsidR="00A012FF">
              <w:rPr>
                <w:rFonts w:ascii="Times Roman" w:hAnsi="Times Roman" w:cs="Calibri"/>
                <w:color w:val="000000"/>
                <w:sz w:val="22"/>
                <w:szCs w:val="22"/>
              </w:rPr>
              <w:t>9</w:t>
            </w:r>
            <w:r>
              <w:rPr>
                <w:rFonts w:ascii="Times Roman" w:hAnsi="Times Roman" w:cs="Calibri"/>
                <w:color w:val="000000"/>
                <w:sz w:val="22"/>
                <w:szCs w:val="22"/>
              </w:rPr>
              <w:t xml:space="preserve"> ± 39.1</w:t>
            </w:r>
          </w:p>
        </w:tc>
        <w:tc>
          <w:tcPr>
            <w:tcW w:w="1138" w:type="dxa"/>
            <w:vAlign w:val="center"/>
          </w:tcPr>
          <w:p w14:paraId="5211E5AA" w14:textId="4A193E5B" w:rsidR="00E200FE" w:rsidRPr="001E59D2" w:rsidRDefault="00E200FE" w:rsidP="00DE0A3F">
            <w:pPr>
              <w:jc w:val="center"/>
              <w:rPr>
                <w:rFonts w:ascii="Times" w:hAnsi="Times"/>
              </w:rPr>
            </w:pPr>
            <w:r>
              <w:rPr>
                <w:rFonts w:ascii="Times Roman" w:hAnsi="Times Roman" w:cs="Calibri"/>
                <w:color w:val="000000"/>
                <w:sz w:val="22"/>
                <w:szCs w:val="22"/>
              </w:rPr>
              <w:t>12.7</w:t>
            </w:r>
            <w:r w:rsidR="00DE0A3F">
              <w:rPr>
                <w:rFonts w:ascii="Times Roman" w:hAnsi="Times Roman" w:cs="Calibri"/>
                <w:color w:val="000000"/>
                <w:sz w:val="22"/>
                <w:szCs w:val="22"/>
              </w:rPr>
              <w:t xml:space="preserve"> ± 4.8</w:t>
            </w:r>
          </w:p>
        </w:tc>
        <w:tc>
          <w:tcPr>
            <w:tcW w:w="1504" w:type="dxa"/>
            <w:vAlign w:val="center"/>
          </w:tcPr>
          <w:p w14:paraId="30EE1D91" w14:textId="65B2587F"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335.3 ± 148.4</w:t>
            </w:r>
          </w:p>
        </w:tc>
        <w:tc>
          <w:tcPr>
            <w:tcW w:w="1350" w:type="dxa"/>
            <w:vAlign w:val="center"/>
          </w:tcPr>
          <w:p w14:paraId="097E3E53" w14:textId="441BA813"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70.6 ± 27</w:t>
            </w:r>
          </w:p>
        </w:tc>
        <w:tc>
          <w:tcPr>
            <w:tcW w:w="1125" w:type="dxa"/>
            <w:vAlign w:val="center"/>
          </w:tcPr>
          <w:p w14:paraId="13A47E45" w14:textId="788B0CFD" w:rsidR="00E200FE" w:rsidRPr="001E59D2" w:rsidRDefault="00E200FE" w:rsidP="00A446ED">
            <w:pPr>
              <w:jc w:val="center"/>
              <w:rPr>
                <w:rFonts w:ascii="Times" w:hAnsi="Times"/>
              </w:rPr>
            </w:pPr>
            <w:r>
              <w:rPr>
                <w:rFonts w:ascii="Times Roman" w:hAnsi="Times Roman" w:cs="Calibri"/>
                <w:color w:val="000000"/>
                <w:sz w:val="22"/>
                <w:szCs w:val="22"/>
              </w:rPr>
              <w:t>Rotation</w:t>
            </w:r>
          </w:p>
        </w:tc>
      </w:tr>
      <w:tr w:rsidR="00A446ED" w14:paraId="0EE8CA01" w14:textId="77777777" w:rsidTr="0059317D">
        <w:trPr>
          <w:trHeight w:val="521"/>
          <w:jc w:val="center"/>
        </w:trPr>
        <w:tc>
          <w:tcPr>
            <w:tcW w:w="1165" w:type="dxa"/>
            <w:vAlign w:val="center"/>
          </w:tcPr>
          <w:p w14:paraId="242D3008" w14:textId="5592CDAD" w:rsidR="00E200FE" w:rsidRPr="001E59D2" w:rsidRDefault="00E200FE" w:rsidP="00E200FE">
            <w:pPr>
              <w:jc w:val="center"/>
              <w:rPr>
                <w:rFonts w:ascii="Times" w:hAnsi="Times"/>
              </w:rPr>
            </w:pPr>
            <w:r>
              <w:rPr>
                <w:rFonts w:ascii="Times Roman" w:hAnsi="Times Roman" w:cs="Calibri"/>
                <w:color w:val="000000"/>
                <w:sz w:val="22"/>
                <w:szCs w:val="22"/>
              </w:rPr>
              <w:t>Player 9</w:t>
            </w:r>
          </w:p>
        </w:tc>
        <w:tc>
          <w:tcPr>
            <w:tcW w:w="796" w:type="dxa"/>
            <w:vAlign w:val="center"/>
          </w:tcPr>
          <w:p w14:paraId="545C6261" w14:textId="4DE91B22"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2</w:t>
            </w:r>
            <w:r w:rsidR="00ED7A04">
              <w:rPr>
                <w:rFonts w:ascii="Times Roman" w:hAnsi="Times Roman" w:cs="Calibri"/>
                <w:color w:val="000000"/>
                <w:sz w:val="22"/>
                <w:szCs w:val="22"/>
              </w:rPr>
              <w:t>6</w:t>
            </w:r>
          </w:p>
        </w:tc>
        <w:tc>
          <w:tcPr>
            <w:tcW w:w="989" w:type="dxa"/>
            <w:vAlign w:val="center"/>
          </w:tcPr>
          <w:p w14:paraId="06CDC07B" w14:textId="1EBF29C9"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59</w:t>
            </w:r>
          </w:p>
        </w:tc>
        <w:tc>
          <w:tcPr>
            <w:tcW w:w="1428" w:type="dxa"/>
            <w:vAlign w:val="center"/>
          </w:tcPr>
          <w:p w14:paraId="68468B5B" w14:textId="152B47E6" w:rsidR="00E200FE" w:rsidRDefault="008F4CCE" w:rsidP="00DE0A3F">
            <w:pPr>
              <w:jc w:val="center"/>
              <w:rPr>
                <w:rFonts w:ascii="Times Roman" w:hAnsi="Times Roman" w:cs="Calibri"/>
                <w:color w:val="000000"/>
                <w:sz w:val="22"/>
                <w:szCs w:val="22"/>
              </w:rPr>
            </w:pPr>
            <w:r>
              <w:rPr>
                <w:rFonts w:ascii="Times Roman" w:hAnsi="Times Roman" w:cs="Calibri"/>
                <w:color w:val="000000"/>
                <w:sz w:val="22"/>
                <w:szCs w:val="22"/>
              </w:rPr>
              <w:t>101.</w:t>
            </w:r>
            <w:r w:rsidR="00A012FF">
              <w:rPr>
                <w:rFonts w:ascii="Times Roman" w:hAnsi="Times Roman" w:cs="Calibri"/>
                <w:color w:val="000000"/>
                <w:sz w:val="22"/>
                <w:szCs w:val="22"/>
              </w:rPr>
              <w:t>9</w:t>
            </w:r>
            <w:r>
              <w:rPr>
                <w:rFonts w:ascii="Times Roman" w:hAnsi="Times Roman" w:cs="Calibri"/>
                <w:color w:val="000000"/>
                <w:sz w:val="22"/>
                <w:szCs w:val="22"/>
              </w:rPr>
              <w:t xml:space="preserve"> ± 74.</w:t>
            </w:r>
            <w:r w:rsidR="00A012FF">
              <w:rPr>
                <w:rFonts w:ascii="Times Roman" w:hAnsi="Times Roman" w:cs="Calibri"/>
                <w:color w:val="000000"/>
                <w:sz w:val="22"/>
                <w:szCs w:val="22"/>
              </w:rPr>
              <w:t>8</w:t>
            </w:r>
          </w:p>
        </w:tc>
        <w:tc>
          <w:tcPr>
            <w:tcW w:w="1138" w:type="dxa"/>
            <w:vAlign w:val="center"/>
          </w:tcPr>
          <w:p w14:paraId="749868BD" w14:textId="344B919D" w:rsidR="00E200FE" w:rsidRPr="001E59D2" w:rsidRDefault="00E200FE" w:rsidP="008F4CCE">
            <w:pPr>
              <w:jc w:val="center"/>
              <w:rPr>
                <w:rFonts w:ascii="Times" w:hAnsi="Times"/>
              </w:rPr>
            </w:pPr>
            <w:r>
              <w:rPr>
                <w:rFonts w:ascii="Times Roman" w:hAnsi="Times Roman" w:cs="Calibri"/>
                <w:color w:val="000000"/>
                <w:sz w:val="22"/>
                <w:szCs w:val="22"/>
              </w:rPr>
              <w:t>10.9</w:t>
            </w:r>
            <w:r w:rsidR="008F4CCE">
              <w:rPr>
                <w:rFonts w:ascii="Times Roman" w:hAnsi="Times Roman" w:cs="Calibri"/>
                <w:color w:val="000000"/>
                <w:sz w:val="22"/>
                <w:szCs w:val="22"/>
              </w:rPr>
              <w:t xml:space="preserve"> ± 8.6</w:t>
            </w:r>
          </w:p>
        </w:tc>
        <w:tc>
          <w:tcPr>
            <w:tcW w:w="1504" w:type="dxa"/>
            <w:vAlign w:val="center"/>
          </w:tcPr>
          <w:p w14:paraId="71A18726" w14:textId="2B313F21"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390.7 ± 164.7</w:t>
            </w:r>
          </w:p>
        </w:tc>
        <w:tc>
          <w:tcPr>
            <w:tcW w:w="1350" w:type="dxa"/>
            <w:vAlign w:val="center"/>
          </w:tcPr>
          <w:p w14:paraId="17C7DDE3" w14:textId="46E4E42E"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69.7 ± 22.0</w:t>
            </w:r>
          </w:p>
        </w:tc>
        <w:tc>
          <w:tcPr>
            <w:tcW w:w="1125" w:type="dxa"/>
            <w:vAlign w:val="center"/>
          </w:tcPr>
          <w:p w14:paraId="15F6FF97" w14:textId="4B29A5BB" w:rsidR="00E200FE" w:rsidRPr="001E59D2" w:rsidRDefault="00E200FE" w:rsidP="00A446ED">
            <w:pPr>
              <w:jc w:val="center"/>
              <w:rPr>
                <w:rFonts w:ascii="Times" w:hAnsi="Times"/>
              </w:rPr>
            </w:pPr>
            <w:r>
              <w:rPr>
                <w:rFonts w:ascii="Times Roman" w:hAnsi="Times Roman" w:cs="Calibri"/>
                <w:color w:val="000000"/>
                <w:sz w:val="22"/>
                <w:szCs w:val="22"/>
              </w:rPr>
              <w:t>Rotation</w:t>
            </w:r>
          </w:p>
        </w:tc>
      </w:tr>
      <w:tr w:rsidR="00A446ED" w14:paraId="3DD1B348" w14:textId="77777777" w:rsidTr="0059317D">
        <w:trPr>
          <w:trHeight w:val="608"/>
          <w:jc w:val="center"/>
        </w:trPr>
        <w:tc>
          <w:tcPr>
            <w:tcW w:w="1165" w:type="dxa"/>
            <w:vAlign w:val="center"/>
          </w:tcPr>
          <w:p w14:paraId="139A3E04" w14:textId="3FD72222" w:rsidR="00E200FE" w:rsidRPr="001E59D2" w:rsidRDefault="00E200FE" w:rsidP="00E200FE">
            <w:pPr>
              <w:jc w:val="center"/>
              <w:rPr>
                <w:rFonts w:ascii="Times" w:hAnsi="Times"/>
              </w:rPr>
            </w:pPr>
            <w:r>
              <w:rPr>
                <w:rFonts w:ascii="Times Roman" w:hAnsi="Times Roman" w:cs="Calibri"/>
                <w:color w:val="000000"/>
                <w:sz w:val="22"/>
                <w:szCs w:val="22"/>
              </w:rPr>
              <w:t>Player 10</w:t>
            </w:r>
          </w:p>
        </w:tc>
        <w:tc>
          <w:tcPr>
            <w:tcW w:w="796" w:type="dxa"/>
            <w:vAlign w:val="center"/>
          </w:tcPr>
          <w:p w14:paraId="14892F14" w14:textId="77196C64"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21</w:t>
            </w:r>
          </w:p>
        </w:tc>
        <w:tc>
          <w:tcPr>
            <w:tcW w:w="989" w:type="dxa"/>
            <w:vAlign w:val="center"/>
          </w:tcPr>
          <w:p w14:paraId="147D5C44" w14:textId="7A32F71D" w:rsidR="00E200FE" w:rsidRDefault="00ED7A04" w:rsidP="00DE0A3F">
            <w:pPr>
              <w:jc w:val="center"/>
              <w:rPr>
                <w:rFonts w:ascii="Times Roman" w:hAnsi="Times Roman" w:cs="Calibri"/>
                <w:color w:val="000000"/>
                <w:sz w:val="22"/>
                <w:szCs w:val="22"/>
              </w:rPr>
            </w:pPr>
            <w:r>
              <w:rPr>
                <w:rFonts w:ascii="Times Roman" w:hAnsi="Times Roman" w:cs="Calibri"/>
                <w:color w:val="000000"/>
                <w:sz w:val="22"/>
                <w:szCs w:val="22"/>
              </w:rPr>
              <w:t>70</w:t>
            </w:r>
          </w:p>
        </w:tc>
        <w:tc>
          <w:tcPr>
            <w:tcW w:w="1428" w:type="dxa"/>
            <w:vAlign w:val="center"/>
          </w:tcPr>
          <w:p w14:paraId="0E494290" w14:textId="7BAD67B5"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8</w:t>
            </w:r>
            <w:r w:rsidR="00A012FF">
              <w:rPr>
                <w:rFonts w:ascii="Times Roman" w:hAnsi="Times Roman" w:cs="Calibri"/>
                <w:color w:val="000000"/>
                <w:sz w:val="22"/>
                <w:szCs w:val="22"/>
              </w:rPr>
              <w:t>6</w:t>
            </w:r>
            <w:r>
              <w:rPr>
                <w:rFonts w:ascii="Times Roman" w:hAnsi="Times Roman" w:cs="Calibri"/>
                <w:color w:val="000000"/>
                <w:sz w:val="22"/>
                <w:szCs w:val="22"/>
              </w:rPr>
              <w:t>.</w:t>
            </w:r>
            <w:r w:rsidR="00A012FF">
              <w:rPr>
                <w:rFonts w:ascii="Times Roman" w:hAnsi="Times Roman" w:cs="Calibri"/>
                <w:color w:val="000000"/>
                <w:sz w:val="22"/>
                <w:szCs w:val="22"/>
              </w:rPr>
              <w:t>5</w:t>
            </w:r>
            <w:r>
              <w:rPr>
                <w:rFonts w:ascii="Times Roman" w:hAnsi="Times Roman" w:cs="Calibri"/>
                <w:color w:val="000000"/>
                <w:sz w:val="22"/>
                <w:szCs w:val="22"/>
              </w:rPr>
              <w:t xml:space="preserve"> ± 7</w:t>
            </w:r>
            <w:r w:rsidR="00A012FF">
              <w:rPr>
                <w:rFonts w:ascii="Times Roman" w:hAnsi="Times Roman" w:cs="Calibri"/>
                <w:color w:val="000000"/>
                <w:sz w:val="22"/>
                <w:szCs w:val="22"/>
              </w:rPr>
              <w:t>7</w:t>
            </w:r>
            <w:r>
              <w:rPr>
                <w:rFonts w:ascii="Times Roman" w:hAnsi="Times Roman" w:cs="Calibri"/>
                <w:color w:val="000000"/>
                <w:sz w:val="22"/>
                <w:szCs w:val="22"/>
              </w:rPr>
              <w:t>.</w:t>
            </w:r>
            <w:r w:rsidR="00A012FF">
              <w:rPr>
                <w:rFonts w:ascii="Times Roman" w:hAnsi="Times Roman" w:cs="Calibri"/>
                <w:color w:val="000000"/>
                <w:sz w:val="22"/>
                <w:szCs w:val="22"/>
              </w:rPr>
              <w:t>7</w:t>
            </w:r>
          </w:p>
        </w:tc>
        <w:tc>
          <w:tcPr>
            <w:tcW w:w="1138" w:type="dxa"/>
            <w:vAlign w:val="center"/>
          </w:tcPr>
          <w:p w14:paraId="1F49D507" w14:textId="59664598" w:rsidR="00E200FE" w:rsidRPr="001E59D2" w:rsidRDefault="00E200FE" w:rsidP="00A446ED">
            <w:pPr>
              <w:jc w:val="center"/>
              <w:rPr>
                <w:rFonts w:ascii="Times" w:hAnsi="Times"/>
              </w:rPr>
            </w:pPr>
            <w:r>
              <w:rPr>
                <w:rFonts w:ascii="Times Roman" w:hAnsi="Times Roman" w:cs="Calibri"/>
                <w:color w:val="000000"/>
                <w:sz w:val="22"/>
                <w:szCs w:val="22"/>
              </w:rPr>
              <w:t>8.7</w:t>
            </w:r>
            <w:r w:rsidR="008F4CCE">
              <w:rPr>
                <w:rFonts w:ascii="Times Roman" w:hAnsi="Times Roman" w:cs="Calibri"/>
                <w:color w:val="000000"/>
                <w:sz w:val="22"/>
                <w:szCs w:val="22"/>
              </w:rPr>
              <w:t xml:space="preserve"> ± 8.5</w:t>
            </w:r>
          </w:p>
        </w:tc>
        <w:tc>
          <w:tcPr>
            <w:tcW w:w="1504" w:type="dxa"/>
            <w:vAlign w:val="center"/>
          </w:tcPr>
          <w:p w14:paraId="674EF83B" w14:textId="041338C5" w:rsidR="00E200FE" w:rsidDel="008D00D1" w:rsidRDefault="008F4CCE" w:rsidP="00A446ED">
            <w:pPr>
              <w:jc w:val="center"/>
              <w:rPr>
                <w:rFonts w:ascii="Times Roman" w:hAnsi="Times Roman" w:cs="Calibri"/>
                <w:color w:val="000000"/>
                <w:sz w:val="22"/>
                <w:szCs w:val="22"/>
              </w:rPr>
            </w:pPr>
            <w:r>
              <w:rPr>
                <w:rFonts w:ascii="Times Roman" w:hAnsi="Times Roman" w:cs="Calibri"/>
                <w:color w:val="000000"/>
                <w:sz w:val="22"/>
                <w:szCs w:val="22"/>
              </w:rPr>
              <w:t>416.4 ± 166.2</w:t>
            </w:r>
          </w:p>
        </w:tc>
        <w:tc>
          <w:tcPr>
            <w:tcW w:w="1350" w:type="dxa"/>
            <w:vAlign w:val="center"/>
          </w:tcPr>
          <w:p w14:paraId="0AB60934" w14:textId="6F672971" w:rsidR="00E200FE" w:rsidDel="008D00D1" w:rsidRDefault="008F4CCE" w:rsidP="00A446ED">
            <w:pPr>
              <w:jc w:val="center"/>
              <w:rPr>
                <w:rFonts w:ascii="Times Roman" w:hAnsi="Times Roman" w:cs="Calibri"/>
                <w:color w:val="000000"/>
                <w:sz w:val="22"/>
                <w:szCs w:val="22"/>
              </w:rPr>
            </w:pPr>
            <w:r>
              <w:rPr>
                <w:rFonts w:ascii="Times Roman" w:hAnsi="Times Roman" w:cs="Calibri"/>
                <w:color w:val="000000"/>
                <w:sz w:val="22"/>
                <w:szCs w:val="22"/>
              </w:rPr>
              <w:t>76.9 ± 29.4</w:t>
            </w:r>
          </w:p>
        </w:tc>
        <w:tc>
          <w:tcPr>
            <w:tcW w:w="1125" w:type="dxa"/>
            <w:vAlign w:val="center"/>
          </w:tcPr>
          <w:p w14:paraId="6E7E4282" w14:textId="25F82D9F" w:rsidR="00E200FE" w:rsidRPr="001E59D2" w:rsidRDefault="00E200FE" w:rsidP="00A446ED">
            <w:pPr>
              <w:jc w:val="center"/>
              <w:rPr>
                <w:rFonts w:ascii="Times" w:hAnsi="Times"/>
              </w:rPr>
            </w:pPr>
            <w:r>
              <w:rPr>
                <w:rFonts w:ascii="Times Roman" w:hAnsi="Times Roman" w:cs="Calibri"/>
                <w:color w:val="000000"/>
                <w:sz w:val="22"/>
                <w:szCs w:val="22"/>
              </w:rPr>
              <w:t>Rotation</w:t>
            </w:r>
          </w:p>
        </w:tc>
      </w:tr>
      <w:tr w:rsidR="00A446ED" w14:paraId="7CA0E459" w14:textId="77777777" w:rsidTr="0059317D">
        <w:trPr>
          <w:trHeight w:val="565"/>
          <w:jc w:val="center"/>
        </w:trPr>
        <w:tc>
          <w:tcPr>
            <w:tcW w:w="1165" w:type="dxa"/>
            <w:vAlign w:val="center"/>
          </w:tcPr>
          <w:p w14:paraId="30D79E8F" w14:textId="5038C30C" w:rsidR="00E200FE" w:rsidRPr="001E59D2" w:rsidRDefault="00E200FE" w:rsidP="00E200FE">
            <w:pPr>
              <w:jc w:val="center"/>
              <w:rPr>
                <w:rFonts w:ascii="Times" w:hAnsi="Times"/>
              </w:rPr>
            </w:pPr>
            <w:r>
              <w:rPr>
                <w:rFonts w:ascii="Times Roman" w:hAnsi="Times Roman" w:cs="Calibri"/>
                <w:color w:val="000000"/>
                <w:sz w:val="22"/>
                <w:szCs w:val="22"/>
              </w:rPr>
              <w:t>Player 11</w:t>
            </w:r>
          </w:p>
        </w:tc>
        <w:tc>
          <w:tcPr>
            <w:tcW w:w="796" w:type="dxa"/>
            <w:vAlign w:val="center"/>
          </w:tcPr>
          <w:p w14:paraId="3C83DDC4" w14:textId="7028265E"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1</w:t>
            </w:r>
          </w:p>
        </w:tc>
        <w:tc>
          <w:tcPr>
            <w:tcW w:w="989" w:type="dxa"/>
            <w:vAlign w:val="center"/>
          </w:tcPr>
          <w:p w14:paraId="204ADE3D" w14:textId="17DBB26A"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71</w:t>
            </w:r>
          </w:p>
        </w:tc>
        <w:tc>
          <w:tcPr>
            <w:tcW w:w="1428" w:type="dxa"/>
            <w:vAlign w:val="center"/>
          </w:tcPr>
          <w:p w14:paraId="16CF866C" w14:textId="46708363" w:rsidR="00E200FE" w:rsidRDefault="008F4CCE" w:rsidP="00ED7A04">
            <w:pPr>
              <w:jc w:val="center"/>
              <w:rPr>
                <w:rFonts w:ascii="Times Roman" w:hAnsi="Times Roman" w:cs="Calibri"/>
                <w:color w:val="000000"/>
                <w:sz w:val="22"/>
                <w:szCs w:val="22"/>
              </w:rPr>
            </w:pPr>
            <w:r>
              <w:rPr>
                <w:rFonts w:ascii="Times Roman" w:hAnsi="Times Roman" w:cs="Calibri"/>
                <w:color w:val="000000"/>
                <w:sz w:val="22"/>
                <w:szCs w:val="22"/>
              </w:rPr>
              <w:t>0.</w:t>
            </w:r>
            <w:r w:rsidR="00A012FF">
              <w:rPr>
                <w:rFonts w:ascii="Times Roman" w:hAnsi="Times Roman" w:cs="Calibri"/>
                <w:color w:val="000000"/>
                <w:sz w:val="22"/>
                <w:szCs w:val="22"/>
              </w:rPr>
              <w:t>4</w:t>
            </w:r>
            <w:r>
              <w:rPr>
                <w:rFonts w:ascii="Times Roman" w:hAnsi="Times Roman" w:cs="Calibri"/>
                <w:color w:val="000000"/>
                <w:sz w:val="22"/>
                <w:szCs w:val="22"/>
              </w:rPr>
              <w:t xml:space="preserve"> </w:t>
            </w:r>
            <w:r w:rsidR="00ED7A04">
              <w:rPr>
                <w:rFonts w:ascii="Times Roman" w:hAnsi="Times Roman" w:cs="Calibri"/>
                <w:color w:val="000000"/>
                <w:sz w:val="22"/>
                <w:szCs w:val="22"/>
              </w:rPr>
              <w:t>± 0</w:t>
            </w:r>
            <w:r>
              <w:rPr>
                <w:rFonts w:ascii="Times Roman" w:hAnsi="Times Roman" w:cs="Calibri"/>
                <w:color w:val="000000"/>
                <w:sz w:val="22"/>
                <w:szCs w:val="22"/>
              </w:rPr>
              <w:t>.2</w:t>
            </w:r>
          </w:p>
        </w:tc>
        <w:tc>
          <w:tcPr>
            <w:tcW w:w="1138" w:type="dxa"/>
            <w:vAlign w:val="center"/>
          </w:tcPr>
          <w:p w14:paraId="5AEA9FC6" w14:textId="0E3080F1" w:rsidR="00E200FE" w:rsidRPr="001E59D2" w:rsidRDefault="00E200FE" w:rsidP="00ED7A04">
            <w:pPr>
              <w:jc w:val="center"/>
              <w:rPr>
                <w:rFonts w:ascii="Times" w:hAnsi="Times"/>
              </w:rPr>
            </w:pPr>
            <w:r>
              <w:rPr>
                <w:rFonts w:ascii="Times Roman" w:hAnsi="Times Roman" w:cs="Calibri"/>
                <w:color w:val="000000"/>
                <w:sz w:val="22"/>
                <w:szCs w:val="22"/>
              </w:rPr>
              <w:t>0.2</w:t>
            </w:r>
            <w:r w:rsidR="008F4CCE">
              <w:rPr>
                <w:rFonts w:ascii="Times Roman" w:hAnsi="Times Roman" w:cs="Calibri"/>
                <w:color w:val="000000"/>
                <w:sz w:val="22"/>
                <w:szCs w:val="22"/>
              </w:rPr>
              <w:t xml:space="preserve"> ± 0.1</w:t>
            </w:r>
          </w:p>
        </w:tc>
        <w:tc>
          <w:tcPr>
            <w:tcW w:w="1504" w:type="dxa"/>
            <w:vAlign w:val="center"/>
          </w:tcPr>
          <w:p w14:paraId="1D8AE644" w14:textId="71FCE11F" w:rsidR="00E200FE" w:rsidRDefault="008F4CCE" w:rsidP="00DE0A3F">
            <w:pPr>
              <w:jc w:val="center"/>
              <w:rPr>
                <w:rFonts w:ascii="Times Roman" w:hAnsi="Times Roman" w:cs="Calibri"/>
                <w:color w:val="000000"/>
                <w:sz w:val="22"/>
                <w:szCs w:val="22"/>
              </w:rPr>
            </w:pPr>
            <w:r>
              <w:rPr>
                <w:rFonts w:ascii="Times Roman" w:hAnsi="Times Roman" w:cs="Calibri"/>
                <w:color w:val="000000"/>
                <w:sz w:val="22"/>
                <w:szCs w:val="22"/>
              </w:rPr>
              <w:t>343.1 ± 168.9</w:t>
            </w:r>
          </w:p>
        </w:tc>
        <w:tc>
          <w:tcPr>
            <w:tcW w:w="1350" w:type="dxa"/>
            <w:vAlign w:val="center"/>
          </w:tcPr>
          <w:p w14:paraId="0328A3ED" w14:textId="13B9FFCA"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68.8 ± 34.6</w:t>
            </w:r>
          </w:p>
        </w:tc>
        <w:tc>
          <w:tcPr>
            <w:tcW w:w="1125" w:type="dxa"/>
            <w:vAlign w:val="center"/>
          </w:tcPr>
          <w:p w14:paraId="7600683C" w14:textId="048BD2F5" w:rsidR="00E200FE" w:rsidRPr="001E59D2" w:rsidRDefault="00E200FE" w:rsidP="00A446ED">
            <w:pPr>
              <w:jc w:val="center"/>
              <w:rPr>
                <w:rFonts w:ascii="Times" w:hAnsi="Times"/>
              </w:rPr>
            </w:pPr>
            <w:r>
              <w:rPr>
                <w:rFonts w:ascii="Times Roman" w:hAnsi="Times Roman" w:cs="Calibri"/>
                <w:color w:val="000000"/>
                <w:sz w:val="22"/>
                <w:szCs w:val="22"/>
              </w:rPr>
              <w:t>Bench</w:t>
            </w:r>
          </w:p>
        </w:tc>
      </w:tr>
      <w:tr w:rsidR="00A446ED" w14:paraId="0DC14606" w14:textId="77777777" w:rsidTr="0059317D">
        <w:trPr>
          <w:trHeight w:val="565"/>
          <w:jc w:val="center"/>
        </w:trPr>
        <w:tc>
          <w:tcPr>
            <w:tcW w:w="1165" w:type="dxa"/>
            <w:vAlign w:val="center"/>
          </w:tcPr>
          <w:p w14:paraId="6A2F6627" w14:textId="2790E396" w:rsidR="00E200FE" w:rsidRPr="001E59D2" w:rsidRDefault="00E200FE" w:rsidP="00E200FE">
            <w:pPr>
              <w:jc w:val="center"/>
              <w:rPr>
                <w:rFonts w:ascii="Times" w:hAnsi="Times"/>
              </w:rPr>
            </w:pPr>
            <w:r>
              <w:rPr>
                <w:rFonts w:ascii="Times Roman" w:hAnsi="Times Roman" w:cs="Calibri"/>
                <w:color w:val="000000"/>
                <w:sz w:val="22"/>
                <w:szCs w:val="22"/>
              </w:rPr>
              <w:t>Player 12</w:t>
            </w:r>
          </w:p>
        </w:tc>
        <w:tc>
          <w:tcPr>
            <w:tcW w:w="796" w:type="dxa"/>
            <w:vAlign w:val="center"/>
          </w:tcPr>
          <w:p w14:paraId="7CE344CE" w14:textId="6ACEDD83"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0</w:t>
            </w:r>
          </w:p>
        </w:tc>
        <w:tc>
          <w:tcPr>
            <w:tcW w:w="989" w:type="dxa"/>
            <w:vAlign w:val="center"/>
          </w:tcPr>
          <w:p w14:paraId="73F17945" w14:textId="51F283E4"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53</w:t>
            </w:r>
          </w:p>
        </w:tc>
        <w:tc>
          <w:tcPr>
            <w:tcW w:w="1428" w:type="dxa"/>
            <w:vAlign w:val="center"/>
          </w:tcPr>
          <w:p w14:paraId="5874D7C0" w14:textId="2ED18106" w:rsidR="00E200FE" w:rsidRDefault="008F4CCE" w:rsidP="00DE0A3F">
            <w:pPr>
              <w:jc w:val="center"/>
              <w:rPr>
                <w:rFonts w:ascii="Times Roman" w:hAnsi="Times Roman" w:cs="Calibri"/>
                <w:color w:val="000000"/>
                <w:sz w:val="22"/>
                <w:szCs w:val="22"/>
              </w:rPr>
            </w:pPr>
            <w:r>
              <w:rPr>
                <w:rFonts w:ascii="Times Roman" w:hAnsi="Times Roman" w:cs="Calibri"/>
                <w:color w:val="000000"/>
                <w:sz w:val="22"/>
                <w:szCs w:val="22"/>
              </w:rPr>
              <w:t>0.</w:t>
            </w:r>
            <w:r w:rsidR="00A012FF">
              <w:rPr>
                <w:rFonts w:ascii="Times Roman" w:hAnsi="Times Roman" w:cs="Calibri"/>
                <w:color w:val="000000"/>
                <w:sz w:val="22"/>
                <w:szCs w:val="22"/>
              </w:rPr>
              <w:t>4</w:t>
            </w:r>
            <w:r>
              <w:rPr>
                <w:rFonts w:ascii="Times Roman" w:hAnsi="Times Roman" w:cs="Calibri"/>
                <w:color w:val="000000"/>
                <w:sz w:val="22"/>
                <w:szCs w:val="22"/>
              </w:rPr>
              <w:t xml:space="preserve"> ± </w:t>
            </w:r>
            <w:r w:rsidR="00A012FF">
              <w:rPr>
                <w:rFonts w:ascii="Times Roman" w:hAnsi="Times Roman" w:cs="Calibri"/>
                <w:color w:val="000000"/>
                <w:sz w:val="22"/>
                <w:szCs w:val="22"/>
              </w:rPr>
              <w:t>1.4</w:t>
            </w:r>
          </w:p>
        </w:tc>
        <w:tc>
          <w:tcPr>
            <w:tcW w:w="1138" w:type="dxa"/>
            <w:vAlign w:val="center"/>
          </w:tcPr>
          <w:p w14:paraId="376EDD14" w14:textId="3CFAE82E" w:rsidR="00E200FE" w:rsidRPr="001E59D2" w:rsidRDefault="00E200FE" w:rsidP="00DE0A3F">
            <w:pPr>
              <w:jc w:val="center"/>
              <w:rPr>
                <w:rFonts w:ascii="Times" w:hAnsi="Times"/>
              </w:rPr>
            </w:pPr>
            <w:r>
              <w:rPr>
                <w:rFonts w:ascii="Times Roman" w:hAnsi="Times Roman" w:cs="Calibri"/>
                <w:color w:val="000000"/>
                <w:sz w:val="22"/>
                <w:szCs w:val="22"/>
              </w:rPr>
              <w:t>0.</w:t>
            </w:r>
            <w:r w:rsidR="008F4CCE">
              <w:rPr>
                <w:rFonts w:ascii="Times Roman" w:hAnsi="Times Roman" w:cs="Calibri"/>
                <w:color w:val="000000"/>
                <w:sz w:val="22"/>
                <w:szCs w:val="22"/>
              </w:rPr>
              <w:t xml:space="preserve">1 </w:t>
            </w:r>
            <w:proofErr w:type="gramStart"/>
            <w:r w:rsidR="008F4CCE">
              <w:rPr>
                <w:rFonts w:ascii="Times Roman" w:hAnsi="Times Roman" w:cs="Calibri"/>
                <w:color w:val="000000"/>
                <w:sz w:val="22"/>
                <w:szCs w:val="22"/>
              </w:rPr>
              <w:t>±  0</w:t>
            </w:r>
            <w:proofErr w:type="gramEnd"/>
            <w:r w:rsidR="008F4CCE">
              <w:rPr>
                <w:rFonts w:ascii="Times Roman" w:hAnsi="Times Roman" w:cs="Calibri"/>
                <w:color w:val="000000"/>
                <w:sz w:val="22"/>
                <w:szCs w:val="22"/>
              </w:rPr>
              <w:t>.1</w:t>
            </w:r>
          </w:p>
        </w:tc>
        <w:tc>
          <w:tcPr>
            <w:tcW w:w="1504" w:type="dxa"/>
            <w:vAlign w:val="center"/>
          </w:tcPr>
          <w:p w14:paraId="32F05FAA" w14:textId="19BE6645"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151.8 ± 103.9</w:t>
            </w:r>
          </w:p>
        </w:tc>
        <w:tc>
          <w:tcPr>
            <w:tcW w:w="1350" w:type="dxa"/>
            <w:vAlign w:val="center"/>
          </w:tcPr>
          <w:p w14:paraId="3A04A69D" w14:textId="295A5482"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64.7 ± 31.5</w:t>
            </w:r>
          </w:p>
        </w:tc>
        <w:tc>
          <w:tcPr>
            <w:tcW w:w="1125" w:type="dxa"/>
            <w:vAlign w:val="center"/>
          </w:tcPr>
          <w:p w14:paraId="33242C39" w14:textId="492560F0" w:rsidR="00E200FE" w:rsidRPr="001E59D2" w:rsidRDefault="00E200FE" w:rsidP="00A446ED">
            <w:pPr>
              <w:jc w:val="center"/>
              <w:rPr>
                <w:rFonts w:ascii="Times" w:hAnsi="Times"/>
              </w:rPr>
            </w:pPr>
            <w:r>
              <w:rPr>
                <w:rFonts w:ascii="Times Roman" w:hAnsi="Times Roman" w:cs="Calibri"/>
                <w:color w:val="000000"/>
                <w:sz w:val="22"/>
                <w:szCs w:val="22"/>
              </w:rPr>
              <w:t>Bench</w:t>
            </w:r>
          </w:p>
        </w:tc>
      </w:tr>
      <w:tr w:rsidR="00A446ED" w14:paraId="0DEB2E1D" w14:textId="77777777" w:rsidTr="0059317D">
        <w:trPr>
          <w:trHeight w:val="565"/>
          <w:jc w:val="center"/>
        </w:trPr>
        <w:tc>
          <w:tcPr>
            <w:tcW w:w="1165" w:type="dxa"/>
            <w:vAlign w:val="center"/>
          </w:tcPr>
          <w:p w14:paraId="7622A45E" w14:textId="0A92B620" w:rsidR="00E200FE" w:rsidRPr="001E59D2" w:rsidRDefault="00E200FE" w:rsidP="00E200FE">
            <w:pPr>
              <w:jc w:val="center"/>
              <w:rPr>
                <w:rFonts w:ascii="Times" w:hAnsi="Times"/>
              </w:rPr>
            </w:pPr>
            <w:r>
              <w:rPr>
                <w:rFonts w:ascii="Times Roman" w:hAnsi="Times Roman" w:cs="Calibri"/>
                <w:color w:val="000000"/>
                <w:sz w:val="22"/>
                <w:szCs w:val="22"/>
              </w:rPr>
              <w:t>Player 13</w:t>
            </w:r>
          </w:p>
        </w:tc>
        <w:tc>
          <w:tcPr>
            <w:tcW w:w="796" w:type="dxa"/>
            <w:vAlign w:val="center"/>
          </w:tcPr>
          <w:p w14:paraId="1015FFE2" w14:textId="53A406FD"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0</w:t>
            </w:r>
          </w:p>
        </w:tc>
        <w:tc>
          <w:tcPr>
            <w:tcW w:w="989" w:type="dxa"/>
            <w:vAlign w:val="center"/>
          </w:tcPr>
          <w:p w14:paraId="7E8E4EA3" w14:textId="6DA5138F"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72</w:t>
            </w:r>
          </w:p>
        </w:tc>
        <w:tc>
          <w:tcPr>
            <w:tcW w:w="1428" w:type="dxa"/>
            <w:vAlign w:val="center"/>
          </w:tcPr>
          <w:p w14:paraId="4A2B184C" w14:textId="48D68368" w:rsidR="00E200FE" w:rsidRDefault="00E200FE" w:rsidP="00DE0A3F">
            <w:pPr>
              <w:jc w:val="center"/>
              <w:rPr>
                <w:rFonts w:ascii="Times Roman" w:hAnsi="Times Roman" w:cs="Calibri"/>
                <w:color w:val="000000"/>
                <w:sz w:val="22"/>
                <w:szCs w:val="22"/>
              </w:rPr>
            </w:pPr>
            <w:r>
              <w:rPr>
                <w:rFonts w:ascii="Times Roman" w:hAnsi="Times Roman" w:cs="Calibri"/>
                <w:color w:val="000000"/>
                <w:sz w:val="22"/>
                <w:szCs w:val="22"/>
              </w:rPr>
              <w:t>0</w:t>
            </w:r>
            <w:r w:rsidR="008F4CCE">
              <w:rPr>
                <w:rFonts w:ascii="Times Roman" w:hAnsi="Times Roman" w:cs="Calibri"/>
                <w:color w:val="000000"/>
                <w:sz w:val="22"/>
                <w:szCs w:val="22"/>
              </w:rPr>
              <w:t xml:space="preserve"> ± 0</w:t>
            </w:r>
          </w:p>
        </w:tc>
        <w:tc>
          <w:tcPr>
            <w:tcW w:w="1138" w:type="dxa"/>
            <w:vAlign w:val="center"/>
          </w:tcPr>
          <w:p w14:paraId="2A08A1BC" w14:textId="7C19B347" w:rsidR="00E200FE" w:rsidRPr="001E59D2" w:rsidRDefault="00E200FE" w:rsidP="008F4CCE">
            <w:pPr>
              <w:jc w:val="center"/>
              <w:rPr>
                <w:rFonts w:ascii="Times" w:hAnsi="Times"/>
              </w:rPr>
            </w:pPr>
            <w:r>
              <w:rPr>
                <w:rFonts w:ascii="Times Roman" w:hAnsi="Times Roman" w:cs="Calibri"/>
                <w:color w:val="000000"/>
                <w:sz w:val="22"/>
                <w:szCs w:val="22"/>
              </w:rPr>
              <w:t>0</w:t>
            </w:r>
            <w:r w:rsidR="008F4CCE">
              <w:rPr>
                <w:rFonts w:ascii="Times Roman" w:hAnsi="Times Roman" w:cs="Calibri"/>
                <w:color w:val="000000"/>
                <w:sz w:val="22"/>
                <w:szCs w:val="22"/>
              </w:rPr>
              <w:t xml:space="preserve"> ± 0</w:t>
            </w:r>
          </w:p>
        </w:tc>
        <w:tc>
          <w:tcPr>
            <w:tcW w:w="1504" w:type="dxa"/>
            <w:vAlign w:val="center"/>
          </w:tcPr>
          <w:p w14:paraId="7D2B89AA" w14:textId="54C3B716"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370.7 ± 147.2</w:t>
            </w:r>
          </w:p>
        </w:tc>
        <w:tc>
          <w:tcPr>
            <w:tcW w:w="1350" w:type="dxa"/>
            <w:vAlign w:val="center"/>
          </w:tcPr>
          <w:p w14:paraId="34A5AFDE" w14:textId="3667FA79"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80.0 ± 29.2</w:t>
            </w:r>
          </w:p>
        </w:tc>
        <w:tc>
          <w:tcPr>
            <w:tcW w:w="1125" w:type="dxa"/>
            <w:vAlign w:val="center"/>
          </w:tcPr>
          <w:p w14:paraId="28317F3E" w14:textId="5F78B431" w:rsidR="00E200FE" w:rsidRPr="001E59D2" w:rsidRDefault="00E200FE" w:rsidP="00A446ED">
            <w:pPr>
              <w:jc w:val="center"/>
              <w:rPr>
                <w:rFonts w:ascii="Times" w:hAnsi="Times"/>
              </w:rPr>
            </w:pPr>
            <w:r>
              <w:rPr>
                <w:rFonts w:ascii="Times Roman" w:hAnsi="Times Roman" w:cs="Calibri"/>
                <w:color w:val="000000"/>
                <w:sz w:val="22"/>
                <w:szCs w:val="22"/>
              </w:rPr>
              <w:t>Bench</w:t>
            </w:r>
          </w:p>
        </w:tc>
      </w:tr>
      <w:tr w:rsidR="00A446ED" w14:paraId="5D2017F3" w14:textId="77777777" w:rsidTr="0059317D">
        <w:trPr>
          <w:trHeight w:val="565"/>
          <w:jc w:val="center"/>
        </w:trPr>
        <w:tc>
          <w:tcPr>
            <w:tcW w:w="1165" w:type="dxa"/>
            <w:vAlign w:val="center"/>
          </w:tcPr>
          <w:p w14:paraId="3F847946" w14:textId="74023B84" w:rsidR="00E200FE" w:rsidRPr="001E59D2" w:rsidRDefault="00E200FE" w:rsidP="00E200FE">
            <w:pPr>
              <w:jc w:val="center"/>
              <w:rPr>
                <w:rFonts w:ascii="Times" w:hAnsi="Times"/>
              </w:rPr>
            </w:pPr>
            <w:r>
              <w:rPr>
                <w:rFonts w:ascii="Times Roman" w:hAnsi="Times Roman" w:cs="Calibri"/>
                <w:color w:val="000000"/>
                <w:sz w:val="22"/>
                <w:szCs w:val="22"/>
              </w:rPr>
              <w:t>Player 14</w:t>
            </w:r>
          </w:p>
        </w:tc>
        <w:tc>
          <w:tcPr>
            <w:tcW w:w="796" w:type="dxa"/>
            <w:vAlign w:val="center"/>
          </w:tcPr>
          <w:p w14:paraId="066928EE" w14:textId="5E774680"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0</w:t>
            </w:r>
          </w:p>
        </w:tc>
        <w:tc>
          <w:tcPr>
            <w:tcW w:w="989" w:type="dxa"/>
            <w:vAlign w:val="center"/>
          </w:tcPr>
          <w:p w14:paraId="27203B94" w14:textId="5FEC2A1A"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55</w:t>
            </w:r>
          </w:p>
        </w:tc>
        <w:tc>
          <w:tcPr>
            <w:tcW w:w="1428" w:type="dxa"/>
            <w:vAlign w:val="center"/>
          </w:tcPr>
          <w:p w14:paraId="01F7FDE6" w14:textId="0CF00CFB"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0</w:t>
            </w:r>
            <w:r w:rsidR="008F4CCE">
              <w:rPr>
                <w:rFonts w:ascii="Times Roman" w:hAnsi="Times Roman" w:cs="Calibri"/>
                <w:color w:val="000000"/>
                <w:sz w:val="22"/>
                <w:szCs w:val="22"/>
              </w:rPr>
              <w:t xml:space="preserve"> ± 0</w:t>
            </w:r>
          </w:p>
        </w:tc>
        <w:tc>
          <w:tcPr>
            <w:tcW w:w="1138" w:type="dxa"/>
            <w:vAlign w:val="center"/>
          </w:tcPr>
          <w:p w14:paraId="582D3EA1" w14:textId="4510FAF9" w:rsidR="00E200FE" w:rsidRPr="001E59D2" w:rsidRDefault="00E200FE" w:rsidP="00ED7A04">
            <w:pPr>
              <w:jc w:val="center"/>
              <w:rPr>
                <w:rFonts w:ascii="Times" w:hAnsi="Times"/>
              </w:rPr>
            </w:pPr>
            <w:r>
              <w:rPr>
                <w:rFonts w:ascii="Times Roman" w:hAnsi="Times Roman" w:cs="Calibri"/>
                <w:color w:val="000000"/>
                <w:sz w:val="22"/>
                <w:szCs w:val="22"/>
              </w:rPr>
              <w:t>0</w:t>
            </w:r>
            <w:r w:rsidR="008F4CCE">
              <w:rPr>
                <w:rFonts w:ascii="Times Roman" w:hAnsi="Times Roman" w:cs="Calibri"/>
                <w:color w:val="000000"/>
                <w:sz w:val="22"/>
                <w:szCs w:val="22"/>
              </w:rPr>
              <w:t xml:space="preserve"> ± 0</w:t>
            </w:r>
          </w:p>
        </w:tc>
        <w:tc>
          <w:tcPr>
            <w:tcW w:w="1504" w:type="dxa"/>
            <w:vAlign w:val="center"/>
          </w:tcPr>
          <w:p w14:paraId="522FE132" w14:textId="146B0F5B" w:rsidR="00E200FE" w:rsidRDefault="008F4CCE" w:rsidP="00DE0A3F">
            <w:pPr>
              <w:jc w:val="center"/>
              <w:rPr>
                <w:rFonts w:ascii="Times Roman" w:hAnsi="Times Roman" w:cs="Calibri"/>
                <w:color w:val="000000"/>
                <w:sz w:val="22"/>
                <w:szCs w:val="22"/>
              </w:rPr>
            </w:pPr>
            <w:r>
              <w:rPr>
                <w:rFonts w:ascii="Times Roman" w:hAnsi="Times Roman" w:cs="Calibri"/>
                <w:color w:val="000000"/>
                <w:sz w:val="22"/>
                <w:szCs w:val="22"/>
              </w:rPr>
              <w:t>378.2 ± 174.5</w:t>
            </w:r>
          </w:p>
        </w:tc>
        <w:tc>
          <w:tcPr>
            <w:tcW w:w="1350" w:type="dxa"/>
            <w:vAlign w:val="center"/>
          </w:tcPr>
          <w:p w14:paraId="08F1E460" w14:textId="37B36592"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80.4 ± 32.5</w:t>
            </w:r>
          </w:p>
        </w:tc>
        <w:tc>
          <w:tcPr>
            <w:tcW w:w="1125" w:type="dxa"/>
            <w:vAlign w:val="center"/>
          </w:tcPr>
          <w:p w14:paraId="5AC89C46" w14:textId="535898FC" w:rsidR="00E200FE" w:rsidRPr="001E59D2" w:rsidRDefault="00E200FE" w:rsidP="00A446ED">
            <w:pPr>
              <w:jc w:val="center"/>
              <w:rPr>
                <w:rFonts w:ascii="Times" w:hAnsi="Times"/>
              </w:rPr>
            </w:pPr>
            <w:r>
              <w:rPr>
                <w:rFonts w:ascii="Times Roman" w:hAnsi="Times Roman" w:cs="Calibri"/>
                <w:color w:val="000000"/>
                <w:sz w:val="22"/>
                <w:szCs w:val="22"/>
              </w:rPr>
              <w:t>Bench</w:t>
            </w:r>
          </w:p>
        </w:tc>
      </w:tr>
      <w:tr w:rsidR="00A446ED" w14:paraId="7AF92BD7" w14:textId="77777777" w:rsidTr="0059317D">
        <w:trPr>
          <w:trHeight w:val="565"/>
          <w:jc w:val="center"/>
        </w:trPr>
        <w:tc>
          <w:tcPr>
            <w:tcW w:w="1165" w:type="dxa"/>
            <w:tcBorders>
              <w:bottom w:val="single" w:sz="4" w:space="0" w:color="auto"/>
            </w:tcBorders>
            <w:vAlign w:val="center"/>
          </w:tcPr>
          <w:p w14:paraId="314FEEE0" w14:textId="119C467E" w:rsidR="00E200FE" w:rsidRPr="001E59D2" w:rsidRDefault="00E200FE" w:rsidP="00E200FE">
            <w:pPr>
              <w:jc w:val="center"/>
              <w:rPr>
                <w:rFonts w:ascii="Times" w:hAnsi="Times"/>
              </w:rPr>
            </w:pPr>
            <w:r>
              <w:rPr>
                <w:rFonts w:ascii="Times Roman" w:hAnsi="Times Roman" w:cs="Calibri"/>
                <w:color w:val="000000"/>
                <w:sz w:val="22"/>
                <w:szCs w:val="22"/>
              </w:rPr>
              <w:t>Player 15</w:t>
            </w:r>
          </w:p>
        </w:tc>
        <w:tc>
          <w:tcPr>
            <w:tcW w:w="796" w:type="dxa"/>
            <w:tcBorders>
              <w:bottom w:val="single" w:sz="4" w:space="0" w:color="auto"/>
            </w:tcBorders>
            <w:vAlign w:val="center"/>
          </w:tcPr>
          <w:p w14:paraId="2C781C0F" w14:textId="579A10F8" w:rsidR="00E200FE" w:rsidRDefault="00E200FE" w:rsidP="00E200FE">
            <w:pPr>
              <w:jc w:val="center"/>
              <w:rPr>
                <w:rFonts w:ascii="Times Roman" w:hAnsi="Times Roman" w:cs="Calibri"/>
                <w:color w:val="000000"/>
                <w:sz w:val="22"/>
                <w:szCs w:val="22"/>
              </w:rPr>
            </w:pPr>
            <w:r>
              <w:rPr>
                <w:rFonts w:ascii="Times Roman" w:hAnsi="Times Roman" w:cs="Calibri"/>
                <w:color w:val="000000"/>
                <w:sz w:val="22"/>
                <w:szCs w:val="22"/>
              </w:rPr>
              <w:t>0</w:t>
            </w:r>
          </w:p>
        </w:tc>
        <w:tc>
          <w:tcPr>
            <w:tcW w:w="989" w:type="dxa"/>
            <w:tcBorders>
              <w:bottom w:val="single" w:sz="4" w:space="0" w:color="auto"/>
            </w:tcBorders>
            <w:vAlign w:val="center"/>
          </w:tcPr>
          <w:p w14:paraId="32AB0B25" w14:textId="181CF88C" w:rsidR="00E200FE" w:rsidRDefault="00ED7A04" w:rsidP="00ED7A04">
            <w:pPr>
              <w:jc w:val="center"/>
              <w:rPr>
                <w:rFonts w:ascii="Times Roman" w:hAnsi="Times Roman" w:cs="Calibri"/>
                <w:color w:val="000000"/>
                <w:sz w:val="22"/>
                <w:szCs w:val="22"/>
              </w:rPr>
            </w:pPr>
            <w:r>
              <w:rPr>
                <w:rFonts w:ascii="Times Roman" w:hAnsi="Times Roman" w:cs="Calibri"/>
                <w:color w:val="000000"/>
                <w:sz w:val="22"/>
                <w:szCs w:val="22"/>
              </w:rPr>
              <w:t>37</w:t>
            </w:r>
          </w:p>
        </w:tc>
        <w:tc>
          <w:tcPr>
            <w:tcW w:w="1428" w:type="dxa"/>
            <w:tcBorders>
              <w:bottom w:val="single" w:sz="4" w:space="0" w:color="auto"/>
            </w:tcBorders>
            <w:vAlign w:val="center"/>
          </w:tcPr>
          <w:p w14:paraId="6175B88B" w14:textId="1D58F6C1" w:rsidR="00E200FE" w:rsidRDefault="00E200FE" w:rsidP="00DE0A3F">
            <w:pPr>
              <w:jc w:val="center"/>
              <w:rPr>
                <w:rFonts w:ascii="Times Roman" w:hAnsi="Times Roman" w:cs="Calibri"/>
                <w:color w:val="000000"/>
                <w:sz w:val="22"/>
                <w:szCs w:val="22"/>
              </w:rPr>
            </w:pPr>
            <w:r>
              <w:rPr>
                <w:rFonts w:ascii="Times Roman" w:hAnsi="Times Roman" w:cs="Calibri"/>
                <w:color w:val="000000"/>
                <w:sz w:val="22"/>
                <w:szCs w:val="22"/>
              </w:rPr>
              <w:t>0</w:t>
            </w:r>
            <w:r w:rsidR="008F4CCE">
              <w:rPr>
                <w:rFonts w:ascii="Times Roman" w:hAnsi="Times Roman" w:cs="Calibri"/>
                <w:color w:val="000000"/>
                <w:sz w:val="22"/>
                <w:szCs w:val="22"/>
              </w:rPr>
              <w:t xml:space="preserve"> ± 0</w:t>
            </w:r>
          </w:p>
        </w:tc>
        <w:tc>
          <w:tcPr>
            <w:tcW w:w="1138" w:type="dxa"/>
            <w:tcBorders>
              <w:bottom w:val="single" w:sz="4" w:space="0" w:color="auto"/>
            </w:tcBorders>
            <w:vAlign w:val="center"/>
          </w:tcPr>
          <w:p w14:paraId="628BCA0F" w14:textId="0B194504" w:rsidR="00E200FE" w:rsidRPr="001E59D2" w:rsidRDefault="00E200FE" w:rsidP="008F4CCE">
            <w:pPr>
              <w:jc w:val="center"/>
              <w:rPr>
                <w:rFonts w:ascii="Times" w:hAnsi="Times"/>
              </w:rPr>
            </w:pPr>
            <w:r>
              <w:rPr>
                <w:rFonts w:ascii="Times Roman" w:hAnsi="Times Roman" w:cs="Calibri"/>
                <w:color w:val="000000"/>
                <w:sz w:val="22"/>
                <w:szCs w:val="22"/>
              </w:rPr>
              <w:t>0</w:t>
            </w:r>
            <w:r w:rsidR="008F4CCE">
              <w:rPr>
                <w:rFonts w:ascii="Times Roman" w:hAnsi="Times Roman" w:cs="Calibri"/>
                <w:color w:val="000000"/>
                <w:sz w:val="22"/>
                <w:szCs w:val="22"/>
              </w:rPr>
              <w:t xml:space="preserve"> ± 0</w:t>
            </w:r>
          </w:p>
        </w:tc>
        <w:tc>
          <w:tcPr>
            <w:tcW w:w="1504" w:type="dxa"/>
            <w:tcBorders>
              <w:bottom w:val="single" w:sz="4" w:space="0" w:color="auto"/>
            </w:tcBorders>
            <w:vAlign w:val="center"/>
          </w:tcPr>
          <w:p w14:paraId="39D04F86" w14:textId="2C039925"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 xml:space="preserve">418.1 ± 172.9 </w:t>
            </w:r>
          </w:p>
        </w:tc>
        <w:tc>
          <w:tcPr>
            <w:tcW w:w="1350" w:type="dxa"/>
            <w:tcBorders>
              <w:bottom w:val="single" w:sz="4" w:space="0" w:color="auto"/>
            </w:tcBorders>
            <w:vAlign w:val="center"/>
          </w:tcPr>
          <w:p w14:paraId="311EE8BD" w14:textId="4FCC9D7A" w:rsidR="00E200FE" w:rsidRDefault="008F4CCE" w:rsidP="008F4CCE">
            <w:pPr>
              <w:jc w:val="center"/>
              <w:rPr>
                <w:rFonts w:ascii="Times Roman" w:hAnsi="Times Roman" w:cs="Calibri"/>
                <w:color w:val="000000"/>
                <w:sz w:val="22"/>
                <w:szCs w:val="22"/>
              </w:rPr>
            </w:pPr>
            <w:r>
              <w:rPr>
                <w:rFonts w:ascii="Times Roman" w:hAnsi="Times Roman" w:cs="Calibri"/>
                <w:color w:val="000000"/>
                <w:sz w:val="22"/>
                <w:szCs w:val="22"/>
              </w:rPr>
              <w:t>74.1 ± 32.3</w:t>
            </w:r>
          </w:p>
        </w:tc>
        <w:tc>
          <w:tcPr>
            <w:tcW w:w="1125" w:type="dxa"/>
            <w:tcBorders>
              <w:bottom w:val="single" w:sz="4" w:space="0" w:color="auto"/>
            </w:tcBorders>
            <w:vAlign w:val="center"/>
          </w:tcPr>
          <w:p w14:paraId="27D3949E" w14:textId="42D2EEC6" w:rsidR="00E200FE" w:rsidRPr="001E59D2" w:rsidRDefault="00E200FE" w:rsidP="00A446ED">
            <w:pPr>
              <w:jc w:val="center"/>
              <w:rPr>
                <w:rFonts w:ascii="Times" w:hAnsi="Times"/>
              </w:rPr>
            </w:pPr>
            <w:r>
              <w:rPr>
                <w:rFonts w:ascii="Times Roman" w:hAnsi="Times Roman" w:cs="Calibri"/>
                <w:color w:val="000000"/>
                <w:sz w:val="22"/>
                <w:szCs w:val="22"/>
              </w:rPr>
              <w:t>Bench</w:t>
            </w:r>
          </w:p>
        </w:tc>
      </w:tr>
    </w:tbl>
    <w:p w14:paraId="07078C68" w14:textId="364F89B0" w:rsidR="001E59D2" w:rsidRPr="00A012FF" w:rsidRDefault="00A012FF" w:rsidP="00E661DE">
      <w:pPr>
        <w:spacing w:line="480" w:lineRule="auto"/>
        <w:rPr>
          <w:rFonts w:ascii="Times" w:eastAsiaTheme="minorEastAsia" w:hAnsi="Times"/>
        </w:rPr>
      </w:pPr>
      <w:r>
        <w:rPr>
          <w:rFonts w:ascii="Times" w:eastAsiaTheme="minorEastAsia" w:hAnsi="Times"/>
          <w:i/>
          <w:iCs/>
          <w:sz w:val="20"/>
          <w:szCs w:val="20"/>
        </w:rPr>
        <w:t xml:space="preserve">Note: </w:t>
      </w:r>
      <w:r w:rsidRPr="00F32051">
        <w:rPr>
          <w:rFonts w:ascii="Times" w:eastAsiaTheme="minorEastAsia" w:hAnsi="Times"/>
          <w:i/>
          <w:iCs/>
          <w:sz w:val="20"/>
          <w:szCs w:val="20"/>
        </w:rPr>
        <w:t>Italicized</w:t>
      </w:r>
      <w:r>
        <w:rPr>
          <w:rFonts w:ascii="Times" w:eastAsiaTheme="minorEastAsia" w:hAnsi="Times"/>
          <w:i/>
          <w:iCs/>
          <w:sz w:val="20"/>
          <w:szCs w:val="20"/>
        </w:rPr>
        <w:t xml:space="preserve"> indicates values generated from prediction equation.</w:t>
      </w:r>
    </w:p>
    <w:p w14:paraId="579F0C35" w14:textId="590509A5" w:rsidR="002A21F6" w:rsidRDefault="001E59D2" w:rsidP="0059317D">
      <w:pPr>
        <w:spacing w:line="480" w:lineRule="auto"/>
        <w:ind w:firstLine="720"/>
        <w:rPr>
          <w:rFonts w:ascii="Times" w:eastAsiaTheme="minorEastAsia" w:hAnsi="Times"/>
        </w:rPr>
      </w:pPr>
      <w:r>
        <w:rPr>
          <w:rFonts w:ascii="Times" w:eastAsiaTheme="minorEastAsia" w:hAnsi="Times"/>
        </w:rPr>
        <w:t xml:space="preserve">Two </w:t>
      </w:r>
      <w:r w:rsidR="00EF1D62">
        <w:rPr>
          <w:rFonts w:ascii="Times" w:eastAsiaTheme="minorEastAsia" w:hAnsi="Times"/>
        </w:rPr>
        <w:t>separate fixed-effects panel regression model</w:t>
      </w:r>
      <w:r w:rsidR="00035DD3">
        <w:rPr>
          <w:rFonts w:ascii="Times" w:eastAsiaTheme="minorEastAsia" w:hAnsi="Times"/>
        </w:rPr>
        <w:t>s were constructed,</w:t>
      </w:r>
      <w:r w:rsidR="00EF1D62">
        <w:rPr>
          <w:rFonts w:ascii="Times" w:eastAsiaTheme="minorEastAsia" w:hAnsi="Times"/>
        </w:rPr>
        <w:t xml:space="preserve"> one using data collected from scrimmages (scrimmage model</w:t>
      </w:r>
      <w:r w:rsidR="006C7C4D">
        <w:rPr>
          <w:rFonts w:ascii="Times" w:eastAsiaTheme="minorEastAsia" w:hAnsi="Times"/>
        </w:rPr>
        <w:t>, Table 2</w:t>
      </w:r>
      <w:r w:rsidR="00EF1D62">
        <w:rPr>
          <w:rFonts w:ascii="Times" w:eastAsiaTheme="minorEastAsia" w:hAnsi="Times"/>
        </w:rPr>
        <w:t>) and one using data collected from live practice situations (practice model</w:t>
      </w:r>
      <w:r w:rsidR="006C7C4D">
        <w:rPr>
          <w:rFonts w:ascii="Times" w:eastAsiaTheme="minorEastAsia" w:hAnsi="Times"/>
        </w:rPr>
        <w:t>, Table 3</w:t>
      </w:r>
      <w:r w:rsidR="00EF1D62">
        <w:rPr>
          <w:rFonts w:ascii="Times" w:eastAsiaTheme="minorEastAsia" w:hAnsi="Times"/>
        </w:rPr>
        <w:t>)</w:t>
      </w:r>
      <w:r w:rsidR="000839A1">
        <w:rPr>
          <w:rFonts w:ascii="Times" w:eastAsiaTheme="minorEastAsia" w:hAnsi="Times"/>
        </w:rPr>
        <w:t>.</w:t>
      </w:r>
      <w:r w:rsidR="00287499">
        <w:rPr>
          <w:rFonts w:ascii="Times" w:eastAsiaTheme="minorEastAsia" w:hAnsi="Times"/>
        </w:rPr>
        <w:t xml:space="preserve"> </w:t>
      </w:r>
      <w:r w:rsidR="00A446ED">
        <w:rPr>
          <w:rFonts w:ascii="Times" w:eastAsiaTheme="minorEastAsia" w:hAnsi="Times"/>
        </w:rPr>
        <w:t>Coefficient of determination</w:t>
      </w:r>
      <w:r w:rsidR="00EF1D62">
        <w:rPr>
          <w:rFonts w:ascii="Times" w:eastAsiaTheme="minorEastAsia" w:hAnsi="Times"/>
        </w:rPr>
        <w:t xml:space="preserve"> results indicated that the </w:t>
      </w:r>
      <w:r w:rsidR="00287499">
        <w:rPr>
          <w:rFonts w:ascii="Times" w:eastAsiaTheme="minorEastAsia" w:hAnsi="Times"/>
        </w:rPr>
        <w:t>scrimmage model</w:t>
      </w:r>
      <w:r w:rsidR="00EF1D62">
        <w:rPr>
          <w:rFonts w:ascii="Times" w:eastAsiaTheme="minorEastAsia" w:hAnsi="Times"/>
        </w:rPr>
        <w:t xml:space="preserve"> </w:t>
      </w:r>
      <w:r w:rsidR="00A446ED">
        <w:rPr>
          <w:rFonts w:ascii="Times" w:eastAsiaTheme="minorEastAsia" w:hAnsi="Times"/>
        </w:rPr>
        <w:t xml:space="preserve">had an </w:t>
      </w:r>
      <w:r w:rsidR="00EF1D62">
        <w:rPr>
          <w:rFonts w:ascii="Times" w:eastAsiaTheme="minorEastAsia" w:hAnsi="Times"/>
        </w:rPr>
        <w:t>R</w:t>
      </w:r>
      <w:r w:rsidR="00EF1D62">
        <w:rPr>
          <w:rFonts w:ascii="Times" w:eastAsiaTheme="minorEastAsia" w:hAnsi="Times"/>
          <w:vertAlign w:val="superscript"/>
        </w:rPr>
        <w:t>2</w:t>
      </w:r>
      <w:r w:rsidR="00EF1D62">
        <w:rPr>
          <w:rFonts w:ascii="Times" w:eastAsiaTheme="minorEastAsia" w:hAnsi="Times"/>
        </w:rPr>
        <w:t xml:space="preserve"> </w:t>
      </w:r>
      <w:r w:rsidR="00A446ED">
        <w:rPr>
          <w:rFonts w:ascii="Times" w:eastAsiaTheme="minorEastAsia" w:hAnsi="Times"/>
        </w:rPr>
        <w:t>of</w:t>
      </w:r>
      <w:r w:rsidR="00EF1D62">
        <w:rPr>
          <w:rFonts w:ascii="Times" w:eastAsiaTheme="minorEastAsia" w:hAnsi="Times"/>
        </w:rPr>
        <w:t xml:space="preserve"> </w:t>
      </w:r>
      <w:r w:rsidR="008B23C7" w:rsidRPr="008B23C7">
        <w:rPr>
          <w:rFonts w:ascii="Times Roman" w:hAnsi="Times Roman" w:cs="Calibri"/>
          <w:color w:val="000000"/>
        </w:rPr>
        <w:t>0.85387</w:t>
      </w:r>
      <w:r w:rsidR="00EF1D62">
        <w:rPr>
          <w:rFonts w:ascii="Times" w:eastAsiaTheme="minorEastAsia" w:hAnsi="Times"/>
        </w:rPr>
        <w:t xml:space="preserve">, </w:t>
      </w:r>
      <w:r w:rsidR="00A446ED">
        <w:rPr>
          <w:rFonts w:ascii="Times" w:eastAsiaTheme="minorEastAsia" w:hAnsi="Times"/>
        </w:rPr>
        <w:t xml:space="preserve">while the practice model had an </w:t>
      </w:r>
      <w:r w:rsidR="00EF1D62">
        <w:rPr>
          <w:rFonts w:ascii="Times" w:eastAsiaTheme="minorEastAsia" w:hAnsi="Times"/>
        </w:rPr>
        <w:t>R</w:t>
      </w:r>
      <w:r w:rsidR="00EF1D62">
        <w:rPr>
          <w:rFonts w:ascii="Times" w:eastAsiaTheme="minorEastAsia" w:hAnsi="Times"/>
          <w:vertAlign w:val="superscript"/>
        </w:rPr>
        <w:t>2</w:t>
      </w:r>
      <w:r w:rsidR="00A446ED">
        <w:rPr>
          <w:rFonts w:ascii="Times" w:eastAsiaTheme="minorEastAsia" w:hAnsi="Times"/>
        </w:rPr>
        <w:t xml:space="preserve"> </w:t>
      </w:r>
      <w:r w:rsidR="00A446ED" w:rsidRPr="008D1B3E">
        <w:rPr>
          <w:rFonts w:ascii="Times" w:eastAsiaTheme="minorEastAsia" w:hAnsi="Times"/>
        </w:rPr>
        <w:t xml:space="preserve">of </w:t>
      </w:r>
      <w:r w:rsidR="008D1B3E" w:rsidRPr="008D1B3E">
        <w:rPr>
          <w:rFonts w:ascii="Times" w:hAnsi="Times" w:cs="Calibri"/>
          <w:color w:val="000000" w:themeColor="text1"/>
        </w:rPr>
        <w:t>0.78221</w:t>
      </w:r>
      <w:r w:rsidR="00EF1D62" w:rsidRPr="008D1B3E">
        <w:rPr>
          <w:rFonts w:ascii="Times" w:eastAsiaTheme="minorEastAsia" w:hAnsi="Times"/>
        </w:rPr>
        <w:t>.</w:t>
      </w:r>
      <w:r w:rsidR="00287499">
        <w:rPr>
          <w:rFonts w:ascii="Times" w:eastAsiaTheme="minorEastAsia" w:hAnsi="Times"/>
        </w:rPr>
        <w:t xml:space="preserve"> </w:t>
      </w:r>
      <w:r w:rsidR="00966B90">
        <w:rPr>
          <w:rFonts w:ascii="Times" w:eastAsiaTheme="minorEastAsia" w:hAnsi="Times"/>
        </w:rPr>
        <w:t xml:space="preserve">However, insufficient data quantity made it challenging to comprehensively determine which model performed better and was better able to predict game PL values. Therefore, the scrimmage model was chosen as the model to predict PL for all game values due to the similarities in situational constraints between scrimmages and games. </w:t>
      </w:r>
    </w:p>
    <w:p w14:paraId="70DFF573" w14:textId="77777777" w:rsidR="00B13798" w:rsidRDefault="00B13798" w:rsidP="0059317D">
      <w:pPr>
        <w:spacing w:line="480" w:lineRule="auto"/>
        <w:ind w:firstLine="720"/>
        <w:rPr>
          <w:rFonts w:ascii="Times" w:eastAsiaTheme="minorEastAsia" w:hAnsi="Times"/>
        </w:rPr>
      </w:pPr>
    </w:p>
    <w:p w14:paraId="749EBFE1" w14:textId="283A3F7E" w:rsidR="002A21F6" w:rsidRDefault="002A21F6" w:rsidP="009E4936">
      <w:pPr>
        <w:pStyle w:val="Caption"/>
        <w:keepNext/>
        <w:jc w:val="center"/>
        <w:rPr>
          <w:rFonts w:ascii="Times" w:hAnsi="Times"/>
          <w:b/>
          <w:bCs/>
          <w:color w:val="000000" w:themeColor="text1"/>
          <w:sz w:val="24"/>
          <w:szCs w:val="24"/>
        </w:rPr>
      </w:pPr>
      <w:r w:rsidRPr="0059317D">
        <w:rPr>
          <w:rFonts w:ascii="Times" w:hAnsi="Times"/>
          <w:b/>
          <w:bCs/>
          <w:color w:val="000000" w:themeColor="text1"/>
          <w:sz w:val="24"/>
          <w:szCs w:val="24"/>
        </w:rPr>
        <w:t xml:space="preserve">Figure </w:t>
      </w:r>
      <w:r w:rsidRPr="0059317D">
        <w:rPr>
          <w:rFonts w:ascii="Times" w:hAnsi="Times"/>
          <w:b/>
          <w:bCs/>
          <w:color w:val="000000" w:themeColor="text1"/>
          <w:sz w:val="24"/>
          <w:szCs w:val="24"/>
        </w:rPr>
        <w:fldChar w:fldCharType="begin"/>
      </w:r>
      <w:r w:rsidRPr="0059317D">
        <w:rPr>
          <w:rFonts w:ascii="Times" w:hAnsi="Times"/>
          <w:b/>
          <w:bCs/>
          <w:color w:val="000000" w:themeColor="text1"/>
          <w:sz w:val="24"/>
          <w:szCs w:val="24"/>
        </w:rPr>
        <w:instrText xml:space="preserve"> SEQ Figure \* ARABIC </w:instrText>
      </w:r>
      <w:r w:rsidRPr="0059317D">
        <w:rPr>
          <w:rFonts w:ascii="Times" w:hAnsi="Times"/>
          <w:b/>
          <w:bCs/>
          <w:color w:val="000000" w:themeColor="text1"/>
          <w:sz w:val="24"/>
          <w:szCs w:val="24"/>
        </w:rPr>
        <w:fldChar w:fldCharType="separate"/>
      </w:r>
      <w:r w:rsidR="006D2D0B">
        <w:rPr>
          <w:rFonts w:ascii="Times" w:hAnsi="Times"/>
          <w:b/>
          <w:bCs/>
          <w:noProof/>
          <w:color w:val="000000" w:themeColor="text1"/>
          <w:sz w:val="24"/>
          <w:szCs w:val="24"/>
        </w:rPr>
        <w:t>1</w:t>
      </w:r>
      <w:r w:rsidRPr="0059317D">
        <w:rPr>
          <w:rFonts w:ascii="Times" w:hAnsi="Times"/>
          <w:b/>
          <w:bCs/>
          <w:color w:val="000000" w:themeColor="text1"/>
          <w:sz w:val="24"/>
          <w:szCs w:val="24"/>
        </w:rPr>
        <w:fldChar w:fldCharType="end"/>
      </w:r>
      <w:r w:rsidRPr="0059317D">
        <w:rPr>
          <w:rFonts w:ascii="Times" w:hAnsi="Times"/>
          <w:b/>
          <w:bCs/>
          <w:color w:val="000000" w:themeColor="text1"/>
          <w:sz w:val="24"/>
          <w:szCs w:val="24"/>
        </w:rPr>
        <w:t xml:space="preserve">. </w:t>
      </w:r>
      <w:proofErr w:type="spellStart"/>
      <w:r w:rsidR="00E15A81">
        <w:rPr>
          <w:rFonts w:ascii="Times" w:hAnsi="Times"/>
          <w:b/>
          <w:bCs/>
          <w:color w:val="000000" w:themeColor="text1"/>
          <w:sz w:val="24"/>
          <w:szCs w:val="24"/>
        </w:rPr>
        <w:t>PlayerLoad</w:t>
      </w:r>
      <w:proofErr w:type="spellEnd"/>
      <w:r w:rsidR="00E15A81">
        <w:rPr>
          <w:rFonts w:ascii="Times" w:hAnsi="Times"/>
          <w:b/>
          <w:bCs/>
          <w:color w:val="000000" w:themeColor="text1"/>
          <w:sz w:val="24"/>
          <w:szCs w:val="24"/>
        </w:rPr>
        <w:t xml:space="preserve"> Collected from Practices</w:t>
      </w:r>
    </w:p>
    <w:p w14:paraId="4606655C" w14:textId="7E6B595A" w:rsidR="00E15A81" w:rsidRDefault="00E15A81" w:rsidP="00E15A81"/>
    <w:p w14:paraId="774FD737" w14:textId="7AF9CA62" w:rsidR="00E15A81" w:rsidRDefault="00E15A81" w:rsidP="00E15A81">
      <w:pPr>
        <w:jc w:val="center"/>
      </w:pPr>
      <w:r>
        <w:rPr>
          <w:noProof/>
        </w:rPr>
        <w:lastRenderedPageBreak/>
        <w:drawing>
          <wp:inline distT="0" distB="0" distL="0" distR="0" wp14:anchorId="1603F725" wp14:editId="771BA79B">
            <wp:extent cx="5943600" cy="4836160"/>
            <wp:effectExtent l="0" t="0" r="0" b="2540"/>
            <wp:docPr id="4" name="Picture 4" descr="A graph showing 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showing a graph of a graph&#10;&#10;Description automatically generated"/>
                    <pic:cNvPicPr/>
                  </pic:nvPicPr>
                  <pic:blipFill rotWithShape="1">
                    <a:blip r:embed="rId11">
                      <a:extLst>
                        <a:ext uri="{28A0092B-C50C-407E-A947-70E740481C1C}">
                          <a14:useLocalDpi xmlns:a14="http://schemas.microsoft.com/office/drawing/2010/main" val="0"/>
                        </a:ext>
                      </a:extLst>
                    </a:blip>
                    <a:srcRect t="4273"/>
                    <a:stretch/>
                  </pic:blipFill>
                  <pic:spPr bwMode="auto">
                    <a:xfrm>
                      <a:off x="0" y="0"/>
                      <a:ext cx="5943600" cy="4836160"/>
                    </a:xfrm>
                    <a:prstGeom prst="rect">
                      <a:avLst/>
                    </a:prstGeom>
                    <a:ln>
                      <a:noFill/>
                    </a:ln>
                    <a:extLst>
                      <a:ext uri="{53640926-AAD7-44D8-BBD7-CCE9431645EC}">
                        <a14:shadowObscured xmlns:a14="http://schemas.microsoft.com/office/drawing/2010/main"/>
                      </a:ext>
                    </a:extLst>
                  </pic:spPr>
                </pic:pic>
              </a:graphicData>
            </a:graphic>
          </wp:inline>
        </w:drawing>
      </w:r>
    </w:p>
    <w:p w14:paraId="6BA740B6" w14:textId="0A6A680D" w:rsidR="00E15A81" w:rsidRDefault="00E15A81" w:rsidP="00214302"/>
    <w:p w14:paraId="0A9FC32E" w14:textId="2E0F64D9" w:rsidR="00E15A81" w:rsidRDefault="00E15A81" w:rsidP="00214302"/>
    <w:p w14:paraId="1F9CA7F5" w14:textId="57E434A6" w:rsidR="00E15A81" w:rsidRDefault="00E15A81" w:rsidP="00E15A81">
      <w:pPr>
        <w:jc w:val="center"/>
      </w:pPr>
    </w:p>
    <w:p w14:paraId="12CD135B" w14:textId="0CEC112B" w:rsidR="00E15A81" w:rsidRDefault="00E15A81" w:rsidP="00E15A81">
      <w:pPr>
        <w:pStyle w:val="Caption"/>
        <w:keepNext/>
        <w:jc w:val="center"/>
        <w:rPr>
          <w:rFonts w:ascii="Times" w:hAnsi="Times"/>
          <w:b/>
          <w:bCs/>
          <w:color w:val="000000" w:themeColor="text1"/>
          <w:sz w:val="24"/>
          <w:szCs w:val="24"/>
        </w:rPr>
      </w:pPr>
      <w:r w:rsidRPr="0059317D">
        <w:rPr>
          <w:rFonts w:ascii="Times" w:hAnsi="Times"/>
          <w:b/>
          <w:bCs/>
          <w:color w:val="000000" w:themeColor="text1"/>
          <w:sz w:val="24"/>
          <w:szCs w:val="24"/>
        </w:rPr>
        <w:t>Figure</w:t>
      </w:r>
      <w:r>
        <w:rPr>
          <w:rFonts w:ascii="Times" w:hAnsi="Times"/>
          <w:b/>
          <w:bCs/>
          <w:color w:val="000000" w:themeColor="text1"/>
          <w:sz w:val="24"/>
          <w:szCs w:val="24"/>
        </w:rPr>
        <w:t xml:space="preserve"> 2</w:t>
      </w:r>
      <w:r w:rsidRPr="0059317D">
        <w:rPr>
          <w:rFonts w:ascii="Times" w:hAnsi="Times"/>
          <w:b/>
          <w:bCs/>
          <w:color w:val="000000" w:themeColor="text1"/>
          <w:sz w:val="24"/>
          <w:szCs w:val="24"/>
        </w:rPr>
        <w:t xml:space="preserve">. </w:t>
      </w:r>
      <w:proofErr w:type="spellStart"/>
      <w:r>
        <w:rPr>
          <w:rFonts w:ascii="Times" w:hAnsi="Times"/>
          <w:b/>
          <w:bCs/>
          <w:color w:val="000000" w:themeColor="text1"/>
          <w:sz w:val="24"/>
          <w:szCs w:val="24"/>
        </w:rPr>
        <w:t>PlayerLoad</w:t>
      </w:r>
      <w:proofErr w:type="spellEnd"/>
      <w:r>
        <w:rPr>
          <w:rFonts w:ascii="Times" w:hAnsi="Times"/>
          <w:b/>
          <w:bCs/>
          <w:color w:val="000000" w:themeColor="text1"/>
          <w:sz w:val="24"/>
          <w:szCs w:val="24"/>
        </w:rPr>
        <w:t xml:space="preserve"> Predicted from Games</w:t>
      </w:r>
    </w:p>
    <w:p w14:paraId="575B5492" w14:textId="65C8367C" w:rsidR="00B13798" w:rsidRDefault="00B13798" w:rsidP="00B13798"/>
    <w:p w14:paraId="4CDF1DE5" w14:textId="32462749" w:rsidR="00B13798" w:rsidRPr="00B13798" w:rsidRDefault="00B13798" w:rsidP="00B13798">
      <w:pPr>
        <w:jc w:val="center"/>
      </w:pPr>
      <w:r>
        <w:rPr>
          <w:noProof/>
        </w:rPr>
        <w:lastRenderedPageBreak/>
        <w:drawing>
          <wp:inline distT="0" distB="0" distL="0" distR="0" wp14:anchorId="485DF210" wp14:editId="792C342D">
            <wp:extent cx="5943600" cy="4848860"/>
            <wp:effectExtent l="0" t="0" r="0" b="2540"/>
            <wp:docPr id="7" name="Picture 7"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graph&#10;&#10;Description automatically generated"/>
                    <pic:cNvPicPr/>
                  </pic:nvPicPr>
                  <pic:blipFill rotWithShape="1">
                    <a:blip r:embed="rId12">
                      <a:extLst>
                        <a:ext uri="{28A0092B-C50C-407E-A947-70E740481C1C}">
                          <a14:useLocalDpi xmlns:a14="http://schemas.microsoft.com/office/drawing/2010/main" val="0"/>
                        </a:ext>
                      </a:extLst>
                    </a:blip>
                    <a:srcRect t="4022"/>
                    <a:stretch/>
                  </pic:blipFill>
                  <pic:spPr bwMode="auto">
                    <a:xfrm>
                      <a:off x="0" y="0"/>
                      <a:ext cx="5943600" cy="4848860"/>
                    </a:xfrm>
                    <a:prstGeom prst="rect">
                      <a:avLst/>
                    </a:prstGeom>
                    <a:ln>
                      <a:noFill/>
                    </a:ln>
                    <a:extLst>
                      <a:ext uri="{53640926-AAD7-44D8-BBD7-CCE9431645EC}">
                        <a14:shadowObscured xmlns:a14="http://schemas.microsoft.com/office/drawing/2010/main"/>
                      </a:ext>
                    </a:extLst>
                  </pic:spPr>
                </pic:pic>
              </a:graphicData>
            </a:graphic>
          </wp:inline>
        </w:drawing>
      </w:r>
    </w:p>
    <w:p w14:paraId="68C4AB8E" w14:textId="77777777" w:rsidR="00E15A81" w:rsidRPr="00CE1AD6" w:rsidRDefault="00E15A81" w:rsidP="00E15A81">
      <w:pPr>
        <w:jc w:val="center"/>
      </w:pPr>
    </w:p>
    <w:p w14:paraId="0860FA57" w14:textId="2CF18BB3" w:rsidR="006C7C4D" w:rsidRDefault="006C7C4D" w:rsidP="00A874C5">
      <w:pPr>
        <w:spacing w:line="480" w:lineRule="auto"/>
        <w:rPr>
          <w:rFonts w:ascii="Times" w:eastAsiaTheme="minorEastAsia" w:hAnsi="Times"/>
        </w:rPr>
      </w:pPr>
    </w:p>
    <w:p w14:paraId="71FBA75B" w14:textId="77777777" w:rsidR="006813C2" w:rsidRPr="006813C2" w:rsidRDefault="006813C2" w:rsidP="006813C2"/>
    <w:p w14:paraId="3A8EDF55" w14:textId="77E99D6A" w:rsidR="009E4936" w:rsidRDefault="00A012FF" w:rsidP="00F32051">
      <w:pPr>
        <w:spacing w:line="480" w:lineRule="auto"/>
        <w:rPr>
          <w:rFonts w:ascii="Times" w:eastAsiaTheme="minorEastAsia" w:hAnsi="Times"/>
        </w:rPr>
      </w:pPr>
      <w:r>
        <w:rPr>
          <w:rFonts w:ascii="Times" w:eastAsiaTheme="minorEastAsia" w:hAnsi="Times"/>
        </w:rPr>
        <w:tab/>
      </w:r>
      <w:r w:rsidR="00F568B4">
        <w:rPr>
          <w:rFonts w:ascii="Times" w:eastAsiaTheme="minorEastAsia" w:hAnsi="Times"/>
        </w:rPr>
        <w:t xml:space="preserve">Furthermore, as PL values got larger (due to increased time on the court, more external training load, or a combination of both), there was a concomitant increase in the disparity between the estimates produced by the models (Figure 2). </w:t>
      </w:r>
      <w:r w:rsidR="009E4936">
        <w:rPr>
          <w:rFonts w:ascii="Times" w:eastAsiaTheme="minorEastAsia" w:hAnsi="Times"/>
        </w:rPr>
        <w:t xml:space="preserve"> </w:t>
      </w:r>
    </w:p>
    <w:p w14:paraId="652D8130" w14:textId="77777777" w:rsidR="00B83F69" w:rsidRPr="00B83F69" w:rsidRDefault="00B83F69" w:rsidP="009E4936">
      <w:pPr>
        <w:spacing w:line="480" w:lineRule="auto"/>
        <w:rPr>
          <w:rFonts w:ascii="Times" w:eastAsiaTheme="minorEastAsia" w:hAnsi="Times"/>
        </w:rPr>
      </w:pPr>
    </w:p>
    <w:p w14:paraId="6F5EB204" w14:textId="3374B3B5" w:rsidR="00B83F69" w:rsidRPr="00B83F69" w:rsidRDefault="00B83F69" w:rsidP="00B83F69">
      <w:pPr>
        <w:pStyle w:val="Caption"/>
        <w:keepNext/>
        <w:jc w:val="center"/>
        <w:rPr>
          <w:rFonts w:ascii="Times" w:hAnsi="Times"/>
          <w:b/>
          <w:bCs/>
          <w:color w:val="000000" w:themeColor="text1"/>
          <w:sz w:val="24"/>
          <w:szCs w:val="24"/>
        </w:rPr>
      </w:pPr>
      <w:r w:rsidRPr="00B83F69">
        <w:rPr>
          <w:rFonts w:ascii="Times" w:hAnsi="Times"/>
          <w:b/>
          <w:bCs/>
          <w:color w:val="000000" w:themeColor="text1"/>
          <w:sz w:val="24"/>
          <w:szCs w:val="24"/>
        </w:rPr>
        <w:lastRenderedPageBreak/>
        <w:t xml:space="preserve">Figure </w:t>
      </w:r>
      <w:r w:rsidRPr="00B83F69">
        <w:rPr>
          <w:rFonts w:ascii="Times" w:hAnsi="Times"/>
          <w:b/>
          <w:bCs/>
          <w:color w:val="000000" w:themeColor="text1"/>
          <w:sz w:val="24"/>
          <w:szCs w:val="24"/>
        </w:rPr>
        <w:fldChar w:fldCharType="begin"/>
      </w:r>
      <w:r w:rsidRPr="00B83F69">
        <w:rPr>
          <w:rFonts w:ascii="Times" w:hAnsi="Times"/>
          <w:b/>
          <w:bCs/>
          <w:color w:val="000000" w:themeColor="text1"/>
          <w:sz w:val="24"/>
          <w:szCs w:val="24"/>
        </w:rPr>
        <w:instrText xml:space="preserve"> SEQ Figure \* ARABIC </w:instrText>
      </w:r>
      <w:r w:rsidRPr="00B83F69">
        <w:rPr>
          <w:rFonts w:ascii="Times" w:hAnsi="Times"/>
          <w:b/>
          <w:bCs/>
          <w:color w:val="000000" w:themeColor="text1"/>
          <w:sz w:val="24"/>
          <w:szCs w:val="24"/>
        </w:rPr>
        <w:fldChar w:fldCharType="separate"/>
      </w:r>
      <w:r w:rsidR="006D2D0B">
        <w:rPr>
          <w:rFonts w:ascii="Times" w:hAnsi="Times"/>
          <w:b/>
          <w:bCs/>
          <w:noProof/>
          <w:color w:val="000000" w:themeColor="text1"/>
          <w:sz w:val="24"/>
          <w:szCs w:val="24"/>
        </w:rPr>
        <w:t>2</w:t>
      </w:r>
      <w:r w:rsidRPr="00B83F69">
        <w:rPr>
          <w:rFonts w:ascii="Times" w:hAnsi="Times"/>
          <w:b/>
          <w:bCs/>
          <w:color w:val="000000" w:themeColor="text1"/>
          <w:sz w:val="24"/>
          <w:szCs w:val="24"/>
        </w:rPr>
        <w:fldChar w:fldCharType="end"/>
      </w:r>
      <w:r w:rsidRPr="00B83F69">
        <w:rPr>
          <w:rFonts w:ascii="Times" w:hAnsi="Times"/>
          <w:b/>
          <w:bCs/>
          <w:color w:val="000000" w:themeColor="text1"/>
          <w:sz w:val="24"/>
          <w:szCs w:val="24"/>
        </w:rPr>
        <w:t>. Bland-Altman Plot Comparing Differences Between Predicted Values</w:t>
      </w:r>
    </w:p>
    <w:p w14:paraId="64EAE6A7" w14:textId="5CBBF6C8" w:rsidR="009E4936" w:rsidRDefault="009E4936" w:rsidP="009E4936">
      <w:pPr>
        <w:spacing w:line="480" w:lineRule="auto"/>
        <w:jc w:val="center"/>
        <w:rPr>
          <w:rFonts w:ascii="Times" w:eastAsiaTheme="minorEastAsia" w:hAnsi="Times"/>
        </w:rPr>
      </w:pPr>
      <w:r>
        <w:rPr>
          <w:rFonts w:ascii="Times" w:eastAsiaTheme="minorEastAsia" w:hAnsi="Times"/>
          <w:noProof/>
        </w:rPr>
        <w:drawing>
          <wp:inline distT="0" distB="0" distL="0" distR="0" wp14:anchorId="31F74EC4" wp14:editId="43F19AC9">
            <wp:extent cx="5867789" cy="491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a:extLst>
                        <a:ext uri="{28A0092B-C50C-407E-A947-70E740481C1C}">
                          <a14:useLocalDpi xmlns:a14="http://schemas.microsoft.com/office/drawing/2010/main" val="0"/>
                        </a:ext>
                      </a:extLst>
                    </a:blip>
                    <a:srcRect t="3380" b="-1461"/>
                    <a:stretch/>
                  </pic:blipFill>
                  <pic:spPr bwMode="auto">
                    <a:xfrm>
                      <a:off x="0" y="0"/>
                      <a:ext cx="5868567" cy="4915552"/>
                    </a:xfrm>
                    <a:prstGeom prst="rect">
                      <a:avLst/>
                    </a:prstGeom>
                    <a:ln>
                      <a:noFill/>
                    </a:ln>
                    <a:extLst>
                      <a:ext uri="{53640926-AAD7-44D8-BBD7-CCE9431645EC}">
                        <a14:shadowObscured xmlns:a14="http://schemas.microsoft.com/office/drawing/2010/main"/>
                      </a:ext>
                    </a:extLst>
                  </pic:spPr>
                </pic:pic>
              </a:graphicData>
            </a:graphic>
          </wp:inline>
        </w:drawing>
      </w:r>
    </w:p>
    <w:p w14:paraId="5BC3875A" w14:textId="772C65A7" w:rsidR="009E4936" w:rsidRDefault="009E4936" w:rsidP="009E4936">
      <w:pPr>
        <w:spacing w:line="480" w:lineRule="auto"/>
        <w:rPr>
          <w:rFonts w:ascii="Times" w:eastAsiaTheme="minorEastAsia" w:hAnsi="Times"/>
        </w:rPr>
      </w:pPr>
    </w:p>
    <w:p w14:paraId="6787E898" w14:textId="2C649DC2" w:rsidR="00B83F69" w:rsidRDefault="00B83F69" w:rsidP="00B83F69">
      <w:pPr>
        <w:spacing w:line="480" w:lineRule="auto"/>
        <w:rPr>
          <w:rFonts w:ascii="Times" w:eastAsiaTheme="minorEastAsia" w:hAnsi="Times"/>
        </w:rPr>
      </w:pPr>
      <w:r>
        <w:rPr>
          <w:rFonts w:ascii="Times" w:eastAsiaTheme="minorEastAsia" w:hAnsi="Times"/>
        </w:rPr>
        <w:t xml:space="preserve">When comparing models, </w:t>
      </w:r>
      <w:r w:rsidR="000839A1">
        <w:rPr>
          <w:rFonts w:ascii="Times" w:eastAsiaTheme="minorEastAsia" w:hAnsi="Times"/>
        </w:rPr>
        <w:t>Starters</w:t>
      </w:r>
      <w:r>
        <w:rPr>
          <w:rFonts w:ascii="Times" w:eastAsiaTheme="minorEastAsia" w:hAnsi="Times"/>
        </w:rPr>
        <w:t xml:space="preserve"> had an average predicted PL of 284 ± 43.9</w:t>
      </w:r>
      <w:r w:rsidR="008004BF">
        <w:rPr>
          <w:rFonts w:ascii="Times" w:eastAsiaTheme="minorEastAsia" w:hAnsi="Times"/>
        </w:rPr>
        <w:t xml:space="preserve"> AU</w:t>
      </w:r>
      <w:r>
        <w:rPr>
          <w:rFonts w:ascii="Times" w:eastAsiaTheme="minorEastAsia" w:hAnsi="Times"/>
        </w:rPr>
        <w:t xml:space="preserve"> in the scrimmage model and 238 ± 37.9</w:t>
      </w:r>
      <w:r w:rsidR="008004BF">
        <w:rPr>
          <w:rFonts w:ascii="Times" w:eastAsiaTheme="minorEastAsia" w:hAnsi="Times"/>
        </w:rPr>
        <w:t xml:space="preserve"> AU</w:t>
      </w:r>
      <w:r>
        <w:rPr>
          <w:rFonts w:ascii="Times" w:eastAsiaTheme="minorEastAsia" w:hAnsi="Times"/>
        </w:rPr>
        <w:t xml:space="preserve"> in the practice model. </w:t>
      </w:r>
      <w:r w:rsidR="000839A1">
        <w:rPr>
          <w:rFonts w:ascii="Times" w:eastAsiaTheme="minorEastAsia" w:hAnsi="Times"/>
        </w:rPr>
        <w:t>Rotation</w:t>
      </w:r>
      <w:r>
        <w:rPr>
          <w:rFonts w:ascii="Times" w:eastAsiaTheme="minorEastAsia" w:hAnsi="Times"/>
        </w:rPr>
        <w:t xml:space="preserve"> averaged 116 ± 74.6</w:t>
      </w:r>
      <w:r w:rsidR="008004BF">
        <w:rPr>
          <w:rFonts w:ascii="Times" w:eastAsiaTheme="minorEastAsia" w:hAnsi="Times"/>
        </w:rPr>
        <w:t xml:space="preserve"> AU</w:t>
      </w:r>
      <w:r>
        <w:rPr>
          <w:rFonts w:ascii="Times" w:eastAsiaTheme="minorEastAsia" w:hAnsi="Times"/>
        </w:rPr>
        <w:t xml:space="preserve"> in the scrimmage model and 97.1 ± 64</w:t>
      </w:r>
      <w:r w:rsidR="008004BF">
        <w:rPr>
          <w:rFonts w:ascii="Times" w:eastAsiaTheme="minorEastAsia" w:hAnsi="Times"/>
        </w:rPr>
        <w:t xml:space="preserve"> AU</w:t>
      </w:r>
      <w:r>
        <w:rPr>
          <w:rFonts w:ascii="Times" w:eastAsiaTheme="minorEastAsia" w:hAnsi="Times"/>
        </w:rPr>
        <w:t xml:space="preserve"> in the practice model, and </w:t>
      </w:r>
      <w:r w:rsidR="000839A1">
        <w:rPr>
          <w:rFonts w:ascii="Times" w:eastAsiaTheme="minorEastAsia" w:hAnsi="Times"/>
        </w:rPr>
        <w:t>Bench</w:t>
      </w:r>
      <w:r>
        <w:rPr>
          <w:rFonts w:ascii="Times" w:eastAsiaTheme="minorEastAsia" w:hAnsi="Times"/>
        </w:rPr>
        <w:t xml:space="preserve"> players averaged 76.2 ± 71.8</w:t>
      </w:r>
      <w:r w:rsidR="008004BF">
        <w:rPr>
          <w:rFonts w:ascii="Times" w:eastAsiaTheme="minorEastAsia" w:hAnsi="Times"/>
        </w:rPr>
        <w:t xml:space="preserve"> AU</w:t>
      </w:r>
      <w:r>
        <w:rPr>
          <w:rFonts w:ascii="Times" w:eastAsiaTheme="minorEastAsia" w:hAnsi="Times"/>
        </w:rPr>
        <w:t xml:space="preserve"> in the scrimmage model and 64.4 ± 61.3 </w:t>
      </w:r>
      <w:r w:rsidR="008004BF">
        <w:rPr>
          <w:rFonts w:ascii="Times" w:eastAsiaTheme="minorEastAsia" w:hAnsi="Times"/>
        </w:rPr>
        <w:t xml:space="preserve">AU </w:t>
      </w:r>
      <w:r>
        <w:rPr>
          <w:rFonts w:ascii="Times" w:eastAsiaTheme="minorEastAsia" w:hAnsi="Times"/>
        </w:rPr>
        <w:t xml:space="preserve">in the practice model (Figure 3). </w:t>
      </w:r>
    </w:p>
    <w:p w14:paraId="4069010B" w14:textId="77777777" w:rsidR="000B226D" w:rsidRDefault="000B226D" w:rsidP="00B83F69">
      <w:pPr>
        <w:spacing w:line="480" w:lineRule="auto"/>
        <w:rPr>
          <w:rFonts w:ascii="Times" w:eastAsiaTheme="minorEastAsia" w:hAnsi="Times"/>
        </w:rPr>
      </w:pPr>
    </w:p>
    <w:p w14:paraId="07169DFA" w14:textId="705B30D1" w:rsidR="00B83F69" w:rsidRPr="00B83F69" w:rsidRDefault="00B83F69" w:rsidP="00B83F69">
      <w:pPr>
        <w:pStyle w:val="Caption"/>
        <w:keepNext/>
        <w:jc w:val="center"/>
        <w:rPr>
          <w:rFonts w:ascii="Times" w:hAnsi="Times"/>
          <w:b/>
          <w:bCs/>
          <w:color w:val="000000" w:themeColor="text1"/>
          <w:sz w:val="24"/>
          <w:szCs w:val="24"/>
        </w:rPr>
      </w:pPr>
      <w:r w:rsidRPr="00B83F69">
        <w:rPr>
          <w:rFonts w:ascii="Times" w:hAnsi="Times"/>
          <w:b/>
          <w:bCs/>
          <w:color w:val="000000" w:themeColor="text1"/>
          <w:sz w:val="24"/>
          <w:szCs w:val="24"/>
        </w:rPr>
        <w:lastRenderedPageBreak/>
        <w:t xml:space="preserve">Figure </w:t>
      </w:r>
      <w:r w:rsidRPr="00B83F69">
        <w:rPr>
          <w:rFonts w:ascii="Times" w:hAnsi="Times"/>
          <w:b/>
          <w:bCs/>
          <w:color w:val="000000" w:themeColor="text1"/>
          <w:sz w:val="24"/>
          <w:szCs w:val="24"/>
        </w:rPr>
        <w:fldChar w:fldCharType="begin"/>
      </w:r>
      <w:r w:rsidRPr="00B83F69">
        <w:rPr>
          <w:rFonts w:ascii="Times" w:hAnsi="Times"/>
          <w:b/>
          <w:bCs/>
          <w:color w:val="000000" w:themeColor="text1"/>
          <w:sz w:val="24"/>
          <w:szCs w:val="24"/>
        </w:rPr>
        <w:instrText xml:space="preserve"> SEQ Figure \* ARABIC </w:instrText>
      </w:r>
      <w:r w:rsidRPr="00B83F69">
        <w:rPr>
          <w:rFonts w:ascii="Times" w:hAnsi="Times"/>
          <w:b/>
          <w:bCs/>
          <w:color w:val="000000" w:themeColor="text1"/>
          <w:sz w:val="24"/>
          <w:szCs w:val="24"/>
        </w:rPr>
        <w:fldChar w:fldCharType="separate"/>
      </w:r>
      <w:r w:rsidR="006D2D0B">
        <w:rPr>
          <w:rFonts w:ascii="Times" w:hAnsi="Times"/>
          <w:b/>
          <w:bCs/>
          <w:noProof/>
          <w:color w:val="000000" w:themeColor="text1"/>
          <w:sz w:val="24"/>
          <w:szCs w:val="24"/>
        </w:rPr>
        <w:t>3</w:t>
      </w:r>
      <w:r w:rsidRPr="00B83F69">
        <w:rPr>
          <w:rFonts w:ascii="Times" w:hAnsi="Times"/>
          <w:b/>
          <w:bCs/>
          <w:color w:val="000000" w:themeColor="text1"/>
          <w:sz w:val="24"/>
          <w:szCs w:val="24"/>
        </w:rPr>
        <w:fldChar w:fldCharType="end"/>
      </w:r>
      <w:r w:rsidRPr="00B83F69">
        <w:rPr>
          <w:rFonts w:ascii="Times" w:hAnsi="Times"/>
          <w:b/>
          <w:bCs/>
          <w:color w:val="000000" w:themeColor="text1"/>
          <w:sz w:val="24"/>
          <w:szCs w:val="24"/>
        </w:rPr>
        <w:t xml:space="preserve">. Differences in Average Predicted </w:t>
      </w:r>
      <w:proofErr w:type="spellStart"/>
      <w:r w:rsidRPr="00B83F69">
        <w:rPr>
          <w:rFonts w:ascii="Times" w:hAnsi="Times"/>
          <w:b/>
          <w:bCs/>
          <w:color w:val="000000" w:themeColor="text1"/>
          <w:sz w:val="24"/>
          <w:szCs w:val="24"/>
        </w:rPr>
        <w:t>PlayerLoad</w:t>
      </w:r>
      <w:proofErr w:type="spellEnd"/>
      <w:r w:rsidRPr="00B83F69">
        <w:rPr>
          <w:rFonts w:ascii="Times" w:hAnsi="Times"/>
          <w:b/>
          <w:bCs/>
          <w:color w:val="000000" w:themeColor="text1"/>
          <w:sz w:val="24"/>
          <w:szCs w:val="24"/>
        </w:rPr>
        <w:t xml:space="preserve"> Between Scrimmage and Practice Models</w:t>
      </w:r>
    </w:p>
    <w:p w14:paraId="37D56578" w14:textId="4306E4C9" w:rsidR="00B83F69" w:rsidRDefault="00B83F69" w:rsidP="00B83F69">
      <w:pPr>
        <w:spacing w:line="480" w:lineRule="auto"/>
        <w:jc w:val="center"/>
        <w:rPr>
          <w:rFonts w:ascii="Times" w:eastAsiaTheme="minorEastAsia" w:hAnsi="Times"/>
        </w:rPr>
      </w:pPr>
      <w:r>
        <w:rPr>
          <w:rFonts w:ascii="Times" w:eastAsiaTheme="minorEastAsia" w:hAnsi="Times"/>
          <w:noProof/>
        </w:rPr>
        <w:drawing>
          <wp:inline distT="0" distB="0" distL="0" distR="0" wp14:anchorId="7A83C86F" wp14:editId="095A3C4E">
            <wp:extent cx="5933934" cy="5067300"/>
            <wp:effectExtent l="0" t="0" r="0" b="0"/>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74328" cy="5101795"/>
                    </a:xfrm>
                    <a:prstGeom prst="rect">
                      <a:avLst/>
                    </a:prstGeom>
                  </pic:spPr>
                </pic:pic>
              </a:graphicData>
            </a:graphic>
          </wp:inline>
        </w:drawing>
      </w:r>
    </w:p>
    <w:p w14:paraId="3B2937F8" w14:textId="375508D3" w:rsidR="00B83F69" w:rsidRDefault="00B83F69" w:rsidP="009E4936">
      <w:pPr>
        <w:spacing w:line="480" w:lineRule="auto"/>
        <w:rPr>
          <w:rFonts w:ascii="Times" w:eastAsiaTheme="minorEastAsia" w:hAnsi="Times"/>
        </w:rPr>
      </w:pPr>
    </w:p>
    <w:p w14:paraId="78E0B9FC" w14:textId="3379CD53" w:rsidR="00E773E9" w:rsidRDefault="00994C6F" w:rsidP="008D1B3E">
      <w:pPr>
        <w:spacing w:line="480" w:lineRule="auto"/>
        <w:ind w:firstLine="720"/>
        <w:rPr>
          <w:rFonts w:ascii="Times" w:eastAsiaTheme="minorEastAsia" w:hAnsi="Times"/>
        </w:rPr>
      </w:pPr>
      <w:r>
        <w:rPr>
          <w:rFonts w:ascii="Times" w:eastAsiaTheme="minorEastAsia" w:hAnsi="Times"/>
        </w:rPr>
        <w:t>When comparing average weekly PL values (including both practices and games)</w:t>
      </w:r>
      <w:r w:rsidR="004722F3">
        <w:rPr>
          <w:rFonts w:ascii="Times" w:eastAsiaTheme="minorEastAsia" w:hAnsi="Times"/>
        </w:rPr>
        <w:t xml:space="preserve">, </w:t>
      </w:r>
      <w:r w:rsidR="00126240">
        <w:rPr>
          <w:rFonts w:ascii="Times" w:eastAsiaTheme="minorEastAsia" w:hAnsi="Times"/>
        </w:rPr>
        <w:t>S</w:t>
      </w:r>
      <w:r w:rsidR="008004BF">
        <w:rPr>
          <w:rFonts w:ascii="Times" w:eastAsiaTheme="minorEastAsia" w:hAnsi="Times"/>
        </w:rPr>
        <w:t xml:space="preserve">tarters averaged </w:t>
      </w:r>
      <w:r w:rsidR="00126240">
        <w:rPr>
          <w:rFonts w:ascii="Times" w:eastAsiaTheme="minorEastAsia" w:hAnsi="Times"/>
        </w:rPr>
        <w:t>13</w:t>
      </w:r>
      <w:r w:rsidR="00A012FF">
        <w:rPr>
          <w:rFonts w:ascii="Times" w:eastAsiaTheme="minorEastAsia" w:hAnsi="Times"/>
        </w:rPr>
        <w:t>39</w:t>
      </w:r>
      <w:r w:rsidR="008004BF">
        <w:rPr>
          <w:rFonts w:ascii="Times" w:eastAsiaTheme="minorEastAsia" w:hAnsi="Times"/>
        </w:rPr>
        <w:t xml:space="preserve"> ± </w:t>
      </w:r>
      <w:r w:rsidR="00A012FF">
        <w:rPr>
          <w:rFonts w:ascii="Times" w:eastAsiaTheme="minorEastAsia" w:hAnsi="Times"/>
        </w:rPr>
        <w:t>685</w:t>
      </w:r>
      <w:r w:rsidR="008004BF">
        <w:rPr>
          <w:rFonts w:ascii="Times" w:eastAsiaTheme="minorEastAsia" w:hAnsi="Times"/>
        </w:rPr>
        <w:t xml:space="preserve"> AU per week, </w:t>
      </w:r>
      <w:r w:rsidR="000839A1">
        <w:rPr>
          <w:rFonts w:ascii="Times" w:eastAsiaTheme="minorEastAsia" w:hAnsi="Times"/>
        </w:rPr>
        <w:t>Rotation</w:t>
      </w:r>
      <w:r w:rsidR="008004BF">
        <w:rPr>
          <w:rFonts w:ascii="Times" w:eastAsiaTheme="minorEastAsia" w:hAnsi="Times"/>
        </w:rPr>
        <w:t xml:space="preserve"> players averaged </w:t>
      </w:r>
      <w:r w:rsidR="00126240">
        <w:rPr>
          <w:rFonts w:ascii="Times" w:eastAsiaTheme="minorEastAsia" w:hAnsi="Times"/>
        </w:rPr>
        <w:t>9</w:t>
      </w:r>
      <w:r w:rsidR="00A012FF">
        <w:rPr>
          <w:rFonts w:ascii="Times" w:eastAsiaTheme="minorEastAsia" w:hAnsi="Times"/>
        </w:rPr>
        <w:t>6</w:t>
      </w:r>
      <w:r w:rsidR="00126240">
        <w:rPr>
          <w:rFonts w:ascii="Times" w:eastAsiaTheme="minorEastAsia" w:hAnsi="Times"/>
        </w:rPr>
        <w:t>4</w:t>
      </w:r>
      <w:r w:rsidR="008004BF">
        <w:rPr>
          <w:rFonts w:ascii="Times" w:eastAsiaTheme="minorEastAsia" w:hAnsi="Times"/>
        </w:rPr>
        <w:t xml:space="preserve"> ± </w:t>
      </w:r>
      <w:r w:rsidR="00A012FF">
        <w:rPr>
          <w:rFonts w:ascii="Times" w:eastAsiaTheme="minorEastAsia" w:hAnsi="Times"/>
        </w:rPr>
        <w:t>632</w:t>
      </w:r>
      <w:r w:rsidR="008004BF">
        <w:rPr>
          <w:rFonts w:ascii="Times" w:eastAsiaTheme="minorEastAsia" w:hAnsi="Times"/>
        </w:rPr>
        <w:t xml:space="preserve"> AU per week, and </w:t>
      </w:r>
      <w:r w:rsidR="000839A1">
        <w:rPr>
          <w:rFonts w:ascii="Times" w:eastAsiaTheme="minorEastAsia" w:hAnsi="Times"/>
        </w:rPr>
        <w:t>Bench</w:t>
      </w:r>
      <w:r w:rsidR="008004BF">
        <w:rPr>
          <w:rFonts w:ascii="Times" w:eastAsiaTheme="minorEastAsia" w:hAnsi="Times"/>
        </w:rPr>
        <w:t xml:space="preserve"> players averaged </w:t>
      </w:r>
      <w:r w:rsidR="00A012FF">
        <w:rPr>
          <w:rFonts w:ascii="Times" w:eastAsiaTheme="minorEastAsia" w:hAnsi="Times"/>
        </w:rPr>
        <w:t>795</w:t>
      </w:r>
      <w:r w:rsidR="008004BF">
        <w:rPr>
          <w:rFonts w:ascii="Times" w:eastAsiaTheme="minorEastAsia" w:hAnsi="Times"/>
        </w:rPr>
        <w:t xml:space="preserve"> ± </w:t>
      </w:r>
      <w:r w:rsidR="00A012FF">
        <w:rPr>
          <w:rFonts w:ascii="Times" w:eastAsiaTheme="minorEastAsia" w:hAnsi="Times"/>
        </w:rPr>
        <w:t>589</w:t>
      </w:r>
      <w:r w:rsidR="00126240">
        <w:rPr>
          <w:rFonts w:ascii="Times" w:eastAsiaTheme="minorEastAsia" w:hAnsi="Times"/>
        </w:rPr>
        <w:t xml:space="preserve"> </w:t>
      </w:r>
      <w:r w:rsidR="008004BF">
        <w:rPr>
          <w:rFonts w:ascii="Times" w:eastAsiaTheme="minorEastAsia" w:hAnsi="Times"/>
        </w:rPr>
        <w:t>AU per week</w:t>
      </w:r>
      <w:r w:rsidR="00E773E9">
        <w:rPr>
          <w:rFonts w:ascii="Times" w:eastAsiaTheme="minorEastAsia" w:hAnsi="Times"/>
        </w:rPr>
        <w:t xml:space="preserve"> (Figure 4)</w:t>
      </w:r>
      <w:r w:rsidR="008004BF">
        <w:rPr>
          <w:rFonts w:ascii="Times" w:eastAsiaTheme="minorEastAsia" w:hAnsi="Times"/>
        </w:rPr>
        <w:t>.</w:t>
      </w:r>
    </w:p>
    <w:p w14:paraId="17B8F66C" w14:textId="6E7636B6" w:rsidR="00E773E9" w:rsidRPr="00E773E9" w:rsidRDefault="00E773E9" w:rsidP="00E773E9">
      <w:pPr>
        <w:pStyle w:val="Caption"/>
        <w:keepNext/>
        <w:jc w:val="center"/>
        <w:rPr>
          <w:rFonts w:ascii="Times" w:hAnsi="Times"/>
          <w:b/>
          <w:bCs/>
          <w:color w:val="000000" w:themeColor="text1"/>
          <w:sz w:val="24"/>
          <w:szCs w:val="24"/>
        </w:rPr>
      </w:pPr>
      <w:r w:rsidRPr="00E773E9">
        <w:rPr>
          <w:rFonts w:ascii="Times" w:hAnsi="Times"/>
          <w:b/>
          <w:bCs/>
          <w:color w:val="000000" w:themeColor="text1"/>
          <w:sz w:val="24"/>
          <w:szCs w:val="24"/>
        </w:rPr>
        <w:lastRenderedPageBreak/>
        <w:t xml:space="preserve">Figure </w:t>
      </w:r>
      <w:r w:rsidRPr="00E773E9">
        <w:rPr>
          <w:rFonts w:ascii="Times" w:hAnsi="Times"/>
          <w:b/>
          <w:bCs/>
          <w:color w:val="000000" w:themeColor="text1"/>
          <w:sz w:val="24"/>
          <w:szCs w:val="24"/>
        </w:rPr>
        <w:fldChar w:fldCharType="begin"/>
      </w:r>
      <w:r w:rsidRPr="00E773E9">
        <w:rPr>
          <w:rFonts w:ascii="Times" w:hAnsi="Times"/>
          <w:b/>
          <w:bCs/>
          <w:color w:val="000000" w:themeColor="text1"/>
          <w:sz w:val="24"/>
          <w:szCs w:val="24"/>
        </w:rPr>
        <w:instrText xml:space="preserve"> SEQ Figure \* ARABIC </w:instrText>
      </w:r>
      <w:r w:rsidRPr="00E773E9">
        <w:rPr>
          <w:rFonts w:ascii="Times" w:hAnsi="Times"/>
          <w:b/>
          <w:bCs/>
          <w:color w:val="000000" w:themeColor="text1"/>
          <w:sz w:val="24"/>
          <w:szCs w:val="24"/>
        </w:rPr>
        <w:fldChar w:fldCharType="separate"/>
      </w:r>
      <w:r w:rsidR="006D2D0B">
        <w:rPr>
          <w:rFonts w:ascii="Times" w:hAnsi="Times"/>
          <w:b/>
          <w:bCs/>
          <w:noProof/>
          <w:color w:val="000000" w:themeColor="text1"/>
          <w:sz w:val="24"/>
          <w:szCs w:val="24"/>
        </w:rPr>
        <w:t>4</w:t>
      </w:r>
      <w:r w:rsidRPr="00E773E9">
        <w:rPr>
          <w:rFonts w:ascii="Times" w:hAnsi="Times"/>
          <w:b/>
          <w:bCs/>
          <w:color w:val="000000" w:themeColor="text1"/>
          <w:sz w:val="24"/>
          <w:szCs w:val="24"/>
        </w:rPr>
        <w:fldChar w:fldCharType="end"/>
      </w:r>
      <w:r w:rsidRPr="00E773E9">
        <w:rPr>
          <w:rFonts w:ascii="Times" w:hAnsi="Times"/>
          <w:b/>
          <w:bCs/>
          <w:color w:val="000000" w:themeColor="text1"/>
          <w:sz w:val="24"/>
          <w:szCs w:val="24"/>
        </w:rPr>
        <w:t>. Average Weekly PL Values by Player Category</w:t>
      </w:r>
    </w:p>
    <w:p w14:paraId="5BCA96C1" w14:textId="5995E8D1" w:rsidR="00E773E9" w:rsidRDefault="009007B0" w:rsidP="008D1B3E">
      <w:pPr>
        <w:spacing w:line="480" w:lineRule="auto"/>
        <w:jc w:val="center"/>
        <w:rPr>
          <w:rFonts w:ascii="Times" w:eastAsiaTheme="minorEastAsia" w:hAnsi="Times"/>
        </w:rPr>
      </w:pPr>
      <w:r>
        <w:rPr>
          <w:rFonts w:ascii="Times" w:eastAsiaTheme="minorEastAsia" w:hAnsi="Times"/>
          <w:noProof/>
        </w:rPr>
        <w:drawing>
          <wp:inline distT="0" distB="0" distL="0" distR="0" wp14:anchorId="32AEFB3B" wp14:editId="501AFD3D">
            <wp:extent cx="5822950" cy="4470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5830246" cy="4476001"/>
                    </a:xfrm>
                    <a:prstGeom prst="rect">
                      <a:avLst/>
                    </a:prstGeom>
                  </pic:spPr>
                </pic:pic>
              </a:graphicData>
            </a:graphic>
          </wp:inline>
        </w:drawing>
      </w:r>
    </w:p>
    <w:p w14:paraId="5B91465F" w14:textId="361FE671" w:rsidR="009E4936" w:rsidRDefault="00E773E9" w:rsidP="008D1B3E">
      <w:pPr>
        <w:spacing w:line="480" w:lineRule="auto"/>
        <w:ind w:firstLine="720"/>
        <w:rPr>
          <w:rFonts w:ascii="Times" w:eastAsiaTheme="minorEastAsia" w:hAnsi="Times"/>
        </w:rPr>
      </w:pPr>
      <w:r>
        <w:rPr>
          <w:rFonts w:ascii="Times" w:eastAsiaTheme="minorEastAsia" w:hAnsi="Times"/>
        </w:rPr>
        <w:t>For average monthly PL values, starters averaged 41</w:t>
      </w:r>
      <w:r w:rsidR="00A874C5">
        <w:rPr>
          <w:rFonts w:ascii="Times" w:eastAsiaTheme="minorEastAsia" w:hAnsi="Times"/>
        </w:rPr>
        <w:t>77</w:t>
      </w:r>
      <w:r>
        <w:rPr>
          <w:rFonts w:ascii="Times" w:eastAsiaTheme="minorEastAsia" w:hAnsi="Times"/>
        </w:rPr>
        <w:t xml:space="preserve"> ± 245</w:t>
      </w:r>
      <w:r w:rsidR="00A874C5">
        <w:rPr>
          <w:rFonts w:ascii="Times" w:eastAsiaTheme="minorEastAsia" w:hAnsi="Times"/>
        </w:rPr>
        <w:t>1</w:t>
      </w:r>
      <w:r>
        <w:rPr>
          <w:rFonts w:ascii="Times" w:eastAsiaTheme="minorEastAsia" w:hAnsi="Times"/>
        </w:rPr>
        <w:t xml:space="preserve"> AU per month, </w:t>
      </w:r>
      <w:r w:rsidR="000839A1">
        <w:rPr>
          <w:rFonts w:ascii="Times" w:eastAsiaTheme="minorEastAsia" w:hAnsi="Times"/>
        </w:rPr>
        <w:t>Rotation</w:t>
      </w:r>
      <w:r>
        <w:rPr>
          <w:rFonts w:ascii="Times" w:eastAsiaTheme="minorEastAsia" w:hAnsi="Times"/>
        </w:rPr>
        <w:t xml:space="preserve"> players averaged 2</w:t>
      </w:r>
      <w:r w:rsidR="00A874C5">
        <w:rPr>
          <w:rFonts w:ascii="Times" w:eastAsiaTheme="minorEastAsia" w:hAnsi="Times"/>
        </w:rPr>
        <w:t>94</w:t>
      </w:r>
      <w:r>
        <w:rPr>
          <w:rFonts w:ascii="Times" w:eastAsiaTheme="minorEastAsia" w:hAnsi="Times"/>
        </w:rPr>
        <w:t>9 ± 19</w:t>
      </w:r>
      <w:r w:rsidR="00A874C5">
        <w:rPr>
          <w:rFonts w:ascii="Times" w:eastAsiaTheme="minorEastAsia" w:hAnsi="Times"/>
        </w:rPr>
        <w:t>27</w:t>
      </w:r>
      <w:r>
        <w:rPr>
          <w:rFonts w:ascii="Times" w:eastAsiaTheme="minorEastAsia" w:hAnsi="Times"/>
        </w:rPr>
        <w:t xml:space="preserve"> AU per month, and </w:t>
      </w:r>
      <w:r w:rsidR="000839A1">
        <w:rPr>
          <w:rFonts w:ascii="Times" w:eastAsiaTheme="minorEastAsia" w:hAnsi="Times"/>
        </w:rPr>
        <w:t>Bench</w:t>
      </w:r>
      <w:r>
        <w:rPr>
          <w:rFonts w:ascii="Times" w:eastAsiaTheme="minorEastAsia" w:hAnsi="Times"/>
        </w:rPr>
        <w:t xml:space="preserve"> players averaged 2</w:t>
      </w:r>
      <w:r w:rsidR="00A874C5">
        <w:rPr>
          <w:rFonts w:ascii="Times" w:eastAsiaTheme="minorEastAsia" w:hAnsi="Times"/>
        </w:rPr>
        <w:t>51</w:t>
      </w:r>
      <w:r>
        <w:rPr>
          <w:rFonts w:ascii="Times" w:eastAsiaTheme="minorEastAsia" w:hAnsi="Times"/>
        </w:rPr>
        <w:t>0 ± 18</w:t>
      </w:r>
      <w:r w:rsidR="00A874C5">
        <w:rPr>
          <w:rFonts w:ascii="Times" w:eastAsiaTheme="minorEastAsia" w:hAnsi="Times"/>
        </w:rPr>
        <w:t>26</w:t>
      </w:r>
      <w:r>
        <w:rPr>
          <w:rFonts w:ascii="Times" w:eastAsiaTheme="minorEastAsia" w:hAnsi="Times"/>
        </w:rPr>
        <w:t xml:space="preserve"> AU per month (Figure 5). </w:t>
      </w:r>
    </w:p>
    <w:p w14:paraId="4456B0E1" w14:textId="2D4E34D4" w:rsidR="00E773E9" w:rsidRPr="00E773E9" w:rsidRDefault="00E773E9" w:rsidP="00E773E9">
      <w:pPr>
        <w:pStyle w:val="Caption"/>
        <w:keepNext/>
        <w:jc w:val="center"/>
        <w:rPr>
          <w:rFonts w:ascii="Times" w:hAnsi="Times"/>
          <w:b/>
          <w:bCs/>
          <w:color w:val="000000" w:themeColor="text1"/>
          <w:sz w:val="24"/>
          <w:szCs w:val="24"/>
        </w:rPr>
      </w:pPr>
      <w:r w:rsidRPr="00E773E9">
        <w:rPr>
          <w:rFonts w:ascii="Times" w:hAnsi="Times"/>
          <w:b/>
          <w:bCs/>
          <w:color w:val="000000" w:themeColor="text1"/>
          <w:sz w:val="24"/>
          <w:szCs w:val="24"/>
        </w:rPr>
        <w:lastRenderedPageBreak/>
        <w:t xml:space="preserve">Figure </w:t>
      </w:r>
      <w:r w:rsidRPr="00E773E9">
        <w:rPr>
          <w:rFonts w:ascii="Times" w:hAnsi="Times"/>
          <w:b/>
          <w:bCs/>
          <w:color w:val="000000" w:themeColor="text1"/>
          <w:sz w:val="24"/>
          <w:szCs w:val="24"/>
        </w:rPr>
        <w:fldChar w:fldCharType="begin"/>
      </w:r>
      <w:r w:rsidRPr="00E773E9">
        <w:rPr>
          <w:rFonts w:ascii="Times" w:hAnsi="Times"/>
          <w:b/>
          <w:bCs/>
          <w:color w:val="000000" w:themeColor="text1"/>
          <w:sz w:val="24"/>
          <w:szCs w:val="24"/>
        </w:rPr>
        <w:instrText xml:space="preserve"> SEQ Figure \* ARABIC </w:instrText>
      </w:r>
      <w:r w:rsidRPr="00E773E9">
        <w:rPr>
          <w:rFonts w:ascii="Times" w:hAnsi="Times"/>
          <w:b/>
          <w:bCs/>
          <w:color w:val="000000" w:themeColor="text1"/>
          <w:sz w:val="24"/>
          <w:szCs w:val="24"/>
        </w:rPr>
        <w:fldChar w:fldCharType="separate"/>
      </w:r>
      <w:r w:rsidR="006D2D0B">
        <w:rPr>
          <w:rFonts w:ascii="Times" w:hAnsi="Times"/>
          <w:b/>
          <w:bCs/>
          <w:noProof/>
          <w:color w:val="000000" w:themeColor="text1"/>
          <w:sz w:val="24"/>
          <w:szCs w:val="24"/>
        </w:rPr>
        <w:t>5</w:t>
      </w:r>
      <w:r w:rsidRPr="00E773E9">
        <w:rPr>
          <w:rFonts w:ascii="Times" w:hAnsi="Times"/>
          <w:b/>
          <w:bCs/>
          <w:color w:val="000000" w:themeColor="text1"/>
          <w:sz w:val="24"/>
          <w:szCs w:val="24"/>
        </w:rPr>
        <w:fldChar w:fldCharType="end"/>
      </w:r>
      <w:r w:rsidRPr="00E773E9">
        <w:rPr>
          <w:rFonts w:ascii="Times" w:hAnsi="Times"/>
          <w:b/>
          <w:bCs/>
          <w:color w:val="000000" w:themeColor="text1"/>
          <w:sz w:val="24"/>
          <w:szCs w:val="24"/>
        </w:rPr>
        <w:t>. Average Monthly PL Values by Player Category</w:t>
      </w:r>
    </w:p>
    <w:p w14:paraId="69D1A343" w14:textId="70CDF0CB" w:rsidR="00495D19" w:rsidRDefault="00E773E9" w:rsidP="00E661DE">
      <w:pPr>
        <w:spacing w:line="480" w:lineRule="auto"/>
        <w:rPr>
          <w:rFonts w:ascii="Times" w:eastAsiaTheme="minorEastAsia" w:hAnsi="Times"/>
        </w:rPr>
      </w:pPr>
      <w:r>
        <w:rPr>
          <w:rFonts w:ascii="Times" w:eastAsiaTheme="minorEastAsia" w:hAnsi="Times"/>
          <w:noProof/>
        </w:rPr>
        <w:drawing>
          <wp:inline distT="0" distB="0" distL="0" distR="0" wp14:anchorId="6FE7B130" wp14:editId="39F96A95">
            <wp:extent cx="5971540" cy="467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5972128" cy="4674060"/>
                    </a:xfrm>
                    <a:prstGeom prst="rect">
                      <a:avLst/>
                    </a:prstGeom>
                  </pic:spPr>
                </pic:pic>
              </a:graphicData>
            </a:graphic>
          </wp:inline>
        </w:drawing>
      </w:r>
    </w:p>
    <w:p w14:paraId="377B0C2B" w14:textId="44AB1A1F" w:rsidR="008D24FB" w:rsidRDefault="00715FC0" w:rsidP="008D24FB">
      <w:pPr>
        <w:spacing w:line="480" w:lineRule="auto"/>
        <w:ind w:firstLine="720"/>
        <w:rPr>
          <w:rFonts w:ascii="Times" w:eastAsiaTheme="minorEastAsia" w:hAnsi="Times"/>
        </w:rPr>
      </w:pPr>
      <w:r>
        <w:rPr>
          <w:rFonts w:ascii="Times" w:eastAsiaTheme="minorEastAsia" w:hAnsi="Times"/>
        </w:rPr>
        <w:t>Results of a one-way ANOVA test with a Tukey’s HSD test also indicated statistically significant differences between player categorizations</w:t>
      </w:r>
      <w:r w:rsidR="00F325A3">
        <w:rPr>
          <w:rFonts w:ascii="Times" w:eastAsiaTheme="minorEastAsia" w:hAnsi="Times"/>
        </w:rPr>
        <w:t xml:space="preserve"> when examining weekly PL values</w:t>
      </w:r>
      <w:r>
        <w:rPr>
          <w:rFonts w:ascii="Times" w:eastAsiaTheme="minorEastAsia" w:hAnsi="Times"/>
        </w:rPr>
        <w:t>.</w:t>
      </w:r>
      <w:r w:rsidR="00D00B6D">
        <w:rPr>
          <w:rFonts w:ascii="Times" w:eastAsiaTheme="minorEastAsia" w:hAnsi="Times"/>
        </w:rPr>
        <w:t xml:space="preserve"> ANOVA results can be found in Table 4</w:t>
      </w:r>
      <w:r w:rsidR="00F325A3">
        <w:rPr>
          <w:rFonts w:ascii="Times" w:eastAsiaTheme="minorEastAsia" w:hAnsi="Times"/>
        </w:rPr>
        <w:t>, and results of Tukey’s HSD can be found in Table 5.</w:t>
      </w:r>
      <w:r w:rsidR="000B4010">
        <w:rPr>
          <w:rFonts w:ascii="Times" w:eastAsiaTheme="minorEastAsia" w:hAnsi="Times"/>
        </w:rPr>
        <w:t xml:space="preserve"> All significance levels were set at </w:t>
      </w:r>
      <w:r w:rsidR="000B4010" w:rsidRPr="000B4010">
        <w:rPr>
          <w:rFonts w:ascii="Times" w:eastAsiaTheme="minorEastAsia" w:hAnsi="Times"/>
          <w:i/>
          <w:iCs/>
        </w:rPr>
        <w:t>p</w:t>
      </w:r>
      <w:r w:rsidR="000B4010">
        <w:rPr>
          <w:rFonts w:ascii="Times" w:eastAsiaTheme="minorEastAsia" w:hAnsi="Times"/>
          <w:i/>
          <w:iCs/>
        </w:rPr>
        <w:t xml:space="preserve"> </w:t>
      </w:r>
      <w:r w:rsidR="000B4010">
        <w:rPr>
          <w:rFonts w:ascii="Times" w:eastAsiaTheme="minorEastAsia" w:hAnsi="Times"/>
        </w:rPr>
        <w:t>&lt; 0.05.</w:t>
      </w:r>
    </w:p>
    <w:p w14:paraId="625BD9BB" w14:textId="56DE6298" w:rsidR="00F325A3" w:rsidRPr="00F325A3" w:rsidRDefault="00F325A3" w:rsidP="00F325A3">
      <w:pPr>
        <w:pStyle w:val="Caption"/>
        <w:keepNext/>
        <w:jc w:val="center"/>
        <w:rPr>
          <w:rFonts w:ascii="Times" w:hAnsi="Times"/>
          <w:b/>
          <w:bCs/>
          <w:color w:val="000000" w:themeColor="text1"/>
          <w:sz w:val="24"/>
          <w:szCs w:val="24"/>
        </w:rPr>
      </w:pPr>
      <w:r w:rsidRPr="00F325A3">
        <w:rPr>
          <w:rFonts w:ascii="Times" w:hAnsi="Times"/>
          <w:b/>
          <w:bCs/>
          <w:color w:val="000000" w:themeColor="text1"/>
          <w:sz w:val="24"/>
          <w:szCs w:val="24"/>
        </w:rPr>
        <w:t xml:space="preserve">Table </w:t>
      </w:r>
      <w:r w:rsidRPr="00F325A3">
        <w:rPr>
          <w:rFonts w:ascii="Times" w:hAnsi="Times"/>
          <w:b/>
          <w:bCs/>
          <w:color w:val="000000" w:themeColor="text1"/>
          <w:sz w:val="24"/>
          <w:szCs w:val="24"/>
        </w:rPr>
        <w:fldChar w:fldCharType="begin"/>
      </w:r>
      <w:r w:rsidRPr="00F325A3">
        <w:rPr>
          <w:rFonts w:ascii="Times" w:hAnsi="Times"/>
          <w:b/>
          <w:bCs/>
          <w:color w:val="000000" w:themeColor="text1"/>
          <w:sz w:val="24"/>
          <w:szCs w:val="24"/>
        </w:rPr>
        <w:instrText xml:space="preserve"> SEQ Table \* ARABIC </w:instrText>
      </w:r>
      <w:r w:rsidRPr="00F325A3">
        <w:rPr>
          <w:rFonts w:ascii="Times" w:hAnsi="Times"/>
          <w:b/>
          <w:bCs/>
          <w:color w:val="000000" w:themeColor="text1"/>
          <w:sz w:val="24"/>
          <w:szCs w:val="24"/>
        </w:rPr>
        <w:fldChar w:fldCharType="separate"/>
      </w:r>
      <w:r w:rsidR="006D2D0B">
        <w:rPr>
          <w:rFonts w:ascii="Times" w:hAnsi="Times"/>
          <w:b/>
          <w:bCs/>
          <w:noProof/>
          <w:color w:val="000000" w:themeColor="text1"/>
          <w:sz w:val="24"/>
          <w:szCs w:val="24"/>
        </w:rPr>
        <w:t>1</w:t>
      </w:r>
      <w:r w:rsidRPr="00F325A3">
        <w:rPr>
          <w:rFonts w:ascii="Times" w:hAnsi="Times"/>
          <w:b/>
          <w:bCs/>
          <w:color w:val="000000" w:themeColor="text1"/>
          <w:sz w:val="24"/>
          <w:szCs w:val="24"/>
        </w:rPr>
        <w:fldChar w:fldCharType="end"/>
      </w:r>
      <w:r w:rsidRPr="00F325A3">
        <w:rPr>
          <w:rFonts w:ascii="Times" w:hAnsi="Times"/>
          <w:b/>
          <w:bCs/>
          <w:color w:val="000000" w:themeColor="text1"/>
          <w:sz w:val="24"/>
          <w:szCs w:val="24"/>
        </w:rPr>
        <w:t>. ANOVA Results for Weekly</w:t>
      </w:r>
      <w:r w:rsidR="000B4010">
        <w:rPr>
          <w:rFonts w:ascii="Times" w:hAnsi="Times"/>
          <w:b/>
          <w:bCs/>
          <w:color w:val="000000" w:themeColor="text1"/>
          <w:sz w:val="24"/>
          <w:szCs w:val="24"/>
        </w:rPr>
        <w:t xml:space="preserve"> Average</w:t>
      </w:r>
      <w:r w:rsidRPr="00F325A3">
        <w:rPr>
          <w:rFonts w:ascii="Times" w:hAnsi="Times"/>
          <w:b/>
          <w:bCs/>
          <w:color w:val="000000" w:themeColor="text1"/>
          <w:sz w:val="24"/>
          <w:szCs w:val="24"/>
        </w:rPr>
        <w:t xml:space="preserve"> PL</w:t>
      </w:r>
    </w:p>
    <w:tbl>
      <w:tblPr>
        <w:tblStyle w:val="TableGrid"/>
        <w:tblW w:w="95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260"/>
        <w:gridCol w:w="1667"/>
        <w:gridCol w:w="1663"/>
        <w:gridCol w:w="1170"/>
        <w:gridCol w:w="2237"/>
      </w:tblGrid>
      <w:tr w:rsidR="00F325A3" w14:paraId="2F643AB9" w14:textId="77777777" w:rsidTr="00F325A3">
        <w:trPr>
          <w:trHeight w:val="627"/>
          <w:jc w:val="center"/>
        </w:trPr>
        <w:tc>
          <w:tcPr>
            <w:tcW w:w="1530" w:type="dxa"/>
            <w:tcBorders>
              <w:top w:val="single" w:sz="4" w:space="0" w:color="auto"/>
              <w:bottom w:val="single" w:sz="4" w:space="0" w:color="auto"/>
            </w:tcBorders>
          </w:tcPr>
          <w:p w14:paraId="0CA784C1" w14:textId="77777777" w:rsidR="00F325A3" w:rsidRPr="00F325A3" w:rsidRDefault="00F325A3" w:rsidP="000B4010">
            <w:pPr>
              <w:jc w:val="center"/>
              <w:rPr>
                <w:rFonts w:ascii="Times" w:hAnsi="Times"/>
                <w:sz w:val="22"/>
                <w:szCs w:val="22"/>
              </w:rPr>
            </w:pPr>
          </w:p>
        </w:tc>
        <w:tc>
          <w:tcPr>
            <w:tcW w:w="1260" w:type="dxa"/>
            <w:tcBorders>
              <w:top w:val="single" w:sz="4" w:space="0" w:color="auto"/>
              <w:bottom w:val="single" w:sz="4" w:space="0" w:color="auto"/>
            </w:tcBorders>
            <w:vAlign w:val="center"/>
          </w:tcPr>
          <w:p w14:paraId="2E0D2C43" w14:textId="3F71D28F" w:rsidR="00F325A3" w:rsidRPr="00F325A3" w:rsidRDefault="00F325A3" w:rsidP="000B4010">
            <w:pPr>
              <w:jc w:val="center"/>
              <w:rPr>
                <w:rFonts w:ascii="Times" w:hAnsi="Times"/>
                <w:sz w:val="22"/>
                <w:szCs w:val="22"/>
              </w:rPr>
            </w:pPr>
            <w:r w:rsidRPr="00F325A3">
              <w:rPr>
                <w:rFonts w:ascii="Times" w:hAnsi="Times"/>
                <w:sz w:val="22"/>
                <w:szCs w:val="22"/>
              </w:rPr>
              <w:t>Df</w:t>
            </w:r>
          </w:p>
        </w:tc>
        <w:tc>
          <w:tcPr>
            <w:tcW w:w="1667" w:type="dxa"/>
            <w:tcBorders>
              <w:top w:val="single" w:sz="4" w:space="0" w:color="auto"/>
              <w:bottom w:val="single" w:sz="4" w:space="0" w:color="auto"/>
            </w:tcBorders>
            <w:vAlign w:val="center"/>
          </w:tcPr>
          <w:p w14:paraId="4A67CAC0" w14:textId="0DC613AD" w:rsidR="00F325A3" w:rsidRPr="00F325A3" w:rsidRDefault="00F325A3" w:rsidP="000B4010">
            <w:pPr>
              <w:jc w:val="center"/>
              <w:rPr>
                <w:rFonts w:ascii="Times" w:hAnsi="Times"/>
                <w:sz w:val="22"/>
                <w:szCs w:val="22"/>
              </w:rPr>
            </w:pPr>
            <w:r w:rsidRPr="00F325A3">
              <w:rPr>
                <w:rFonts w:ascii="Times" w:hAnsi="Times"/>
                <w:sz w:val="22"/>
                <w:szCs w:val="22"/>
              </w:rPr>
              <w:t>Sum of Squares</w:t>
            </w:r>
          </w:p>
        </w:tc>
        <w:tc>
          <w:tcPr>
            <w:tcW w:w="1663" w:type="dxa"/>
            <w:tcBorders>
              <w:top w:val="single" w:sz="4" w:space="0" w:color="auto"/>
              <w:bottom w:val="single" w:sz="4" w:space="0" w:color="auto"/>
            </w:tcBorders>
            <w:vAlign w:val="center"/>
          </w:tcPr>
          <w:p w14:paraId="0AD9FB60" w14:textId="79410883" w:rsidR="00F325A3" w:rsidRPr="00F325A3" w:rsidRDefault="00F325A3" w:rsidP="000B4010">
            <w:pPr>
              <w:jc w:val="center"/>
              <w:rPr>
                <w:rFonts w:ascii="Times" w:hAnsi="Times"/>
                <w:sz w:val="22"/>
                <w:szCs w:val="22"/>
              </w:rPr>
            </w:pPr>
            <w:r w:rsidRPr="00F325A3">
              <w:rPr>
                <w:rFonts w:ascii="Times" w:hAnsi="Times"/>
                <w:sz w:val="22"/>
                <w:szCs w:val="22"/>
              </w:rPr>
              <w:t>Mean Square</w:t>
            </w:r>
          </w:p>
        </w:tc>
        <w:tc>
          <w:tcPr>
            <w:tcW w:w="1170" w:type="dxa"/>
            <w:tcBorders>
              <w:top w:val="single" w:sz="4" w:space="0" w:color="auto"/>
              <w:bottom w:val="single" w:sz="4" w:space="0" w:color="auto"/>
            </w:tcBorders>
            <w:vAlign w:val="center"/>
          </w:tcPr>
          <w:p w14:paraId="678D3A42" w14:textId="7BDA8E63" w:rsidR="00F325A3" w:rsidRPr="00F325A3" w:rsidRDefault="00F325A3" w:rsidP="000B4010">
            <w:pPr>
              <w:jc w:val="center"/>
              <w:rPr>
                <w:rFonts w:ascii="Times" w:hAnsi="Times"/>
                <w:sz w:val="22"/>
                <w:szCs w:val="22"/>
              </w:rPr>
            </w:pPr>
            <w:r w:rsidRPr="00F325A3">
              <w:rPr>
                <w:rFonts w:ascii="Times" w:hAnsi="Times"/>
                <w:i/>
                <w:iCs/>
                <w:sz w:val="22"/>
                <w:szCs w:val="22"/>
              </w:rPr>
              <w:t>F</w:t>
            </w:r>
          </w:p>
        </w:tc>
        <w:tc>
          <w:tcPr>
            <w:tcW w:w="2237" w:type="dxa"/>
            <w:tcBorders>
              <w:top w:val="single" w:sz="4" w:space="0" w:color="auto"/>
              <w:bottom w:val="single" w:sz="4" w:space="0" w:color="auto"/>
            </w:tcBorders>
            <w:vAlign w:val="center"/>
          </w:tcPr>
          <w:p w14:paraId="3000F282" w14:textId="77777777" w:rsidR="00F325A3" w:rsidRPr="00F325A3" w:rsidRDefault="00F325A3" w:rsidP="000B4010">
            <w:pPr>
              <w:jc w:val="center"/>
              <w:rPr>
                <w:rFonts w:ascii="Times" w:hAnsi="Times"/>
                <w:sz w:val="22"/>
                <w:szCs w:val="22"/>
              </w:rPr>
            </w:pPr>
            <w:r w:rsidRPr="00F325A3">
              <w:rPr>
                <w:rFonts w:ascii="Times" w:hAnsi="Times"/>
                <w:i/>
                <w:iCs/>
                <w:sz w:val="22"/>
                <w:szCs w:val="22"/>
              </w:rPr>
              <w:t>p</w:t>
            </w:r>
            <w:r w:rsidRPr="00F325A3">
              <w:rPr>
                <w:rFonts w:ascii="Times" w:hAnsi="Times"/>
                <w:sz w:val="22"/>
                <w:szCs w:val="22"/>
              </w:rPr>
              <w:t xml:space="preserve"> value</w:t>
            </w:r>
          </w:p>
        </w:tc>
      </w:tr>
      <w:tr w:rsidR="00F325A3" w14:paraId="09894BBB" w14:textId="77777777" w:rsidTr="008D24FB">
        <w:trPr>
          <w:trHeight w:val="627"/>
          <w:jc w:val="center"/>
        </w:trPr>
        <w:tc>
          <w:tcPr>
            <w:tcW w:w="1530" w:type="dxa"/>
            <w:tcBorders>
              <w:top w:val="single" w:sz="4" w:space="0" w:color="auto"/>
            </w:tcBorders>
            <w:vAlign w:val="center"/>
          </w:tcPr>
          <w:p w14:paraId="3FE22D80" w14:textId="0DED2D01" w:rsidR="00F325A3" w:rsidRPr="00F325A3" w:rsidRDefault="00F325A3" w:rsidP="00F325A3">
            <w:pPr>
              <w:jc w:val="center"/>
              <w:rPr>
                <w:rFonts w:ascii="Times" w:hAnsi="Times" w:cs="Calibri"/>
                <w:color w:val="000000"/>
                <w:sz w:val="22"/>
                <w:szCs w:val="22"/>
              </w:rPr>
            </w:pPr>
            <w:r w:rsidRPr="00F325A3">
              <w:rPr>
                <w:rFonts w:ascii="Times" w:hAnsi="Times" w:cs="Calibri"/>
                <w:color w:val="000000"/>
                <w:sz w:val="22"/>
                <w:szCs w:val="22"/>
              </w:rPr>
              <w:t>Category</w:t>
            </w:r>
          </w:p>
        </w:tc>
        <w:tc>
          <w:tcPr>
            <w:tcW w:w="1260" w:type="dxa"/>
            <w:tcBorders>
              <w:top w:val="single" w:sz="4" w:space="0" w:color="auto"/>
            </w:tcBorders>
            <w:vAlign w:val="center"/>
          </w:tcPr>
          <w:p w14:paraId="332D885A" w14:textId="119C9A8F" w:rsidR="00F325A3" w:rsidRPr="00F325A3" w:rsidRDefault="00F325A3" w:rsidP="000B4010">
            <w:pPr>
              <w:jc w:val="center"/>
              <w:rPr>
                <w:rFonts w:ascii="Times" w:hAnsi="Times" w:cs="Calibri"/>
                <w:color w:val="000000"/>
                <w:sz w:val="22"/>
                <w:szCs w:val="22"/>
              </w:rPr>
            </w:pPr>
            <w:r w:rsidRPr="00F325A3">
              <w:rPr>
                <w:rFonts w:ascii="Times" w:hAnsi="Times" w:cs="Calibri"/>
                <w:color w:val="000000"/>
                <w:sz w:val="22"/>
                <w:szCs w:val="22"/>
              </w:rPr>
              <w:t>2</w:t>
            </w:r>
          </w:p>
        </w:tc>
        <w:tc>
          <w:tcPr>
            <w:tcW w:w="1667" w:type="dxa"/>
            <w:tcBorders>
              <w:top w:val="single" w:sz="4" w:space="0" w:color="auto"/>
            </w:tcBorders>
            <w:vAlign w:val="center"/>
          </w:tcPr>
          <w:p w14:paraId="74D4A08F" w14:textId="00D84AC1" w:rsidR="00F325A3" w:rsidRPr="00F325A3" w:rsidRDefault="00016767" w:rsidP="000B4010">
            <w:pPr>
              <w:jc w:val="center"/>
              <w:rPr>
                <w:rFonts w:ascii="Times" w:hAnsi="Times" w:cs="Calibri"/>
                <w:color w:val="000000"/>
                <w:sz w:val="22"/>
                <w:szCs w:val="22"/>
              </w:rPr>
            </w:pPr>
            <w:r w:rsidRPr="00016767">
              <w:rPr>
                <w:rFonts w:ascii="Times" w:hAnsi="Times" w:cs="Calibri"/>
                <w:color w:val="000000"/>
                <w:sz w:val="22"/>
                <w:szCs w:val="22"/>
              </w:rPr>
              <w:t>21957241</w:t>
            </w:r>
          </w:p>
        </w:tc>
        <w:tc>
          <w:tcPr>
            <w:tcW w:w="1663" w:type="dxa"/>
            <w:tcBorders>
              <w:top w:val="single" w:sz="4" w:space="0" w:color="auto"/>
            </w:tcBorders>
            <w:vAlign w:val="center"/>
          </w:tcPr>
          <w:p w14:paraId="1C20932D" w14:textId="04B88F74" w:rsidR="00F325A3" w:rsidRPr="00F325A3" w:rsidRDefault="00016767" w:rsidP="000B4010">
            <w:pPr>
              <w:jc w:val="center"/>
              <w:rPr>
                <w:rFonts w:ascii="Times" w:hAnsi="Times" w:cs="Calibri"/>
                <w:color w:val="000000"/>
                <w:sz w:val="22"/>
                <w:szCs w:val="22"/>
              </w:rPr>
            </w:pPr>
            <w:r w:rsidRPr="00016767">
              <w:rPr>
                <w:rFonts w:ascii="Times" w:hAnsi="Times" w:cs="Calibri"/>
                <w:color w:val="000000"/>
                <w:sz w:val="22"/>
                <w:szCs w:val="22"/>
              </w:rPr>
              <w:t>10978621</w:t>
            </w:r>
          </w:p>
        </w:tc>
        <w:tc>
          <w:tcPr>
            <w:tcW w:w="1170" w:type="dxa"/>
            <w:tcBorders>
              <w:top w:val="single" w:sz="4" w:space="0" w:color="auto"/>
            </w:tcBorders>
            <w:vAlign w:val="center"/>
          </w:tcPr>
          <w:p w14:paraId="28BAD754" w14:textId="3764179B" w:rsidR="00F325A3" w:rsidRPr="00F325A3" w:rsidRDefault="00F325A3" w:rsidP="000B4010">
            <w:pPr>
              <w:jc w:val="center"/>
              <w:rPr>
                <w:rFonts w:ascii="Times" w:hAnsi="Times" w:cs="Calibri"/>
                <w:color w:val="000000"/>
                <w:sz w:val="22"/>
                <w:szCs w:val="22"/>
              </w:rPr>
            </w:pPr>
            <w:r w:rsidRPr="00F325A3">
              <w:rPr>
                <w:rFonts w:ascii="Times" w:hAnsi="Times" w:cs="Calibri"/>
                <w:color w:val="000000"/>
                <w:sz w:val="22"/>
                <w:szCs w:val="22"/>
              </w:rPr>
              <w:t>26.</w:t>
            </w:r>
            <w:r w:rsidR="00016767">
              <w:rPr>
                <w:rFonts w:ascii="Times" w:hAnsi="Times" w:cs="Calibri"/>
                <w:color w:val="000000"/>
                <w:sz w:val="22"/>
                <w:szCs w:val="22"/>
              </w:rPr>
              <w:t>76</w:t>
            </w:r>
          </w:p>
        </w:tc>
        <w:tc>
          <w:tcPr>
            <w:tcW w:w="2237" w:type="dxa"/>
            <w:tcBorders>
              <w:top w:val="single" w:sz="4" w:space="0" w:color="auto"/>
            </w:tcBorders>
            <w:vAlign w:val="center"/>
          </w:tcPr>
          <w:p w14:paraId="22E36AEA" w14:textId="15EA58B4" w:rsidR="00F325A3" w:rsidRPr="00F325A3" w:rsidRDefault="00016767" w:rsidP="000B4010">
            <w:pPr>
              <w:jc w:val="center"/>
              <w:rPr>
                <w:rFonts w:ascii="Times" w:hAnsi="Times" w:cs="Calibri"/>
                <w:color w:val="000000"/>
                <w:sz w:val="22"/>
                <w:szCs w:val="22"/>
              </w:rPr>
            </w:pPr>
            <w:r>
              <w:rPr>
                <w:rFonts w:ascii="Times" w:hAnsi="Times" w:cs="Calibri"/>
                <w:color w:val="000000"/>
                <w:sz w:val="22"/>
                <w:szCs w:val="22"/>
              </w:rPr>
              <w:t>&lt;.001</w:t>
            </w:r>
            <w:r w:rsidR="008D24FB">
              <w:rPr>
                <w:rFonts w:ascii="Times" w:hAnsi="Times" w:cs="Calibri"/>
                <w:color w:val="000000"/>
                <w:sz w:val="22"/>
                <w:szCs w:val="22"/>
              </w:rPr>
              <w:t>*</w:t>
            </w:r>
          </w:p>
        </w:tc>
      </w:tr>
      <w:tr w:rsidR="00F325A3" w14:paraId="3CE4855F" w14:textId="77777777" w:rsidTr="008D24FB">
        <w:trPr>
          <w:trHeight w:val="627"/>
          <w:jc w:val="center"/>
        </w:trPr>
        <w:tc>
          <w:tcPr>
            <w:tcW w:w="1530" w:type="dxa"/>
            <w:tcBorders>
              <w:bottom w:val="single" w:sz="4" w:space="0" w:color="auto"/>
            </w:tcBorders>
            <w:vAlign w:val="center"/>
          </w:tcPr>
          <w:p w14:paraId="6DB83867" w14:textId="5617D9DF" w:rsidR="00F325A3" w:rsidRPr="00F325A3" w:rsidRDefault="00F325A3" w:rsidP="00F325A3">
            <w:pPr>
              <w:jc w:val="center"/>
              <w:rPr>
                <w:rFonts w:ascii="Times" w:hAnsi="Times" w:cs="Calibri"/>
                <w:color w:val="000000"/>
                <w:sz w:val="22"/>
                <w:szCs w:val="22"/>
              </w:rPr>
            </w:pPr>
            <w:r w:rsidRPr="00F325A3">
              <w:rPr>
                <w:rFonts w:ascii="Times" w:hAnsi="Times" w:cs="Calibri"/>
                <w:color w:val="000000"/>
                <w:sz w:val="22"/>
                <w:szCs w:val="22"/>
              </w:rPr>
              <w:t>Residuals</w:t>
            </w:r>
          </w:p>
        </w:tc>
        <w:tc>
          <w:tcPr>
            <w:tcW w:w="1260" w:type="dxa"/>
            <w:tcBorders>
              <w:bottom w:val="single" w:sz="4" w:space="0" w:color="auto"/>
            </w:tcBorders>
            <w:vAlign w:val="center"/>
          </w:tcPr>
          <w:p w14:paraId="732B0BAA" w14:textId="62F86143" w:rsidR="00F325A3" w:rsidRPr="00F325A3" w:rsidRDefault="00F325A3" w:rsidP="000B4010">
            <w:pPr>
              <w:jc w:val="center"/>
              <w:rPr>
                <w:rFonts w:ascii="Times" w:hAnsi="Times"/>
                <w:sz w:val="22"/>
                <w:szCs w:val="22"/>
              </w:rPr>
            </w:pPr>
            <w:r w:rsidRPr="00F325A3">
              <w:rPr>
                <w:rFonts w:ascii="Times" w:hAnsi="Times" w:cs="Calibri"/>
                <w:color w:val="000000"/>
                <w:sz w:val="22"/>
                <w:szCs w:val="22"/>
              </w:rPr>
              <w:t>426</w:t>
            </w:r>
          </w:p>
        </w:tc>
        <w:tc>
          <w:tcPr>
            <w:tcW w:w="1667" w:type="dxa"/>
            <w:tcBorders>
              <w:bottom w:val="single" w:sz="4" w:space="0" w:color="auto"/>
            </w:tcBorders>
            <w:vAlign w:val="center"/>
          </w:tcPr>
          <w:p w14:paraId="556B6494" w14:textId="5A59BF3D" w:rsidR="00F325A3" w:rsidRPr="00F325A3" w:rsidRDefault="00016767" w:rsidP="000B4010">
            <w:pPr>
              <w:jc w:val="center"/>
              <w:rPr>
                <w:rFonts w:ascii="Times" w:hAnsi="Times" w:cs="Calibri"/>
                <w:color w:val="000000"/>
                <w:sz w:val="22"/>
                <w:szCs w:val="22"/>
              </w:rPr>
            </w:pPr>
            <w:r w:rsidRPr="00016767">
              <w:rPr>
                <w:rFonts w:ascii="Times" w:hAnsi="Times" w:cs="Calibri"/>
                <w:color w:val="000000"/>
                <w:sz w:val="22"/>
                <w:szCs w:val="22"/>
              </w:rPr>
              <w:t>174757453</w:t>
            </w:r>
          </w:p>
        </w:tc>
        <w:tc>
          <w:tcPr>
            <w:tcW w:w="1663" w:type="dxa"/>
            <w:tcBorders>
              <w:bottom w:val="single" w:sz="4" w:space="0" w:color="auto"/>
            </w:tcBorders>
            <w:vAlign w:val="center"/>
          </w:tcPr>
          <w:p w14:paraId="13FE6A4B" w14:textId="400A7CCC" w:rsidR="00F325A3" w:rsidRPr="00F325A3" w:rsidRDefault="00016767" w:rsidP="000B4010">
            <w:pPr>
              <w:jc w:val="center"/>
              <w:rPr>
                <w:rFonts w:ascii="Times" w:hAnsi="Times" w:cs="Calibri"/>
                <w:color w:val="000000"/>
                <w:sz w:val="22"/>
                <w:szCs w:val="22"/>
              </w:rPr>
            </w:pPr>
            <w:r w:rsidRPr="00016767">
              <w:rPr>
                <w:rFonts w:ascii="Times" w:hAnsi="Times" w:cs="Calibri"/>
                <w:color w:val="000000"/>
                <w:sz w:val="22"/>
                <w:szCs w:val="22"/>
              </w:rPr>
              <w:t>410229</w:t>
            </w:r>
          </w:p>
        </w:tc>
        <w:tc>
          <w:tcPr>
            <w:tcW w:w="1170" w:type="dxa"/>
            <w:tcBorders>
              <w:bottom w:val="single" w:sz="4" w:space="0" w:color="auto"/>
            </w:tcBorders>
            <w:vAlign w:val="center"/>
          </w:tcPr>
          <w:p w14:paraId="224081A2" w14:textId="3B920ED7" w:rsidR="00F325A3" w:rsidRPr="00F325A3" w:rsidRDefault="00F325A3" w:rsidP="000B4010">
            <w:pPr>
              <w:jc w:val="center"/>
              <w:rPr>
                <w:rFonts w:ascii="Times" w:hAnsi="Times" w:cs="Calibri"/>
                <w:color w:val="000000"/>
                <w:sz w:val="22"/>
                <w:szCs w:val="22"/>
              </w:rPr>
            </w:pPr>
          </w:p>
        </w:tc>
        <w:tc>
          <w:tcPr>
            <w:tcW w:w="2237" w:type="dxa"/>
            <w:tcBorders>
              <w:bottom w:val="single" w:sz="4" w:space="0" w:color="auto"/>
            </w:tcBorders>
            <w:vAlign w:val="center"/>
          </w:tcPr>
          <w:p w14:paraId="1FB9FB25" w14:textId="3ADF5B4B" w:rsidR="00F325A3" w:rsidRPr="00F325A3" w:rsidRDefault="00F325A3" w:rsidP="000B4010">
            <w:pPr>
              <w:jc w:val="center"/>
              <w:rPr>
                <w:rFonts w:ascii="Times" w:hAnsi="Times"/>
                <w:sz w:val="22"/>
                <w:szCs w:val="22"/>
              </w:rPr>
            </w:pPr>
          </w:p>
        </w:tc>
      </w:tr>
    </w:tbl>
    <w:p w14:paraId="7E162EE7" w14:textId="433C6170" w:rsidR="000B4010" w:rsidRPr="000B4010" w:rsidRDefault="000B4010" w:rsidP="000B4010">
      <w:pPr>
        <w:pStyle w:val="Caption"/>
        <w:keepNext/>
        <w:jc w:val="center"/>
        <w:rPr>
          <w:rFonts w:ascii="Times" w:hAnsi="Times"/>
          <w:b/>
          <w:bCs/>
          <w:color w:val="000000" w:themeColor="text1"/>
          <w:sz w:val="24"/>
          <w:szCs w:val="24"/>
        </w:rPr>
      </w:pPr>
      <w:r w:rsidRPr="000B4010">
        <w:rPr>
          <w:rFonts w:ascii="Times" w:hAnsi="Times"/>
          <w:b/>
          <w:bCs/>
          <w:color w:val="000000" w:themeColor="text1"/>
          <w:sz w:val="24"/>
          <w:szCs w:val="24"/>
        </w:rPr>
        <w:lastRenderedPageBreak/>
        <w:t xml:space="preserve">Table </w:t>
      </w:r>
      <w:r w:rsidRPr="000B4010">
        <w:rPr>
          <w:rFonts w:ascii="Times" w:hAnsi="Times"/>
          <w:b/>
          <w:bCs/>
          <w:color w:val="000000" w:themeColor="text1"/>
          <w:sz w:val="24"/>
          <w:szCs w:val="24"/>
        </w:rPr>
        <w:fldChar w:fldCharType="begin"/>
      </w:r>
      <w:r w:rsidRPr="000B4010">
        <w:rPr>
          <w:rFonts w:ascii="Times" w:hAnsi="Times"/>
          <w:b/>
          <w:bCs/>
          <w:color w:val="000000" w:themeColor="text1"/>
          <w:sz w:val="24"/>
          <w:szCs w:val="24"/>
        </w:rPr>
        <w:instrText xml:space="preserve"> SEQ Table \* ARABIC </w:instrText>
      </w:r>
      <w:r w:rsidRPr="000B4010">
        <w:rPr>
          <w:rFonts w:ascii="Times" w:hAnsi="Times"/>
          <w:b/>
          <w:bCs/>
          <w:color w:val="000000" w:themeColor="text1"/>
          <w:sz w:val="24"/>
          <w:szCs w:val="24"/>
        </w:rPr>
        <w:fldChar w:fldCharType="separate"/>
      </w:r>
      <w:r w:rsidR="006D2D0B">
        <w:rPr>
          <w:rFonts w:ascii="Times" w:hAnsi="Times"/>
          <w:b/>
          <w:bCs/>
          <w:noProof/>
          <w:color w:val="000000" w:themeColor="text1"/>
          <w:sz w:val="24"/>
          <w:szCs w:val="24"/>
        </w:rPr>
        <w:t>2</w:t>
      </w:r>
      <w:r w:rsidRPr="000B4010">
        <w:rPr>
          <w:rFonts w:ascii="Times" w:hAnsi="Times"/>
          <w:b/>
          <w:bCs/>
          <w:color w:val="000000" w:themeColor="text1"/>
          <w:sz w:val="24"/>
          <w:szCs w:val="24"/>
        </w:rPr>
        <w:fldChar w:fldCharType="end"/>
      </w:r>
      <w:r w:rsidRPr="000B4010">
        <w:rPr>
          <w:rFonts w:ascii="Times" w:hAnsi="Times"/>
          <w:b/>
          <w:bCs/>
          <w:color w:val="000000" w:themeColor="text1"/>
          <w:sz w:val="24"/>
          <w:szCs w:val="24"/>
        </w:rPr>
        <w:t>. Tukey's HSD for Weekly</w:t>
      </w:r>
      <w:r>
        <w:rPr>
          <w:rFonts w:ascii="Times" w:hAnsi="Times"/>
          <w:b/>
          <w:bCs/>
          <w:color w:val="000000" w:themeColor="text1"/>
          <w:sz w:val="24"/>
          <w:szCs w:val="24"/>
        </w:rPr>
        <w:t xml:space="preserve"> Average</w:t>
      </w:r>
      <w:r w:rsidRPr="000B4010">
        <w:rPr>
          <w:rFonts w:ascii="Times" w:hAnsi="Times"/>
          <w:b/>
          <w:bCs/>
          <w:color w:val="000000" w:themeColor="text1"/>
          <w:sz w:val="24"/>
          <w:szCs w:val="24"/>
        </w:rPr>
        <w:t xml:space="preserve"> PL</w:t>
      </w:r>
      <w:r>
        <w:rPr>
          <w:rFonts w:ascii="Times" w:hAnsi="Times"/>
          <w:b/>
          <w:bCs/>
          <w:color w:val="000000" w:themeColor="text1"/>
          <w:sz w:val="24"/>
          <w:szCs w:val="24"/>
        </w:rPr>
        <w:t xml:space="preserve"> Between Groups</w:t>
      </w:r>
    </w:p>
    <w:tbl>
      <w:tblPr>
        <w:tblStyle w:val="TableGrid"/>
        <w:tblW w:w="90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408"/>
        <w:gridCol w:w="1917"/>
        <w:gridCol w:w="1913"/>
        <w:gridCol w:w="1967"/>
      </w:tblGrid>
      <w:tr w:rsidR="00F325A3" w14:paraId="4B771965" w14:textId="77777777" w:rsidTr="00F325A3">
        <w:trPr>
          <w:trHeight w:val="680"/>
          <w:jc w:val="center"/>
        </w:trPr>
        <w:tc>
          <w:tcPr>
            <w:tcW w:w="1800" w:type="dxa"/>
            <w:tcBorders>
              <w:bottom w:val="single" w:sz="4" w:space="0" w:color="auto"/>
            </w:tcBorders>
            <w:vAlign w:val="center"/>
          </w:tcPr>
          <w:p w14:paraId="395F0657" w14:textId="77777777" w:rsidR="00F325A3" w:rsidRDefault="00F325A3" w:rsidP="00F325A3">
            <w:pPr>
              <w:jc w:val="center"/>
              <w:rPr>
                <w:rFonts w:ascii="Times" w:hAnsi="Times"/>
              </w:rPr>
            </w:pPr>
          </w:p>
        </w:tc>
        <w:tc>
          <w:tcPr>
            <w:tcW w:w="1408" w:type="dxa"/>
            <w:tcBorders>
              <w:bottom w:val="single" w:sz="4" w:space="0" w:color="auto"/>
            </w:tcBorders>
            <w:vAlign w:val="center"/>
          </w:tcPr>
          <w:p w14:paraId="0D82FF8A" w14:textId="77777777" w:rsidR="00F325A3" w:rsidRDefault="00F325A3" w:rsidP="00F325A3">
            <w:pPr>
              <w:jc w:val="center"/>
              <w:rPr>
                <w:rFonts w:ascii="Times" w:hAnsi="Times"/>
              </w:rPr>
            </w:pPr>
          </w:p>
        </w:tc>
        <w:tc>
          <w:tcPr>
            <w:tcW w:w="1917" w:type="dxa"/>
            <w:tcBorders>
              <w:bottom w:val="single" w:sz="4" w:space="0" w:color="auto"/>
            </w:tcBorders>
            <w:vAlign w:val="center"/>
          </w:tcPr>
          <w:p w14:paraId="759212FE" w14:textId="77777777" w:rsidR="00F325A3" w:rsidRPr="009A23FB" w:rsidRDefault="00F325A3" w:rsidP="00F325A3">
            <w:pPr>
              <w:jc w:val="center"/>
              <w:rPr>
                <w:rFonts w:ascii="Times" w:hAnsi="Times"/>
                <w:i/>
                <w:iCs/>
              </w:rPr>
            </w:pPr>
          </w:p>
        </w:tc>
        <w:tc>
          <w:tcPr>
            <w:tcW w:w="3880" w:type="dxa"/>
            <w:gridSpan w:val="2"/>
            <w:tcBorders>
              <w:top w:val="single" w:sz="4" w:space="0" w:color="auto"/>
              <w:bottom w:val="single" w:sz="4" w:space="0" w:color="auto"/>
            </w:tcBorders>
            <w:vAlign w:val="center"/>
          </w:tcPr>
          <w:p w14:paraId="2414C284" w14:textId="697FE46B" w:rsidR="00F325A3" w:rsidRDefault="00F325A3" w:rsidP="00F325A3">
            <w:pPr>
              <w:jc w:val="center"/>
              <w:rPr>
                <w:rFonts w:ascii="Times" w:hAnsi="Times"/>
              </w:rPr>
            </w:pPr>
            <w:r>
              <w:rPr>
                <w:rFonts w:ascii="Times" w:hAnsi="Times"/>
              </w:rPr>
              <w:t>95% Confidence Interval</w:t>
            </w:r>
          </w:p>
        </w:tc>
      </w:tr>
      <w:tr w:rsidR="00F325A3" w14:paraId="12723349" w14:textId="77777777" w:rsidTr="00F325A3">
        <w:trPr>
          <w:trHeight w:val="680"/>
          <w:jc w:val="center"/>
        </w:trPr>
        <w:tc>
          <w:tcPr>
            <w:tcW w:w="1800" w:type="dxa"/>
            <w:tcBorders>
              <w:top w:val="single" w:sz="4" w:space="0" w:color="auto"/>
              <w:bottom w:val="single" w:sz="4" w:space="0" w:color="auto"/>
            </w:tcBorders>
            <w:vAlign w:val="center"/>
          </w:tcPr>
          <w:p w14:paraId="7E7CE789" w14:textId="77777777" w:rsidR="00F325A3" w:rsidRDefault="00F325A3" w:rsidP="00F325A3">
            <w:pPr>
              <w:jc w:val="center"/>
              <w:rPr>
                <w:rFonts w:ascii="Times" w:hAnsi="Times"/>
              </w:rPr>
            </w:pPr>
          </w:p>
        </w:tc>
        <w:tc>
          <w:tcPr>
            <w:tcW w:w="1408" w:type="dxa"/>
            <w:tcBorders>
              <w:top w:val="single" w:sz="4" w:space="0" w:color="auto"/>
              <w:bottom w:val="single" w:sz="4" w:space="0" w:color="auto"/>
            </w:tcBorders>
            <w:vAlign w:val="center"/>
          </w:tcPr>
          <w:p w14:paraId="18CB6A5C" w14:textId="36D20A93" w:rsidR="00F325A3" w:rsidRPr="001E59D2" w:rsidRDefault="00F325A3" w:rsidP="00F325A3">
            <w:pPr>
              <w:jc w:val="center"/>
              <w:rPr>
                <w:rFonts w:ascii="Times" w:hAnsi="Times"/>
              </w:rPr>
            </w:pPr>
            <w:r>
              <w:rPr>
                <w:rFonts w:ascii="Times" w:hAnsi="Times"/>
              </w:rPr>
              <w:t>Mean Difference</w:t>
            </w:r>
          </w:p>
        </w:tc>
        <w:tc>
          <w:tcPr>
            <w:tcW w:w="1917" w:type="dxa"/>
            <w:tcBorders>
              <w:top w:val="single" w:sz="4" w:space="0" w:color="auto"/>
              <w:bottom w:val="single" w:sz="4" w:space="0" w:color="auto"/>
            </w:tcBorders>
            <w:vAlign w:val="center"/>
          </w:tcPr>
          <w:p w14:paraId="4EBBFB00" w14:textId="2FA2853B" w:rsidR="00F325A3" w:rsidRDefault="00F325A3" w:rsidP="00F325A3">
            <w:pPr>
              <w:jc w:val="center"/>
              <w:rPr>
                <w:rFonts w:ascii="Times" w:hAnsi="Times"/>
              </w:rPr>
            </w:pPr>
            <w:r w:rsidRPr="009A23FB">
              <w:rPr>
                <w:rFonts w:ascii="Times" w:hAnsi="Times"/>
                <w:i/>
                <w:iCs/>
              </w:rPr>
              <w:t>p</w:t>
            </w:r>
            <w:r>
              <w:rPr>
                <w:rFonts w:ascii="Times" w:hAnsi="Times"/>
              </w:rPr>
              <w:t xml:space="preserve"> value</w:t>
            </w:r>
          </w:p>
        </w:tc>
        <w:tc>
          <w:tcPr>
            <w:tcW w:w="1913" w:type="dxa"/>
            <w:tcBorders>
              <w:top w:val="single" w:sz="4" w:space="0" w:color="auto"/>
              <w:bottom w:val="single" w:sz="4" w:space="0" w:color="auto"/>
            </w:tcBorders>
            <w:vAlign w:val="center"/>
          </w:tcPr>
          <w:p w14:paraId="1C9915F4" w14:textId="6A144F9D" w:rsidR="00F325A3" w:rsidRPr="001E59D2" w:rsidRDefault="00F325A3" w:rsidP="00F325A3">
            <w:pPr>
              <w:jc w:val="center"/>
              <w:rPr>
                <w:rFonts w:ascii="Times" w:hAnsi="Times"/>
              </w:rPr>
            </w:pPr>
            <w:r>
              <w:rPr>
                <w:rFonts w:ascii="Times" w:hAnsi="Times"/>
              </w:rPr>
              <w:t>Lower Bound</w:t>
            </w:r>
          </w:p>
        </w:tc>
        <w:tc>
          <w:tcPr>
            <w:tcW w:w="1967" w:type="dxa"/>
            <w:tcBorders>
              <w:top w:val="single" w:sz="4" w:space="0" w:color="auto"/>
              <w:bottom w:val="single" w:sz="4" w:space="0" w:color="auto"/>
            </w:tcBorders>
            <w:vAlign w:val="center"/>
          </w:tcPr>
          <w:p w14:paraId="37EBFB25" w14:textId="48BAD735" w:rsidR="00F325A3" w:rsidRPr="00F325A3" w:rsidRDefault="00F325A3" w:rsidP="00F325A3">
            <w:pPr>
              <w:jc w:val="center"/>
              <w:rPr>
                <w:rFonts w:ascii="Times" w:hAnsi="Times"/>
              </w:rPr>
            </w:pPr>
            <w:r>
              <w:rPr>
                <w:rFonts w:ascii="Times" w:hAnsi="Times"/>
              </w:rPr>
              <w:t>Upper Bound</w:t>
            </w:r>
          </w:p>
        </w:tc>
      </w:tr>
      <w:tr w:rsidR="00F325A3" w14:paraId="12A29841" w14:textId="77777777" w:rsidTr="00F325A3">
        <w:trPr>
          <w:trHeight w:val="680"/>
          <w:jc w:val="center"/>
        </w:trPr>
        <w:tc>
          <w:tcPr>
            <w:tcW w:w="1800" w:type="dxa"/>
            <w:tcBorders>
              <w:top w:val="single" w:sz="4" w:space="0" w:color="auto"/>
            </w:tcBorders>
            <w:vAlign w:val="center"/>
          </w:tcPr>
          <w:p w14:paraId="422640E0" w14:textId="184743F5" w:rsidR="00F325A3" w:rsidRPr="00F325A3" w:rsidRDefault="00F325A3" w:rsidP="00F325A3">
            <w:pPr>
              <w:jc w:val="center"/>
              <w:rPr>
                <w:rFonts w:ascii="Times Roman" w:hAnsi="Times Roman" w:cs="Calibri"/>
                <w:color w:val="000000" w:themeColor="text1"/>
                <w:sz w:val="22"/>
                <w:szCs w:val="22"/>
              </w:rPr>
            </w:pPr>
            <w:r w:rsidRPr="00F325A3">
              <w:rPr>
                <w:rFonts w:ascii="Times Roman" w:hAnsi="Times Roman" w:cs="Calibri"/>
                <w:color w:val="000000" w:themeColor="text1"/>
                <w:sz w:val="22"/>
                <w:szCs w:val="22"/>
              </w:rPr>
              <w:t>Rotation-Bench</w:t>
            </w:r>
          </w:p>
        </w:tc>
        <w:tc>
          <w:tcPr>
            <w:tcW w:w="1408" w:type="dxa"/>
            <w:tcBorders>
              <w:top w:val="single" w:sz="4" w:space="0" w:color="auto"/>
            </w:tcBorders>
            <w:vAlign w:val="center"/>
          </w:tcPr>
          <w:p w14:paraId="5093A48B" w14:textId="6D627EB1" w:rsidR="00F325A3" w:rsidRPr="00F325A3" w:rsidRDefault="00016767" w:rsidP="00F325A3">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168.7004</w:t>
            </w:r>
          </w:p>
        </w:tc>
        <w:tc>
          <w:tcPr>
            <w:tcW w:w="1917" w:type="dxa"/>
            <w:tcBorders>
              <w:top w:val="single" w:sz="4" w:space="0" w:color="auto"/>
            </w:tcBorders>
            <w:vAlign w:val="center"/>
          </w:tcPr>
          <w:p w14:paraId="4B1C5A29" w14:textId="76A32B4F" w:rsidR="00F325A3" w:rsidRPr="00F325A3" w:rsidRDefault="00016767" w:rsidP="00F325A3">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.079</w:t>
            </w:r>
          </w:p>
        </w:tc>
        <w:tc>
          <w:tcPr>
            <w:tcW w:w="1913" w:type="dxa"/>
            <w:tcBorders>
              <w:top w:val="single" w:sz="4" w:space="0" w:color="auto"/>
            </w:tcBorders>
            <w:vAlign w:val="center"/>
          </w:tcPr>
          <w:p w14:paraId="19BBC5CB" w14:textId="6CC15BD3" w:rsidR="00F325A3" w:rsidRPr="00F325A3" w:rsidRDefault="00016767" w:rsidP="00F325A3">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-14.98863</w:t>
            </w:r>
          </w:p>
        </w:tc>
        <w:tc>
          <w:tcPr>
            <w:tcW w:w="1967" w:type="dxa"/>
            <w:tcBorders>
              <w:top w:val="single" w:sz="4" w:space="0" w:color="auto"/>
            </w:tcBorders>
            <w:vAlign w:val="center"/>
          </w:tcPr>
          <w:p w14:paraId="539FA9A1" w14:textId="50EC9DAB" w:rsidR="00F325A3" w:rsidRPr="00F325A3" w:rsidRDefault="00016767" w:rsidP="00F325A3">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352.3893</w:t>
            </w:r>
          </w:p>
        </w:tc>
      </w:tr>
      <w:tr w:rsidR="00F325A3" w14:paraId="62E21D12" w14:textId="77777777" w:rsidTr="008D24FB">
        <w:trPr>
          <w:trHeight w:val="680"/>
          <w:jc w:val="center"/>
        </w:trPr>
        <w:tc>
          <w:tcPr>
            <w:tcW w:w="1800" w:type="dxa"/>
            <w:vAlign w:val="center"/>
          </w:tcPr>
          <w:p w14:paraId="02B7A2E0" w14:textId="5474EF62" w:rsidR="00F325A3" w:rsidRPr="00F325A3" w:rsidRDefault="00F325A3" w:rsidP="00F325A3">
            <w:pPr>
              <w:jc w:val="center"/>
              <w:rPr>
                <w:rFonts w:ascii="Times Roman" w:hAnsi="Times Roman" w:cs="Calibri"/>
                <w:color w:val="000000" w:themeColor="text1"/>
                <w:sz w:val="22"/>
                <w:szCs w:val="22"/>
              </w:rPr>
            </w:pPr>
            <w:r w:rsidRPr="00F325A3">
              <w:rPr>
                <w:rFonts w:ascii="Times Roman" w:hAnsi="Times Roman" w:cs="Calibri"/>
                <w:color w:val="000000" w:themeColor="text1"/>
                <w:sz w:val="22"/>
                <w:szCs w:val="22"/>
              </w:rPr>
              <w:t>Starter-Bench</w:t>
            </w:r>
          </w:p>
        </w:tc>
        <w:tc>
          <w:tcPr>
            <w:tcW w:w="1408" w:type="dxa"/>
            <w:vAlign w:val="center"/>
          </w:tcPr>
          <w:p w14:paraId="59F013C3" w14:textId="2069983E" w:rsidR="00F325A3" w:rsidRPr="00F325A3" w:rsidRDefault="00016767" w:rsidP="00F325A3">
            <w:pPr>
              <w:jc w:val="center"/>
              <w:rPr>
                <w:rFonts w:ascii="Times" w:hAnsi="Times"/>
                <w:color w:val="000000" w:themeColor="text1"/>
                <w:sz w:val="22"/>
                <w:szCs w:val="22"/>
              </w:rPr>
            </w:pPr>
            <w:r w:rsidRPr="00016767">
              <w:rPr>
                <w:rFonts w:ascii="Times Roman" w:hAnsi="Times Roman" w:cs="Calibri"/>
                <w:color w:val="000000" w:themeColor="text1"/>
                <w:sz w:val="22"/>
                <w:szCs w:val="22"/>
              </w:rPr>
              <w:t>543.8801</w:t>
            </w:r>
          </w:p>
        </w:tc>
        <w:tc>
          <w:tcPr>
            <w:tcW w:w="1917" w:type="dxa"/>
            <w:vAlign w:val="center"/>
          </w:tcPr>
          <w:p w14:paraId="6A32F602" w14:textId="0E024450" w:rsidR="00F325A3" w:rsidRPr="00F325A3" w:rsidRDefault="00016767" w:rsidP="00F325A3">
            <w:pPr>
              <w:jc w:val="center"/>
              <w:rPr>
                <w:rFonts w:ascii="Times Roman" w:hAnsi="Times Roman" w:cs="Calibri"/>
                <w:color w:val="000000" w:themeColor="text1"/>
                <w:sz w:val="22"/>
                <w:szCs w:val="22"/>
              </w:rPr>
            </w:pPr>
            <w:r>
              <w:rPr>
                <w:rFonts w:ascii="Times Roman" w:hAnsi="Times Roman" w:cs="Calibri"/>
                <w:color w:val="000000" w:themeColor="text1"/>
                <w:sz w:val="22"/>
                <w:szCs w:val="22"/>
              </w:rPr>
              <w:t>&lt;.001</w:t>
            </w:r>
            <w:r w:rsidR="008D24FB">
              <w:rPr>
                <w:rFonts w:ascii="Times Roman" w:hAnsi="Times Roman" w:cs="Calibri"/>
                <w:color w:val="000000" w:themeColor="text1"/>
                <w:sz w:val="22"/>
                <w:szCs w:val="22"/>
              </w:rPr>
              <w:t>*</w:t>
            </w:r>
          </w:p>
        </w:tc>
        <w:tc>
          <w:tcPr>
            <w:tcW w:w="1913" w:type="dxa"/>
            <w:vAlign w:val="center"/>
          </w:tcPr>
          <w:p w14:paraId="40149739" w14:textId="080376F9" w:rsidR="00F325A3" w:rsidRPr="00F325A3" w:rsidRDefault="00016767" w:rsidP="00F325A3">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360.96909</w:t>
            </w:r>
          </w:p>
        </w:tc>
        <w:tc>
          <w:tcPr>
            <w:tcW w:w="1967" w:type="dxa"/>
            <w:vAlign w:val="center"/>
          </w:tcPr>
          <w:p w14:paraId="70FA4025" w14:textId="07F7F3FF" w:rsidR="00F325A3" w:rsidRPr="00F325A3" w:rsidRDefault="00016767" w:rsidP="00F325A3">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726.7910</w:t>
            </w:r>
          </w:p>
        </w:tc>
      </w:tr>
      <w:tr w:rsidR="00F325A3" w14:paraId="0E32AF48" w14:textId="77777777" w:rsidTr="008D24FB">
        <w:trPr>
          <w:trHeight w:val="680"/>
          <w:jc w:val="center"/>
        </w:trPr>
        <w:tc>
          <w:tcPr>
            <w:tcW w:w="1800" w:type="dxa"/>
            <w:tcBorders>
              <w:bottom w:val="single" w:sz="4" w:space="0" w:color="auto"/>
            </w:tcBorders>
            <w:vAlign w:val="center"/>
          </w:tcPr>
          <w:p w14:paraId="75307136" w14:textId="517C8DA4" w:rsidR="00F325A3" w:rsidRPr="00F325A3" w:rsidRDefault="00F325A3" w:rsidP="00F325A3">
            <w:pPr>
              <w:jc w:val="center"/>
              <w:rPr>
                <w:rFonts w:ascii="Times Roman" w:hAnsi="Times Roman" w:cs="Calibri"/>
                <w:color w:val="000000" w:themeColor="text1"/>
                <w:sz w:val="22"/>
                <w:szCs w:val="22"/>
              </w:rPr>
            </w:pPr>
            <w:r w:rsidRPr="00F325A3">
              <w:rPr>
                <w:rFonts w:ascii="Times Roman" w:hAnsi="Times Roman" w:cs="Calibri"/>
                <w:color w:val="000000" w:themeColor="text1"/>
                <w:sz w:val="22"/>
                <w:szCs w:val="22"/>
              </w:rPr>
              <w:t>Starter-Rotation</w:t>
            </w:r>
          </w:p>
        </w:tc>
        <w:tc>
          <w:tcPr>
            <w:tcW w:w="1408" w:type="dxa"/>
            <w:tcBorders>
              <w:bottom w:val="single" w:sz="4" w:space="0" w:color="auto"/>
            </w:tcBorders>
            <w:vAlign w:val="center"/>
          </w:tcPr>
          <w:p w14:paraId="5E742199" w14:textId="4E582054" w:rsidR="00F325A3" w:rsidRPr="00F325A3" w:rsidRDefault="00016767" w:rsidP="00F325A3">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375.1797</w:t>
            </w:r>
          </w:p>
        </w:tc>
        <w:tc>
          <w:tcPr>
            <w:tcW w:w="1917" w:type="dxa"/>
            <w:tcBorders>
              <w:bottom w:val="single" w:sz="4" w:space="0" w:color="auto"/>
            </w:tcBorders>
            <w:vAlign w:val="center"/>
          </w:tcPr>
          <w:p w14:paraId="2839C386" w14:textId="25DD142E" w:rsidR="00F325A3" w:rsidRPr="00F325A3" w:rsidRDefault="00016767" w:rsidP="00F325A3">
            <w:pPr>
              <w:jc w:val="center"/>
              <w:rPr>
                <w:rFonts w:ascii="Times Roman" w:hAnsi="Times Roman" w:cs="Calibri"/>
                <w:color w:val="000000" w:themeColor="text1"/>
                <w:sz w:val="22"/>
                <w:szCs w:val="22"/>
              </w:rPr>
            </w:pPr>
            <w:r>
              <w:rPr>
                <w:rFonts w:ascii="Times Roman" w:hAnsi="Times Roman" w:cs="Calibri"/>
                <w:color w:val="000000" w:themeColor="text1"/>
                <w:sz w:val="22"/>
                <w:szCs w:val="22"/>
              </w:rPr>
              <w:t>&lt;.001</w:t>
            </w:r>
            <w:r w:rsidR="008D24FB">
              <w:rPr>
                <w:rFonts w:ascii="Times Roman" w:hAnsi="Times Roman" w:cs="Calibri"/>
                <w:color w:val="000000" w:themeColor="text1"/>
                <w:sz w:val="22"/>
                <w:szCs w:val="22"/>
              </w:rPr>
              <w:t>*</w:t>
            </w:r>
          </w:p>
        </w:tc>
        <w:tc>
          <w:tcPr>
            <w:tcW w:w="1913" w:type="dxa"/>
            <w:tcBorders>
              <w:bottom w:val="single" w:sz="4" w:space="0" w:color="auto"/>
            </w:tcBorders>
            <w:vAlign w:val="center"/>
          </w:tcPr>
          <w:p w14:paraId="4B0EB675" w14:textId="2D5BDE23" w:rsidR="00F325A3" w:rsidRPr="00F325A3" w:rsidRDefault="00016767" w:rsidP="00F325A3">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203.78028</w:t>
            </w:r>
          </w:p>
        </w:tc>
        <w:tc>
          <w:tcPr>
            <w:tcW w:w="1967" w:type="dxa"/>
            <w:tcBorders>
              <w:bottom w:val="single" w:sz="4" w:space="0" w:color="auto"/>
            </w:tcBorders>
            <w:vAlign w:val="center"/>
          </w:tcPr>
          <w:p w14:paraId="0E7A8AFC" w14:textId="3865ABBF" w:rsidR="00F325A3" w:rsidRPr="00F325A3" w:rsidRDefault="00016767" w:rsidP="00F325A3">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546.5791</w:t>
            </w:r>
          </w:p>
        </w:tc>
      </w:tr>
    </w:tbl>
    <w:p w14:paraId="5A0D2F0C" w14:textId="7BD4674D" w:rsidR="008D24FB" w:rsidRDefault="008D24FB" w:rsidP="00F325A3">
      <w:pPr>
        <w:spacing w:line="480" w:lineRule="auto"/>
        <w:rPr>
          <w:rFonts w:ascii="Times" w:eastAsiaTheme="minorEastAsia" w:hAnsi="Times"/>
        </w:rPr>
      </w:pPr>
      <w:r>
        <w:rPr>
          <w:rFonts w:ascii="Times" w:eastAsiaTheme="minorEastAsia" w:hAnsi="Times"/>
        </w:rPr>
        <w:t xml:space="preserve">   </w:t>
      </w:r>
      <w:r w:rsidRPr="008D24FB">
        <w:rPr>
          <w:rFonts w:ascii="Times" w:eastAsiaTheme="minorEastAsia" w:hAnsi="Times"/>
          <w:i/>
          <w:iCs/>
          <w:sz w:val="20"/>
          <w:szCs w:val="20"/>
        </w:rPr>
        <w:t>Note: * denotes statistical significance</w:t>
      </w:r>
      <w:r w:rsidRPr="008D24FB">
        <w:rPr>
          <w:rFonts w:ascii="Times" w:eastAsiaTheme="minorEastAsia" w:hAnsi="Times"/>
          <w:i/>
          <w:iCs/>
        </w:rPr>
        <w:tab/>
      </w:r>
    </w:p>
    <w:p w14:paraId="1E8BE6A4" w14:textId="77777777" w:rsidR="008D24FB" w:rsidRDefault="008D24FB" w:rsidP="00F325A3">
      <w:pPr>
        <w:spacing w:line="480" w:lineRule="auto"/>
        <w:rPr>
          <w:rFonts w:ascii="Times" w:eastAsiaTheme="minorEastAsia" w:hAnsi="Times"/>
        </w:rPr>
      </w:pPr>
    </w:p>
    <w:p w14:paraId="17E44036" w14:textId="5FF43814" w:rsidR="00EC4CCB" w:rsidRDefault="00EC4CCB" w:rsidP="00EC4CCB">
      <w:pPr>
        <w:spacing w:line="480" w:lineRule="auto"/>
        <w:ind w:firstLine="720"/>
        <w:rPr>
          <w:rFonts w:ascii="Times" w:eastAsiaTheme="minorEastAsia" w:hAnsi="Times"/>
        </w:rPr>
      </w:pPr>
      <w:r w:rsidRPr="00EC4CCB">
        <w:rPr>
          <w:rFonts w:ascii="Times" w:eastAsiaTheme="minorEastAsia" w:hAnsi="Times"/>
        </w:rPr>
        <w:t>These results suggest that the</w:t>
      </w:r>
      <w:r>
        <w:rPr>
          <w:rFonts w:ascii="Times" w:eastAsiaTheme="minorEastAsia" w:hAnsi="Times"/>
        </w:rPr>
        <w:t xml:space="preserve"> </w:t>
      </w:r>
      <w:r w:rsidR="000839A1">
        <w:rPr>
          <w:rFonts w:ascii="Times" w:eastAsiaTheme="minorEastAsia" w:hAnsi="Times"/>
        </w:rPr>
        <w:t>Starter</w:t>
      </w:r>
      <w:r w:rsidRPr="00EC4CCB">
        <w:rPr>
          <w:rFonts w:ascii="Times" w:eastAsiaTheme="minorEastAsia" w:hAnsi="Times"/>
        </w:rPr>
        <w:t xml:space="preserve"> category has a significantly higher mean value than both the </w:t>
      </w:r>
      <w:r w:rsidR="000839A1">
        <w:rPr>
          <w:rFonts w:ascii="Times" w:eastAsiaTheme="minorEastAsia" w:hAnsi="Times"/>
        </w:rPr>
        <w:t>Bench</w:t>
      </w:r>
      <w:r w:rsidRPr="00EC4CCB">
        <w:rPr>
          <w:rFonts w:ascii="Times" w:eastAsiaTheme="minorEastAsia" w:hAnsi="Times"/>
        </w:rPr>
        <w:t xml:space="preserve"> and </w:t>
      </w:r>
      <w:r w:rsidR="000839A1">
        <w:rPr>
          <w:rFonts w:ascii="Times" w:eastAsiaTheme="minorEastAsia" w:hAnsi="Times"/>
        </w:rPr>
        <w:t>Rotation</w:t>
      </w:r>
      <w:r w:rsidRPr="00EC4CCB">
        <w:rPr>
          <w:rFonts w:ascii="Times" w:eastAsiaTheme="minorEastAsia" w:hAnsi="Times"/>
        </w:rPr>
        <w:t xml:space="preserve"> </w:t>
      </w:r>
      <w:proofErr w:type="gramStart"/>
      <w:r w:rsidRPr="00EC4CCB">
        <w:rPr>
          <w:rFonts w:ascii="Times" w:eastAsiaTheme="minorEastAsia" w:hAnsi="Times"/>
        </w:rPr>
        <w:t>categories</w:t>
      </w:r>
      <w:r w:rsidR="008D24FB">
        <w:rPr>
          <w:rFonts w:ascii="Times" w:eastAsiaTheme="minorEastAsia" w:hAnsi="Times"/>
        </w:rPr>
        <w:t>, and</w:t>
      </w:r>
      <w:proofErr w:type="gramEnd"/>
      <w:r w:rsidR="008D24FB">
        <w:rPr>
          <w:rFonts w:ascii="Times" w:eastAsiaTheme="minorEastAsia" w:hAnsi="Times"/>
        </w:rPr>
        <w:t xml:space="preserve"> is statistically different from the two other groups.</w:t>
      </w:r>
    </w:p>
    <w:p w14:paraId="50E945B4" w14:textId="4ECC9BD5" w:rsidR="000B4010" w:rsidRDefault="000B4010" w:rsidP="000B4010">
      <w:pPr>
        <w:spacing w:line="480" w:lineRule="auto"/>
        <w:ind w:firstLine="720"/>
        <w:rPr>
          <w:rFonts w:ascii="Times" w:eastAsiaTheme="minorEastAsia" w:hAnsi="Times"/>
        </w:rPr>
      </w:pPr>
      <w:r>
        <w:rPr>
          <w:rFonts w:ascii="Times" w:eastAsiaTheme="minorEastAsia" w:hAnsi="Times"/>
        </w:rPr>
        <w:t xml:space="preserve">Comparisons between monthly averages yielded similar results, where the player category factor was again found to have a significant effect. The results of the ANOVA can be found in Table 6, while Tukey’s HSD comparing differences between groups can be found in Table 7. Significance levels were again set at </w:t>
      </w:r>
      <w:r>
        <w:rPr>
          <w:rFonts w:ascii="Times" w:eastAsiaTheme="minorEastAsia" w:hAnsi="Times"/>
          <w:i/>
          <w:iCs/>
        </w:rPr>
        <w:t>p</w:t>
      </w:r>
      <w:r>
        <w:rPr>
          <w:rFonts w:ascii="Times" w:eastAsiaTheme="minorEastAsia" w:hAnsi="Times"/>
        </w:rPr>
        <w:t xml:space="preserve"> &lt; 0.05 for monthly comparisons between groups. </w:t>
      </w:r>
    </w:p>
    <w:p w14:paraId="1A831A24" w14:textId="77777777" w:rsidR="000B4010" w:rsidRDefault="000B4010" w:rsidP="000B4010">
      <w:pPr>
        <w:spacing w:line="480" w:lineRule="auto"/>
        <w:ind w:firstLine="720"/>
        <w:rPr>
          <w:rFonts w:ascii="Times" w:eastAsiaTheme="minorEastAsia" w:hAnsi="Times"/>
        </w:rPr>
      </w:pPr>
    </w:p>
    <w:p w14:paraId="67CCFF1B" w14:textId="3A60AB28" w:rsidR="000B4010" w:rsidRPr="000B4010" w:rsidRDefault="000B4010" w:rsidP="000B4010">
      <w:pPr>
        <w:pStyle w:val="Caption"/>
        <w:keepNext/>
        <w:jc w:val="center"/>
        <w:rPr>
          <w:rFonts w:ascii="Times" w:hAnsi="Times"/>
          <w:b/>
          <w:bCs/>
          <w:color w:val="000000" w:themeColor="text1"/>
          <w:sz w:val="24"/>
          <w:szCs w:val="24"/>
        </w:rPr>
      </w:pPr>
      <w:r w:rsidRPr="000B4010">
        <w:rPr>
          <w:rFonts w:ascii="Times" w:hAnsi="Times"/>
          <w:b/>
          <w:bCs/>
          <w:color w:val="000000" w:themeColor="text1"/>
          <w:sz w:val="24"/>
          <w:szCs w:val="24"/>
        </w:rPr>
        <w:t xml:space="preserve">Table </w:t>
      </w:r>
      <w:r w:rsidRPr="000B4010">
        <w:rPr>
          <w:rFonts w:ascii="Times" w:hAnsi="Times"/>
          <w:b/>
          <w:bCs/>
          <w:color w:val="000000" w:themeColor="text1"/>
          <w:sz w:val="24"/>
          <w:szCs w:val="24"/>
        </w:rPr>
        <w:fldChar w:fldCharType="begin"/>
      </w:r>
      <w:r w:rsidRPr="000B4010">
        <w:rPr>
          <w:rFonts w:ascii="Times" w:hAnsi="Times"/>
          <w:b/>
          <w:bCs/>
          <w:color w:val="000000" w:themeColor="text1"/>
          <w:sz w:val="24"/>
          <w:szCs w:val="24"/>
        </w:rPr>
        <w:instrText xml:space="preserve"> SEQ Table \* ARABIC </w:instrText>
      </w:r>
      <w:r w:rsidRPr="000B4010">
        <w:rPr>
          <w:rFonts w:ascii="Times" w:hAnsi="Times"/>
          <w:b/>
          <w:bCs/>
          <w:color w:val="000000" w:themeColor="text1"/>
          <w:sz w:val="24"/>
          <w:szCs w:val="24"/>
        </w:rPr>
        <w:fldChar w:fldCharType="separate"/>
      </w:r>
      <w:r w:rsidR="006D2D0B">
        <w:rPr>
          <w:rFonts w:ascii="Times" w:hAnsi="Times"/>
          <w:b/>
          <w:bCs/>
          <w:noProof/>
          <w:color w:val="000000" w:themeColor="text1"/>
          <w:sz w:val="24"/>
          <w:szCs w:val="24"/>
        </w:rPr>
        <w:t>3</w:t>
      </w:r>
      <w:r w:rsidRPr="000B4010">
        <w:rPr>
          <w:rFonts w:ascii="Times" w:hAnsi="Times"/>
          <w:b/>
          <w:bCs/>
          <w:color w:val="000000" w:themeColor="text1"/>
          <w:sz w:val="24"/>
          <w:szCs w:val="24"/>
        </w:rPr>
        <w:fldChar w:fldCharType="end"/>
      </w:r>
      <w:r w:rsidRPr="000B4010">
        <w:rPr>
          <w:rFonts w:ascii="Times" w:hAnsi="Times"/>
          <w:b/>
          <w:bCs/>
          <w:color w:val="000000" w:themeColor="text1"/>
          <w:sz w:val="24"/>
          <w:szCs w:val="24"/>
        </w:rPr>
        <w:t xml:space="preserve">. </w:t>
      </w:r>
      <w:r>
        <w:rPr>
          <w:rFonts w:ascii="Times" w:hAnsi="Times"/>
          <w:b/>
          <w:bCs/>
          <w:color w:val="000000" w:themeColor="text1"/>
          <w:sz w:val="24"/>
          <w:szCs w:val="24"/>
        </w:rPr>
        <w:t>ANOVA</w:t>
      </w:r>
      <w:r w:rsidRPr="000B4010">
        <w:rPr>
          <w:rFonts w:ascii="Times" w:hAnsi="Times"/>
          <w:b/>
          <w:bCs/>
          <w:color w:val="000000" w:themeColor="text1"/>
          <w:sz w:val="24"/>
          <w:szCs w:val="24"/>
        </w:rPr>
        <w:t xml:space="preserve"> Results for Monthly Average PL</w:t>
      </w:r>
    </w:p>
    <w:tbl>
      <w:tblPr>
        <w:tblStyle w:val="TableGrid"/>
        <w:tblW w:w="95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260"/>
        <w:gridCol w:w="1667"/>
        <w:gridCol w:w="1663"/>
        <w:gridCol w:w="1170"/>
        <w:gridCol w:w="2237"/>
      </w:tblGrid>
      <w:tr w:rsidR="000B4010" w14:paraId="1E202168" w14:textId="77777777" w:rsidTr="000B4010">
        <w:trPr>
          <w:trHeight w:val="627"/>
          <w:jc w:val="center"/>
        </w:trPr>
        <w:tc>
          <w:tcPr>
            <w:tcW w:w="1530" w:type="dxa"/>
            <w:tcBorders>
              <w:top w:val="single" w:sz="4" w:space="0" w:color="auto"/>
              <w:bottom w:val="single" w:sz="4" w:space="0" w:color="auto"/>
            </w:tcBorders>
          </w:tcPr>
          <w:p w14:paraId="6EA24322" w14:textId="77777777" w:rsidR="000B4010" w:rsidRPr="00F325A3" w:rsidRDefault="000B4010" w:rsidP="000B4010">
            <w:pPr>
              <w:jc w:val="center"/>
              <w:rPr>
                <w:rFonts w:ascii="Times" w:hAnsi="Times"/>
                <w:sz w:val="22"/>
                <w:szCs w:val="22"/>
              </w:rPr>
            </w:pPr>
          </w:p>
        </w:tc>
        <w:tc>
          <w:tcPr>
            <w:tcW w:w="1260" w:type="dxa"/>
            <w:tcBorders>
              <w:top w:val="single" w:sz="4" w:space="0" w:color="auto"/>
              <w:bottom w:val="single" w:sz="4" w:space="0" w:color="auto"/>
            </w:tcBorders>
            <w:vAlign w:val="center"/>
          </w:tcPr>
          <w:p w14:paraId="61F65A46" w14:textId="77777777" w:rsidR="000B4010" w:rsidRPr="00F325A3" w:rsidRDefault="000B4010" w:rsidP="000B4010">
            <w:pPr>
              <w:jc w:val="center"/>
              <w:rPr>
                <w:rFonts w:ascii="Times" w:hAnsi="Times"/>
                <w:sz w:val="22"/>
                <w:szCs w:val="22"/>
              </w:rPr>
            </w:pPr>
            <w:r w:rsidRPr="00F325A3">
              <w:rPr>
                <w:rFonts w:ascii="Times" w:hAnsi="Times"/>
                <w:sz w:val="22"/>
                <w:szCs w:val="22"/>
              </w:rPr>
              <w:t>Df</w:t>
            </w:r>
          </w:p>
        </w:tc>
        <w:tc>
          <w:tcPr>
            <w:tcW w:w="1667" w:type="dxa"/>
            <w:tcBorders>
              <w:top w:val="single" w:sz="4" w:space="0" w:color="auto"/>
              <w:bottom w:val="single" w:sz="4" w:space="0" w:color="auto"/>
            </w:tcBorders>
            <w:vAlign w:val="center"/>
          </w:tcPr>
          <w:p w14:paraId="42F21110" w14:textId="77777777" w:rsidR="000B4010" w:rsidRPr="00F325A3" w:rsidRDefault="000B4010" w:rsidP="000B4010">
            <w:pPr>
              <w:jc w:val="center"/>
              <w:rPr>
                <w:rFonts w:ascii="Times" w:hAnsi="Times"/>
                <w:sz w:val="22"/>
                <w:szCs w:val="22"/>
              </w:rPr>
            </w:pPr>
            <w:r w:rsidRPr="00F325A3">
              <w:rPr>
                <w:rFonts w:ascii="Times" w:hAnsi="Times"/>
                <w:sz w:val="22"/>
                <w:szCs w:val="22"/>
              </w:rPr>
              <w:t>Sum of Squares</w:t>
            </w:r>
          </w:p>
        </w:tc>
        <w:tc>
          <w:tcPr>
            <w:tcW w:w="1663" w:type="dxa"/>
            <w:tcBorders>
              <w:top w:val="single" w:sz="4" w:space="0" w:color="auto"/>
              <w:bottom w:val="single" w:sz="4" w:space="0" w:color="auto"/>
            </w:tcBorders>
            <w:vAlign w:val="center"/>
          </w:tcPr>
          <w:p w14:paraId="5B856049" w14:textId="77777777" w:rsidR="000B4010" w:rsidRPr="00F325A3" w:rsidRDefault="000B4010" w:rsidP="000B4010">
            <w:pPr>
              <w:jc w:val="center"/>
              <w:rPr>
                <w:rFonts w:ascii="Times" w:hAnsi="Times"/>
                <w:sz w:val="22"/>
                <w:szCs w:val="22"/>
              </w:rPr>
            </w:pPr>
            <w:r w:rsidRPr="00F325A3">
              <w:rPr>
                <w:rFonts w:ascii="Times" w:hAnsi="Times"/>
                <w:sz w:val="22"/>
                <w:szCs w:val="22"/>
              </w:rPr>
              <w:t>Mean Square</w:t>
            </w:r>
          </w:p>
        </w:tc>
        <w:tc>
          <w:tcPr>
            <w:tcW w:w="1170" w:type="dxa"/>
            <w:tcBorders>
              <w:top w:val="single" w:sz="4" w:space="0" w:color="auto"/>
              <w:bottom w:val="single" w:sz="4" w:space="0" w:color="auto"/>
            </w:tcBorders>
            <w:vAlign w:val="center"/>
          </w:tcPr>
          <w:p w14:paraId="26CBC9AE" w14:textId="77777777" w:rsidR="000B4010" w:rsidRPr="00F325A3" w:rsidRDefault="000B4010" w:rsidP="000B4010">
            <w:pPr>
              <w:jc w:val="center"/>
              <w:rPr>
                <w:rFonts w:ascii="Times" w:hAnsi="Times"/>
                <w:sz w:val="22"/>
                <w:szCs w:val="22"/>
              </w:rPr>
            </w:pPr>
            <w:r w:rsidRPr="00F325A3">
              <w:rPr>
                <w:rFonts w:ascii="Times" w:hAnsi="Times"/>
                <w:i/>
                <w:iCs/>
                <w:sz w:val="22"/>
                <w:szCs w:val="22"/>
              </w:rPr>
              <w:t>F</w:t>
            </w:r>
          </w:p>
        </w:tc>
        <w:tc>
          <w:tcPr>
            <w:tcW w:w="2237" w:type="dxa"/>
            <w:tcBorders>
              <w:top w:val="single" w:sz="4" w:space="0" w:color="auto"/>
              <w:bottom w:val="single" w:sz="4" w:space="0" w:color="auto"/>
            </w:tcBorders>
            <w:vAlign w:val="center"/>
          </w:tcPr>
          <w:p w14:paraId="7304E708" w14:textId="77777777" w:rsidR="000B4010" w:rsidRPr="00F325A3" w:rsidRDefault="000B4010" w:rsidP="000B4010">
            <w:pPr>
              <w:jc w:val="center"/>
              <w:rPr>
                <w:rFonts w:ascii="Times" w:hAnsi="Times"/>
                <w:sz w:val="22"/>
                <w:szCs w:val="22"/>
              </w:rPr>
            </w:pPr>
            <w:r w:rsidRPr="00F325A3">
              <w:rPr>
                <w:rFonts w:ascii="Times" w:hAnsi="Times"/>
                <w:i/>
                <w:iCs/>
                <w:sz w:val="22"/>
                <w:szCs w:val="22"/>
              </w:rPr>
              <w:t>p</w:t>
            </w:r>
            <w:r w:rsidRPr="00F325A3">
              <w:rPr>
                <w:rFonts w:ascii="Times" w:hAnsi="Times"/>
                <w:sz w:val="22"/>
                <w:szCs w:val="22"/>
              </w:rPr>
              <w:t xml:space="preserve"> value</w:t>
            </w:r>
          </w:p>
        </w:tc>
      </w:tr>
      <w:tr w:rsidR="000B4010" w14:paraId="27A3C27A" w14:textId="77777777" w:rsidTr="008D24FB">
        <w:trPr>
          <w:trHeight w:val="627"/>
          <w:jc w:val="center"/>
        </w:trPr>
        <w:tc>
          <w:tcPr>
            <w:tcW w:w="1530" w:type="dxa"/>
            <w:tcBorders>
              <w:top w:val="single" w:sz="4" w:space="0" w:color="auto"/>
            </w:tcBorders>
            <w:vAlign w:val="center"/>
          </w:tcPr>
          <w:p w14:paraId="51AE643A" w14:textId="77777777" w:rsidR="000B4010" w:rsidRPr="00F325A3" w:rsidRDefault="000B4010" w:rsidP="000B4010">
            <w:pPr>
              <w:jc w:val="center"/>
              <w:rPr>
                <w:rFonts w:ascii="Times" w:hAnsi="Times" w:cs="Calibri"/>
                <w:color w:val="000000"/>
                <w:sz w:val="22"/>
                <w:szCs w:val="22"/>
              </w:rPr>
            </w:pPr>
            <w:r w:rsidRPr="00F325A3">
              <w:rPr>
                <w:rFonts w:ascii="Times" w:hAnsi="Times" w:cs="Calibri"/>
                <w:color w:val="000000"/>
                <w:sz w:val="22"/>
                <w:szCs w:val="22"/>
              </w:rPr>
              <w:t>Category</w:t>
            </w:r>
          </w:p>
        </w:tc>
        <w:tc>
          <w:tcPr>
            <w:tcW w:w="1260" w:type="dxa"/>
            <w:tcBorders>
              <w:top w:val="single" w:sz="4" w:space="0" w:color="auto"/>
            </w:tcBorders>
            <w:vAlign w:val="center"/>
          </w:tcPr>
          <w:p w14:paraId="2A47EFEB" w14:textId="77777777" w:rsidR="000B4010" w:rsidRPr="00F325A3" w:rsidRDefault="000B4010" w:rsidP="000B4010">
            <w:pPr>
              <w:jc w:val="center"/>
              <w:rPr>
                <w:rFonts w:ascii="Times" w:hAnsi="Times" w:cs="Calibri"/>
                <w:color w:val="000000"/>
                <w:sz w:val="22"/>
                <w:szCs w:val="22"/>
              </w:rPr>
            </w:pPr>
            <w:r w:rsidRPr="00F325A3">
              <w:rPr>
                <w:rFonts w:ascii="Times" w:hAnsi="Times" w:cs="Calibri"/>
                <w:color w:val="000000"/>
                <w:sz w:val="22"/>
                <w:szCs w:val="22"/>
              </w:rPr>
              <w:t>2</w:t>
            </w:r>
          </w:p>
        </w:tc>
        <w:tc>
          <w:tcPr>
            <w:tcW w:w="1667" w:type="dxa"/>
            <w:tcBorders>
              <w:top w:val="single" w:sz="4" w:space="0" w:color="auto"/>
            </w:tcBorders>
            <w:vAlign w:val="center"/>
          </w:tcPr>
          <w:p w14:paraId="24CBE4F6" w14:textId="2F7A9FB8" w:rsidR="000B4010" w:rsidRPr="00F325A3" w:rsidRDefault="00016767" w:rsidP="000B4010">
            <w:pPr>
              <w:jc w:val="center"/>
              <w:rPr>
                <w:rFonts w:ascii="Times" w:hAnsi="Times" w:cs="Calibri"/>
                <w:color w:val="000000"/>
                <w:sz w:val="22"/>
                <w:szCs w:val="22"/>
              </w:rPr>
            </w:pPr>
            <w:r w:rsidRPr="00016767">
              <w:rPr>
                <w:rFonts w:ascii="Times" w:hAnsi="Times" w:cs="Calibri"/>
                <w:color w:val="000000"/>
                <w:sz w:val="22"/>
                <w:szCs w:val="22"/>
              </w:rPr>
              <w:t>68231669</w:t>
            </w:r>
          </w:p>
        </w:tc>
        <w:tc>
          <w:tcPr>
            <w:tcW w:w="1663" w:type="dxa"/>
            <w:tcBorders>
              <w:top w:val="single" w:sz="4" w:space="0" w:color="auto"/>
            </w:tcBorders>
            <w:vAlign w:val="center"/>
          </w:tcPr>
          <w:p w14:paraId="3D1B7BFF" w14:textId="0E4E2DD0" w:rsidR="000B4010" w:rsidRPr="00F325A3" w:rsidRDefault="00016767" w:rsidP="000B4010">
            <w:pPr>
              <w:jc w:val="center"/>
              <w:rPr>
                <w:rFonts w:ascii="Times" w:hAnsi="Times" w:cs="Calibri"/>
                <w:color w:val="000000"/>
                <w:sz w:val="22"/>
                <w:szCs w:val="22"/>
              </w:rPr>
            </w:pPr>
            <w:r w:rsidRPr="00016767">
              <w:rPr>
                <w:rFonts w:ascii="Times" w:hAnsi="Times" w:cs="Calibri"/>
                <w:color w:val="000000"/>
                <w:sz w:val="22"/>
                <w:szCs w:val="22"/>
              </w:rPr>
              <w:t>34115835</w:t>
            </w:r>
          </w:p>
        </w:tc>
        <w:tc>
          <w:tcPr>
            <w:tcW w:w="1170" w:type="dxa"/>
            <w:tcBorders>
              <w:top w:val="single" w:sz="4" w:space="0" w:color="auto"/>
            </w:tcBorders>
            <w:vAlign w:val="center"/>
          </w:tcPr>
          <w:p w14:paraId="6270BC2D" w14:textId="6840417A" w:rsidR="000B4010" w:rsidRPr="00F325A3" w:rsidRDefault="00016767" w:rsidP="000B4010">
            <w:pPr>
              <w:jc w:val="center"/>
              <w:rPr>
                <w:rFonts w:ascii="Times" w:hAnsi="Times" w:cs="Calibri"/>
                <w:color w:val="000000"/>
                <w:sz w:val="22"/>
                <w:szCs w:val="22"/>
              </w:rPr>
            </w:pPr>
            <w:r w:rsidRPr="00016767">
              <w:rPr>
                <w:rFonts w:ascii="Times" w:hAnsi="Times" w:cs="Calibri"/>
                <w:color w:val="000000"/>
                <w:sz w:val="22"/>
                <w:szCs w:val="22"/>
              </w:rPr>
              <w:t>7.682</w:t>
            </w:r>
          </w:p>
        </w:tc>
        <w:tc>
          <w:tcPr>
            <w:tcW w:w="2237" w:type="dxa"/>
            <w:tcBorders>
              <w:top w:val="single" w:sz="4" w:space="0" w:color="auto"/>
            </w:tcBorders>
            <w:vAlign w:val="center"/>
          </w:tcPr>
          <w:p w14:paraId="19F002AF" w14:textId="61BE0CF2" w:rsidR="000B4010" w:rsidRPr="00F325A3" w:rsidRDefault="00016767" w:rsidP="000B4010">
            <w:pPr>
              <w:jc w:val="center"/>
              <w:rPr>
                <w:rFonts w:ascii="Times" w:hAnsi="Times" w:cs="Calibri"/>
                <w:color w:val="000000"/>
                <w:sz w:val="22"/>
                <w:szCs w:val="22"/>
              </w:rPr>
            </w:pPr>
            <w:r>
              <w:rPr>
                <w:rFonts w:ascii="Times" w:hAnsi="Times" w:cs="Calibri"/>
                <w:color w:val="000000"/>
                <w:sz w:val="22"/>
                <w:szCs w:val="22"/>
              </w:rPr>
              <w:t>&lt;.001</w:t>
            </w:r>
          </w:p>
        </w:tc>
      </w:tr>
      <w:tr w:rsidR="000B4010" w14:paraId="751C6816" w14:textId="77777777" w:rsidTr="008D24FB">
        <w:trPr>
          <w:trHeight w:val="627"/>
          <w:jc w:val="center"/>
        </w:trPr>
        <w:tc>
          <w:tcPr>
            <w:tcW w:w="1530" w:type="dxa"/>
            <w:tcBorders>
              <w:bottom w:val="single" w:sz="4" w:space="0" w:color="auto"/>
            </w:tcBorders>
            <w:vAlign w:val="center"/>
          </w:tcPr>
          <w:p w14:paraId="50688010" w14:textId="77777777" w:rsidR="000B4010" w:rsidRPr="00F325A3" w:rsidRDefault="000B4010" w:rsidP="000B4010">
            <w:pPr>
              <w:jc w:val="center"/>
              <w:rPr>
                <w:rFonts w:ascii="Times" w:hAnsi="Times" w:cs="Calibri"/>
                <w:color w:val="000000"/>
                <w:sz w:val="22"/>
                <w:szCs w:val="22"/>
              </w:rPr>
            </w:pPr>
            <w:r w:rsidRPr="00F325A3">
              <w:rPr>
                <w:rFonts w:ascii="Times" w:hAnsi="Times" w:cs="Calibri"/>
                <w:color w:val="000000"/>
                <w:sz w:val="22"/>
                <w:szCs w:val="22"/>
              </w:rPr>
              <w:t>Residuals</w:t>
            </w:r>
          </w:p>
        </w:tc>
        <w:tc>
          <w:tcPr>
            <w:tcW w:w="1260" w:type="dxa"/>
            <w:tcBorders>
              <w:bottom w:val="single" w:sz="4" w:space="0" w:color="auto"/>
            </w:tcBorders>
            <w:vAlign w:val="center"/>
          </w:tcPr>
          <w:p w14:paraId="5405B310" w14:textId="724C2795" w:rsidR="000B4010" w:rsidRPr="00F325A3" w:rsidRDefault="000B4010" w:rsidP="000B4010">
            <w:pPr>
              <w:jc w:val="center"/>
              <w:rPr>
                <w:rFonts w:ascii="Times" w:hAnsi="Times"/>
                <w:sz w:val="22"/>
                <w:szCs w:val="22"/>
              </w:rPr>
            </w:pPr>
            <w:r>
              <w:rPr>
                <w:rFonts w:ascii="Times" w:hAnsi="Times" w:cs="Calibri"/>
                <w:color w:val="000000"/>
                <w:sz w:val="22"/>
                <w:szCs w:val="22"/>
              </w:rPr>
              <w:t>135</w:t>
            </w:r>
          </w:p>
        </w:tc>
        <w:tc>
          <w:tcPr>
            <w:tcW w:w="1667" w:type="dxa"/>
            <w:tcBorders>
              <w:bottom w:val="single" w:sz="4" w:space="0" w:color="auto"/>
            </w:tcBorders>
            <w:vAlign w:val="center"/>
          </w:tcPr>
          <w:p w14:paraId="79B35110" w14:textId="53039D58" w:rsidR="000B4010" w:rsidRPr="00F325A3" w:rsidRDefault="00016767" w:rsidP="000B4010">
            <w:pPr>
              <w:jc w:val="center"/>
              <w:rPr>
                <w:rFonts w:ascii="Times" w:hAnsi="Times" w:cs="Calibri"/>
                <w:color w:val="000000"/>
                <w:sz w:val="22"/>
                <w:szCs w:val="22"/>
              </w:rPr>
            </w:pPr>
            <w:r w:rsidRPr="00016767">
              <w:rPr>
                <w:rFonts w:ascii="Times" w:hAnsi="Times" w:cs="Calibri"/>
                <w:color w:val="000000"/>
                <w:sz w:val="22"/>
                <w:szCs w:val="22"/>
              </w:rPr>
              <w:t>599574588</w:t>
            </w:r>
          </w:p>
        </w:tc>
        <w:tc>
          <w:tcPr>
            <w:tcW w:w="1663" w:type="dxa"/>
            <w:tcBorders>
              <w:bottom w:val="single" w:sz="4" w:space="0" w:color="auto"/>
            </w:tcBorders>
            <w:vAlign w:val="center"/>
          </w:tcPr>
          <w:p w14:paraId="6F39D45C" w14:textId="4CB8155B" w:rsidR="000B4010" w:rsidRPr="00F325A3" w:rsidRDefault="00016767" w:rsidP="000B4010">
            <w:pPr>
              <w:jc w:val="center"/>
              <w:rPr>
                <w:rFonts w:ascii="Times" w:hAnsi="Times" w:cs="Calibri"/>
                <w:color w:val="000000"/>
                <w:sz w:val="22"/>
                <w:szCs w:val="22"/>
              </w:rPr>
            </w:pPr>
            <w:r w:rsidRPr="00016767">
              <w:rPr>
                <w:rFonts w:ascii="Times" w:hAnsi="Times" w:cs="Calibri"/>
                <w:color w:val="000000"/>
                <w:sz w:val="22"/>
                <w:szCs w:val="22"/>
              </w:rPr>
              <w:t>4441293</w:t>
            </w:r>
          </w:p>
        </w:tc>
        <w:tc>
          <w:tcPr>
            <w:tcW w:w="1170" w:type="dxa"/>
            <w:tcBorders>
              <w:bottom w:val="single" w:sz="4" w:space="0" w:color="auto"/>
            </w:tcBorders>
            <w:vAlign w:val="center"/>
          </w:tcPr>
          <w:p w14:paraId="1894CFE0" w14:textId="77777777" w:rsidR="000B4010" w:rsidRPr="00F325A3" w:rsidRDefault="000B4010" w:rsidP="000B4010">
            <w:pPr>
              <w:jc w:val="center"/>
              <w:rPr>
                <w:rFonts w:ascii="Times" w:hAnsi="Times" w:cs="Calibri"/>
                <w:color w:val="000000"/>
                <w:sz w:val="22"/>
                <w:szCs w:val="22"/>
              </w:rPr>
            </w:pPr>
          </w:p>
        </w:tc>
        <w:tc>
          <w:tcPr>
            <w:tcW w:w="2237" w:type="dxa"/>
            <w:tcBorders>
              <w:bottom w:val="single" w:sz="4" w:space="0" w:color="auto"/>
            </w:tcBorders>
            <w:vAlign w:val="center"/>
          </w:tcPr>
          <w:p w14:paraId="1FF780FF" w14:textId="77777777" w:rsidR="000B4010" w:rsidRPr="00F325A3" w:rsidRDefault="000B4010" w:rsidP="000B4010">
            <w:pPr>
              <w:jc w:val="center"/>
              <w:rPr>
                <w:rFonts w:ascii="Times" w:hAnsi="Times"/>
                <w:sz w:val="22"/>
                <w:szCs w:val="22"/>
              </w:rPr>
            </w:pPr>
          </w:p>
        </w:tc>
      </w:tr>
    </w:tbl>
    <w:p w14:paraId="7384DD70" w14:textId="275E6F5E" w:rsidR="000B4010" w:rsidRDefault="008D24FB" w:rsidP="000B4010">
      <w:pPr>
        <w:spacing w:line="480" w:lineRule="auto"/>
        <w:rPr>
          <w:rFonts w:ascii="Times" w:eastAsiaTheme="minorEastAsia" w:hAnsi="Times"/>
        </w:rPr>
      </w:pPr>
      <w:r w:rsidRPr="008D24FB">
        <w:rPr>
          <w:rFonts w:ascii="Times" w:eastAsiaTheme="minorEastAsia" w:hAnsi="Times"/>
          <w:i/>
          <w:iCs/>
          <w:sz w:val="20"/>
          <w:szCs w:val="20"/>
        </w:rPr>
        <w:t>Note: * denotes statistical significance</w:t>
      </w:r>
      <w:r w:rsidRPr="008D24FB">
        <w:rPr>
          <w:rFonts w:ascii="Times" w:eastAsiaTheme="minorEastAsia" w:hAnsi="Times"/>
          <w:i/>
          <w:iCs/>
        </w:rPr>
        <w:tab/>
      </w:r>
    </w:p>
    <w:p w14:paraId="307EB78A" w14:textId="01262CC1" w:rsidR="000B4010" w:rsidRDefault="000B4010" w:rsidP="000B4010">
      <w:pPr>
        <w:spacing w:line="480" w:lineRule="auto"/>
        <w:rPr>
          <w:rFonts w:ascii="Times" w:eastAsiaTheme="minorEastAsia" w:hAnsi="Times"/>
        </w:rPr>
      </w:pPr>
    </w:p>
    <w:p w14:paraId="350F23EB" w14:textId="77777777" w:rsidR="000B4010" w:rsidRDefault="000B4010" w:rsidP="000B4010">
      <w:pPr>
        <w:spacing w:line="480" w:lineRule="auto"/>
        <w:rPr>
          <w:rFonts w:ascii="Times" w:eastAsiaTheme="minorEastAsia" w:hAnsi="Times"/>
        </w:rPr>
      </w:pPr>
    </w:p>
    <w:p w14:paraId="763034A9" w14:textId="4300E8CA" w:rsidR="000B4010" w:rsidRPr="000B4010" w:rsidRDefault="000B4010" w:rsidP="000B4010">
      <w:pPr>
        <w:pStyle w:val="Caption"/>
        <w:keepNext/>
        <w:jc w:val="center"/>
        <w:rPr>
          <w:rFonts w:ascii="Times" w:hAnsi="Times"/>
          <w:b/>
          <w:bCs/>
          <w:color w:val="000000" w:themeColor="text1"/>
          <w:sz w:val="24"/>
          <w:szCs w:val="24"/>
        </w:rPr>
      </w:pPr>
      <w:r w:rsidRPr="000B4010">
        <w:rPr>
          <w:rFonts w:ascii="Times" w:hAnsi="Times"/>
          <w:b/>
          <w:bCs/>
          <w:color w:val="000000" w:themeColor="text1"/>
          <w:sz w:val="24"/>
          <w:szCs w:val="24"/>
        </w:rPr>
        <w:lastRenderedPageBreak/>
        <w:t xml:space="preserve">Table </w:t>
      </w:r>
      <w:r w:rsidRPr="000B4010">
        <w:rPr>
          <w:rFonts w:ascii="Times" w:hAnsi="Times"/>
          <w:b/>
          <w:bCs/>
          <w:color w:val="000000" w:themeColor="text1"/>
          <w:sz w:val="24"/>
          <w:szCs w:val="24"/>
        </w:rPr>
        <w:fldChar w:fldCharType="begin"/>
      </w:r>
      <w:r w:rsidRPr="000B4010">
        <w:rPr>
          <w:rFonts w:ascii="Times" w:hAnsi="Times"/>
          <w:b/>
          <w:bCs/>
          <w:color w:val="000000" w:themeColor="text1"/>
          <w:sz w:val="24"/>
          <w:szCs w:val="24"/>
        </w:rPr>
        <w:instrText xml:space="preserve"> SEQ Table \* ARABIC </w:instrText>
      </w:r>
      <w:r w:rsidRPr="000B4010">
        <w:rPr>
          <w:rFonts w:ascii="Times" w:hAnsi="Times"/>
          <w:b/>
          <w:bCs/>
          <w:color w:val="000000" w:themeColor="text1"/>
          <w:sz w:val="24"/>
          <w:szCs w:val="24"/>
        </w:rPr>
        <w:fldChar w:fldCharType="separate"/>
      </w:r>
      <w:r w:rsidR="006D2D0B">
        <w:rPr>
          <w:rFonts w:ascii="Times" w:hAnsi="Times"/>
          <w:b/>
          <w:bCs/>
          <w:noProof/>
          <w:color w:val="000000" w:themeColor="text1"/>
          <w:sz w:val="24"/>
          <w:szCs w:val="24"/>
        </w:rPr>
        <w:t>4</w:t>
      </w:r>
      <w:r w:rsidRPr="000B4010">
        <w:rPr>
          <w:rFonts w:ascii="Times" w:hAnsi="Times"/>
          <w:b/>
          <w:bCs/>
          <w:color w:val="000000" w:themeColor="text1"/>
          <w:sz w:val="24"/>
          <w:szCs w:val="24"/>
        </w:rPr>
        <w:fldChar w:fldCharType="end"/>
      </w:r>
      <w:r w:rsidRPr="000B4010">
        <w:rPr>
          <w:rFonts w:ascii="Times" w:hAnsi="Times"/>
          <w:b/>
          <w:bCs/>
          <w:color w:val="000000" w:themeColor="text1"/>
          <w:sz w:val="24"/>
          <w:szCs w:val="24"/>
        </w:rPr>
        <w:t>. Tukey's HSD for Monthly Average PL Between Groups</w:t>
      </w:r>
    </w:p>
    <w:tbl>
      <w:tblPr>
        <w:tblStyle w:val="TableGrid"/>
        <w:tblW w:w="90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408"/>
        <w:gridCol w:w="1917"/>
        <w:gridCol w:w="1913"/>
        <w:gridCol w:w="1967"/>
      </w:tblGrid>
      <w:tr w:rsidR="000B4010" w14:paraId="3E6FADA6" w14:textId="77777777" w:rsidTr="000B4010">
        <w:trPr>
          <w:trHeight w:val="680"/>
          <w:jc w:val="center"/>
        </w:trPr>
        <w:tc>
          <w:tcPr>
            <w:tcW w:w="1800" w:type="dxa"/>
            <w:tcBorders>
              <w:bottom w:val="single" w:sz="4" w:space="0" w:color="auto"/>
            </w:tcBorders>
            <w:vAlign w:val="center"/>
          </w:tcPr>
          <w:p w14:paraId="531D25DD" w14:textId="77777777" w:rsidR="000B4010" w:rsidRDefault="000B4010" w:rsidP="000B4010">
            <w:pPr>
              <w:jc w:val="center"/>
              <w:rPr>
                <w:rFonts w:ascii="Times" w:hAnsi="Times"/>
              </w:rPr>
            </w:pPr>
          </w:p>
        </w:tc>
        <w:tc>
          <w:tcPr>
            <w:tcW w:w="1408" w:type="dxa"/>
            <w:tcBorders>
              <w:bottom w:val="single" w:sz="4" w:space="0" w:color="auto"/>
            </w:tcBorders>
            <w:vAlign w:val="center"/>
          </w:tcPr>
          <w:p w14:paraId="20425EF0" w14:textId="77777777" w:rsidR="000B4010" w:rsidRDefault="000B4010" w:rsidP="000B4010">
            <w:pPr>
              <w:jc w:val="center"/>
              <w:rPr>
                <w:rFonts w:ascii="Times" w:hAnsi="Times"/>
              </w:rPr>
            </w:pPr>
          </w:p>
        </w:tc>
        <w:tc>
          <w:tcPr>
            <w:tcW w:w="1917" w:type="dxa"/>
            <w:tcBorders>
              <w:bottom w:val="single" w:sz="4" w:space="0" w:color="auto"/>
            </w:tcBorders>
            <w:vAlign w:val="center"/>
          </w:tcPr>
          <w:p w14:paraId="2D40D3E3" w14:textId="77777777" w:rsidR="000B4010" w:rsidRPr="009A23FB" w:rsidRDefault="000B4010" w:rsidP="000B4010">
            <w:pPr>
              <w:jc w:val="center"/>
              <w:rPr>
                <w:rFonts w:ascii="Times" w:hAnsi="Times"/>
                <w:i/>
                <w:iCs/>
              </w:rPr>
            </w:pPr>
          </w:p>
        </w:tc>
        <w:tc>
          <w:tcPr>
            <w:tcW w:w="3880" w:type="dxa"/>
            <w:gridSpan w:val="2"/>
            <w:tcBorders>
              <w:top w:val="single" w:sz="4" w:space="0" w:color="auto"/>
              <w:bottom w:val="single" w:sz="4" w:space="0" w:color="auto"/>
            </w:tcBorders>
            <w:vAlign w:val="center"/>
          </w:tcPr>
          <w:p w14:paraId="2B0D75DF" w14:textId="77777777" w:rsidR="000B4010" w:rsidRDefault="000B4010" w:rsidP="000B4010">
            <w:pPr>
              <w:jc w:val="center"/>
              <w:rPr>
                <w:rFonts w:ascii="Times" w:hAnsi="Times"/>
              </w:rPr>
            </w:pPr>
            <w:r>
              <w:rPr>
                <w:rFonts w:ascii="Times" w:hAnsi="Times"/>
              </w:rPr>
              <w:t>95% Confidence Interval</w:t>
            </w:r>
          </w:p>
        </w:tc>
      </w:tr>
      <w:tr w:rsidR="000B4010" w14:paraId="4C921FA6" w14:textId="77777777" w:rsidTr="000B4010">
        <w:trPr>
          <w:trHeight w:val="680"/>
          <w:jc w:val="center"/>
        </w:trPr>
        <w:tc>
          <w:tcPr>
            <w:tcW w:w="1800" w:type="dxa"/>
            <w:tcBorders>
              <w:top w:val="single" w:sz="4" w:space="0" w:color="auto"/>
              <w:bottom w:val="single" w:sz="4" w:space="0" w:color="auto"/>
            </w:tcBorders>
            <w:vAlign w:val="center"/>
          </w:tcPr>
          <w:p w14:paraId="5D6597A3" w14:textId="77777777" w:rsidR="000B4010" w:rsidRDefault="000B4010" w:rsidP="000B4010">
            <w:pPr>
              <w:jc w:val="center"/>
              <w:rPr>
                <w:rFonts w:ascii="Times" w:hAnsi="Times"/>
              </w:rPr>
            </w:pPr>
          </w:p>
        </w:tc>
        <w:tc>
          <w:tcPr>
            <w:tcW w:w="1408" w:type="dxa"/>
            <w:tcBorders>
              <w:top w:val="single" w:sz="4" w:space="0" w:color="auto"/>
              <w:bottom w:val="single" w:sz="4" w:space="0" w:color="auto"/>
            </w:tcBorders>
            <w:vAlign w:val="center"/>
          </w:tcPr>
          <w:p w14:paraId="1D773C5B" w14:textId="77777777" w:rsidR="000B4010" w:rsidRPr="001E59D2" w:rsidRDefault="000B4010" w:rsidP="000B4010">
            <w:pPr>
              <w:jc w:val="center"/>
              <w:rPr>
                <w:rFonts w:ascii="Times" w:hAnsi="Times"/>
              </w:rPr>
            </w:pPr>
            <w:r>
              <w:rPr>
                <w:rFonts w:ascii="Times" w:hAnsi="Times"/>
              </w:rPr>
              <w:t>Mean Difference</w:t>
            </w:r>
          </w:p>
        </w:tc>
        <w:tc>
          <w:tcPr>
            <w:tcW w:w="1917" w:type="dxa"/>
            <w:tcBorders>
              <w:top w:val="single" w:sz="4" w:space="0" w:color="auto"/>
              <w:bottom w:val="single" w:sz="4" w:space="0" w:color="auto"/>
            </w:tcBorders>
            <w:vAlign w:val="center"/>
          </w:tcPr>
          <w:p w14:paraId="0253375E" w14:textId="77777777" w:rsidR="000B4010" w:rsidRDefault="000B4010" w:rsidP="000B4010">
            <w:pPr>
              <w:jc w:val="center"/>
              <w:rPr>
                <w:rFonts w:ascii="Times" w:hAnsi="Times"/>
              </w:rPr>
            </w:pPr>
            <w:r w:rsidRPr="009A23FB">
              <w:rPr>
                <w:rFonts w:ascii="Times" w:hAnsi="Times"/>
                <w:i/>
                <w:iCs/>
              </w:rPr>
              <w:t>p</w:t>
            </w:r>
            <w:r>
              <w:rPr>
                <w:rFonts w:ascii="Times" w:hAnsi="Times"/>
              </w:rPr>
              <w:t xml:space="preserve"> value</w:t>
            </w:r>
          </w:p>
        </w:tc>
        <w:tc>
          <w:tcPr>
            <w:tcW w:w="1913" w:type="dxa"/>
            <w:tcBorders>
              <w:top w:val="single" w:sz="4" w:space="0" w:color="auto"/>
              <w:bottom w:val="single" w:sz="4" w:space="0" w:color="auto"/>
            </w:tcBorders>
            <w:vAlign w:val="center"/>
          </w:tcPr>
          <w:p w14:paraId="4D7FCF7D" w14:textId="77777777" w:rsidR="000B4010" w:rsidRPr="001E59D2" w:rsidRDefault="000B4010" w:rsidP="000B4010">
            <w:pPr>
              <w:jc w:val="center"/>
              <w:rPr>
                <w:rFonts w:ascii="Times" w:hAnsi="Times"/>
              </w:rPr>
            </w:pPr>
            <w:r>
              <w:rPr>
                <w:rFonts w:ascii="Times" w:hAnsi="Times"/>
              </w:rPr>
              <w:t>Lower Bound</w:t>
            </w:r>
          </w:p>
        </w:tc>
        <w:tc>
          <w:tcPr>
            <w:tcW w:w="1967" w:type="dxa"/>
            <w:tcBorders>
              <w:top w:val="single" w:sz="4" w:space="0" w:color="auto"/>
              <w:bottom w:val="single" w:sz="4" w:space="0" w:color="auto"/>
            </w:tcBorders>
            <w:vAlign w:val="center"/>
          </w:tcPr>
          <w:p w14:paraId="3B47CD0C" w14:textId="77777777" w:rsidR="000B4010" w:rsidRPr="00F325A3" w:rsidRDefault="000B4010" w:rsidP="000B4010">
            <w:pPr>
              <w:jc w:val="center"/>
              <w:rPr>
                <w:rFonts w:ascii="Times" w:hAnsi="Times"/>
              </w:rPr>
            </w:pPr>
            <w:r>
              <w:rPr>
                <w:rFonts w:ascii="Times" w:hAnsi="Times"/>
              </w:rPr>
              <w:t>Upper Bound</w:t>
            </w:r>
          </w:p>
        </w:tc>
      </w:tr>
      <w:tr w:rsidR="000B4010" w14:paraId="1B6D0528" w14:textId="77777777" w:rsidTr="000B4010">
        <w:trPr>
          <w:trHeight w:val="680"/>
          <w:jc w:val="center"/>
        </w:trPr>
        <w:tc>
          <w:tcPr>
            <w:tcW w:w="1800" w:type="dxa"/>
            <w:tcBorders>
              <w:top w:val="single" w:sz="4" w:space="0" w:color="auto"/>
            </w:tcBorders>
            <w:vAlign w:val="center"/>
          </w:tcPr>
          <w:p w14:paraId="1CD4F86D" w14:textId="77777777" w:rsidR="000B4010" w:rsidRPr="00F325A3" w:rsidRDefault="000B4010" w:rsidP="000B4010">
            <w:pPr>
              <w:jc w:val="center"/>
              <w:rPr>
                <w:rFonts w:ascii="Times Roman" w:hAnsi="Times Roman" w:cs="Calibri"/>
                <w:color w:val="000000" w:themeColor="text1"/>
                <w:sz w:val="22"/>
                <w:szCs w:val="22"/>
              </w:rPr>
            </w:pPr>
            <w:r w:rsidRPr="00F325A3">
              <w:rPr>
                <w:rFonts w:ascii="Times Roman" w:hAnsi="Times Roman" w:cs="Calibri"/>
                <w:color w:val="000000" w:themeColor="text1"/>
                <w:sz w:val="22"/>
                <w:szCs w:val="22"/>
              </w:rPr>
              <w:t>Rotation-Bench</w:t>
            </w:r>
          </w:p>
        </w:tc>
        <w:tc>
          <w:tcPr>
            <w:tcW w:w="1408" w:type="dxa"/>
            <w:tcBorders>
              <w:top w:val="single" w:sz="4" w:space="0" w:color="auto"/>
            </w:tcBorders>
            <w:vAlign w:val="center"/>
          </w:tcPr>
          <w:p w14:paraId="314B2E43" w14:textId="4D181C79" w:rsidR="000B4010" w:rsidRPr="00F325A3" w:rsidRDefault="00016767" w:rsidP="000B4010">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438.4075</w:t>
            </w:r>
          </w:p>
        </w:tc>
        <w:tc>
          <w:tcPr>
            <w:tcW w:w="1917" w:type="dxa"/>
            <w:tcBorders>
              <w:top w:val="single" w:sz="4" w:space="0" w:color="auto"/>
            </w:tcBorders>
            <w:vAlign w:val="center"/>
          </w:tcPr>
          <w:p w14:paraId="2C3A90D0" w14:textId="310934AF" w:rsidR="000B4010" w:rsidRPr="00F325A3" w:rsidRDefault="00016767" w:rsidP="000B4010">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.59</w:t>
            </w:r>
            <w:r>
              <w:rPr>
                <w:rFonts w:ascii="Times Roman" w:hAnsi="Times Roman" w:cs="Calibri"/>
                <w:color w:val="000000" w:themeColor="text1"/>
                <w:sz w:val="22"/>
                <w:szCs w:val="22"/>
              </w:rPr>
              <w:t>9</w:t>
            </w:r>
          </w:p>
        </w:tc>
        <w:tc>
          <w:tcPr>
            <w:tcW w:w="1913" w:type="dxa"/>
            <w:tcBorders>
              <w:top w:val="single" w:sz="4" w:space="0" w:color="auto"/>
            </w:tcBorders>
            <w:vAlign w:val="center"/>
          </w:tcPr>
          <w:p w14:paraId="5DD2588C" w14:textId="4936F889" w:rsidR="000B4010" w:rsidRPr="00F325A3" w:rsidRDefault="00016767" w:rsidP="000B4010">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-636.4215</w:t>
            </w:r>
          </w:p>
        </w:tc>
        <w:tc>
          <w:tcPr>
            <w:tcW w:w="1967" w:type="dxa"/>
            <w:tcBorders>
              <w:top w:val="single" w:sz="4" w:space="0" w:color="auto"/>
            </w:tcBorders>
            <w:vAlign w:val="center"/>
          </w:tcPr>
          <w:p w14:paraId="699BDCA8" w14:textId="5CE98D3D" w:rsidR="000B4010" w:rsidRPr="00F325A3" w:rsidRDefault="00016767" w:rsidP="000B4010">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1513.236</w:t>
            </w:r>
          </w:p>
        </w:tc>
      </w:tr>
      <w:tr w:rsidR="000B4010" w14:paraId="106E15B7" w14:textId="77777777" w:rsidTr="008D24FB">
        <w:trPr>
          <w:trHeight w:val="680"/>
          <w:jc w:val="center"/>
        </w:trPr>
        <w:tc>
          <w:tcPr>
            <w:tcW w:w="1800" w:type="dxa"/>
            <w:vAlign w:val="center"/>
          </w:tcPr>
          <w:p w14:paraId="406B8721" w14:textId="77777777" w:rsidR="000B4010" w:rsidRPr="00F325A3" w:rsidRDefault="000B4010" w:rsidP="000B4010">
            <w:pPr>
              <w:jc w:val="center"/>
              <w:rPr>
                <w:rFonts w:ascii="Times Roman" w:hAnsi="Times Roman" w:cs="Calibri"/>
                <w:color w:val="000000" w:themeColor="text1"/>
                <w:sz w:val="22"/>
                <w:szCs w:val="22"/>
              </w:rPr>
            </w:pPr>
            <w:r w:rsidRPr="00F325A3">
              <w:rPr>
                <w:rFonts w:ascii="Times Roman" w:hAnsi="Times Roman" w:cs="Calibri"/>
                <w:color w:val="000000" w:themeColor="text1"/>
                <w:sz w:val="22"/>
                <w:szCs w:val="22"/>
              </w:rPr>
              <w:t>Starter-Bench</w:t>
            </w:r>
          </w:p>
        </w:tc>
        <w:tc>
          <w:tcPr>
            <w:tcW w:w="1408" w:type="dxa"/>
            <w:vAlign w:val="center"/>
          </w:tcPr>
          <w:p w14:paraId="782BCE48" w14:textId="06DC4577" w:rsidR="000B4010" w:rsidRPr="00F325A3" w:rsidRDefault="00016767" w:rsidP="000B4010">
            <w:pPr>
              <w:jc w:val="center"/>
              <w:rPr>
                <w:rFonts w:ascii="Times" w:hAnsi="Times"/>
                <w:color w:val="000000" w:themeColor="text1"/>
                <w:sz w:val="22"/>
                <w:szCs w:val="22"/>
              </w:rPr>
            </w:pPr>
            <w:r w:rsidRPr="00016767">
              <w:rPr>
                <w:rFonts w:ascii="Times Roman" w:hAnsi="Times Roman" w:cs="Calibri"/>
                <w:color w:val="000000" w:themeColor="text1"/>
                <w:sz w:val="22"/>
                <w:szCs w:val="22"/>
              </w:rPr>
              <w:t>1666.7836</w:t>
            </w:r>
          </w:p>
        </w:tc>
        <w:tc>
          <w:tcPr>
            <w:tcW w:w="1917" w:type="dxa"/>
            <w:vAlign w:val="center"/>
          </w:tcPr>
          <w:p w14:paraId="4395A36E" w14:textId="4B6193B6" w:rsidR="000B4010" w:rsidRPr="00F325A3" w:rsidRDefault="00016767" w:rsidP="000B4010">
            <w:pPr>
              <w:jc w:val="center"/>
              <w:rPr>
                <w:rFonts w:ascii="Times Roman" w:hAnsi="Times Roman" w:cs="Calibri"/>
                <w:color w:val="000000" w:themeColor="text1"/>
                <w:sz w:val="22"/>
                <w:szCs w:val="22"/>
              </w:rPr>
            </w:pPr>
            <w:r>
              <w:rPr>
                <w:rFonts w:ascii="Times Roman" w:hAnsi="Times Roman" w:cs="Calibri"/>
                <w:color w:val="000000" w:themeColor="text1"/>
                <w:sz w:val="22"/>
                <w:szCs w:val="22"/>
              </w:rPr>
              <w:t>&lt;</w:t>
            </w:r>
            <w:r w:rsidRPr="00016767">
              <w:rPr>
                <w:rFonts w:ascii="Times Roman" w:hAnsi="Times Roman" w:cs="Calibri"/>
                <w:color w:val="000000" w:themeColor="text1"/>
                <w:sz w:val="22"/>
                <w:szCs w:val="22"/>
              </w:rPr>
              <w:t>.00</w:t>
            </w:r>
            <w:r>
              <w:rPr>
                <w:rFonts w:ascii="Times Roman" w:hAnsi="Times Roman" w:cs="Calibri"/>
                <w:color w:val="000000" w:themeColor="text1"/>
                <w:sz w:val="22"/>
                <w:szCs w:val="22"/>
              </w:rPr>
              <w:t>1</w:t>
            </w:r>
            <w:r w:rsidR="008D24FB">
              <w:rPr>
                <w:rFonts w:ascii="Times Roman" w:hAnsi="Times Roman" w:cs="Calibri"/>
                <w:color w:val="000000" w:themeColor="text1"/>
                <w:sz w:val="22"/>
                <w:szCs w:val="22"/>
              </w:rPr>
              <w:t>*</w:t>
            </w:r>
          </w:p>
        </w:tc>
        <w:tc>
          <w:tcPr>
            <w:tcW w:w="1913" w:type="dxa"/>
            <w:vAlign w:val="center"/>
          </w:tcPr>
          <w:p w14:paraId="5EAB95CA" w14:textId="796C90C5" w:rsidR="000B4010" w:rsidRPr="00F325A3" w:rsidRDefault="00016767" w:rsidP="000B4010">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591.9546</w:t>
            </w:r>
          </w:p>
        </w:tc>
        <w:tc>
          <w:tcPr>
            <w:tcW w:w="1967" w:type="dxa"/>
            <w:vAlign w:val="center"/>
          </w:tcPr>
          <w:p w14:paraId="779E569F" w14:textId="54FAC5BC" w:rsidR="000B4010" w:rsidRPr="00F325A3" w:rsidRDefault="00016767" w:rsidP="000B4010">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2741.613</w:t>
            </w:r>
          </w:p>
        </w:tc>
      </w:tr>
      <w:tr w:rsidR="008D24FB" w14:paraId="30F243FF" w14:textId="77777777" w:rsidTr="008D24FB">
        <w:trPr>
          <w:trHeight w:val="680"/>
          <w:jc w:val="center"/>
        </w:trPr>
        <w:tc>
          <w:tcPr>
            <w:tcW w:w="1800" w:type="dxa"/>
            <w:tcBorders>
              <w:bottom w:val="single" w:sz="4" w:space="0" w:color="auto"/>
            </w:tcBorders>
            <w:vAlign w:val="center"/>
          </w:tcPr>
          <w:p w14:paraId="6A43BC02" w14:textId="77777777" w:rsidR="008D24FB" w:rsidRPr="00F325A3" w:rsidRDefault="008D24FB" w:rsidP="008D24FB">
            <w:pPr>
              <w:jc w:val="center"/>
              <w:rPr>
                <w:rFonts w:ascii="Times Roman" w:hAnsi="Times Roman" w:cs="Calibri"/>
                <w:color w:val="000000" w:themeColor="text1"/>
                <w:sz w:val="22"/>
                <w:szCs w:val="22"/>
              </w:rPr>
            </w:pPr>
            <w:r w:rsidRPr="00F325A3">
              <w:rPr>
                <w:rFonts w:ascii="Times Roman" w:hAnsi="Times Roman" w:cs="Calibri"/>
                <w:color w:val="000000" w:themeColor="text1"/>
                <w:sz w:val="22"/>
                <w:szCs w:val="22"/>
              </w:rPr>
              <w:t>Starter-Rotation</w:t>
            </w:r>
          </w:p>
        </w:tc>
        <w:tc>
          <w:tcPr>
            <w:tcW w:w="1408" w:type="dxa"/>
            <w:tcBorders>
              <w:bottom w:val="single" w:sz="4" w:space="0" w:color="auto"/>
            </w:tcBorders>
            <w:vAlign w:val="center"/>
          </w:tcPr>
          <w:p w14:paraId="43909136" w14:textId="338093FD" w:rsidR="008D24FB" w:rsidRPr="00F325A3" w:rsidRDefault="00016767" w:rsidP="008D24FB">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1228.3761</w:t>
            </w:r>
          </w:p>
        </w:tc>
        <w:tc>
          <w:tcPr>
            <w:tcW w:w="1917" w:type="dxa"/>
            <w:tcBorders>
              <w:bottom w:val="single" w:sz="4" w:space="0" w:color="auto"/>
            </w:tcBorders>
            <w:vAlign w:val="center"/>
          </w:tcPr>
          <w:p w14:paraId="1C1FA175" w14:textId="66BA30D1" w:rsidR="008D24FB" w:rsidRPr="00F325A3" w:rsidRDefault="00016767" w:rsidP="008D24FB">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0.01</w:t>
            </w:r>
            <w:r w:rsidR="008D24FB">
              <w:rPr>
                <w:rFonts w:ascii="Times Roman" w:hAnsi="Times Roman" w:cs="Calibri"/>
                <w:color w:val="000000" w:themeColor="text1"/>
                <w:sz w:val="22"/>
                <w:szCs w:val="22"/>
              </w:rPr>
              <w:t>*</w:t>
            </w:r>
          </w:p>
        </w:tc>
        <w:tc>
          <w:tcPr>
            <w:tcW w:w="1913" w:type="dxa"/>
            <w:tcBorders>
              <w:bottom w:val="single" w:sz="4" w:space="0" w:color="auto"/>
            </w:tcBorders>
            <w:vAlign w:val="center"/>
          </w:tcPr>
          <w:p w14:paraId="0481BB02" w14:textId="0FEFAEF3" w:rsidR="008D24FB" w:rsidRPr="00F325A3" w:rsidRDefault="00016767" w:rsidP="008D24FB">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229.5157</w:t>
            </w:r>
          </w:p>
        </w:tc>
        <w:tc>
          <w:tcPr>
            <w:tcW w:w="1967" w:type="dxa"/>
            <w:tcBorders>
              <w:bottom w:val="single" w:sz="4" w:space="0" w:color="auto"/>
            </w:tcBorders>
            <w:vAlign w:val="center"/>
          </w:tcPr>
          <w:p w14:paraId="7FEFE35C" w14:textId="79175EC4" w:rsidR="008D24FB" w:rsidRPr="00F325A3" w:rsidRDefault="00016767" w:rsidP="008D24FB">
            <w:pPr>
              <w:jc w:val="center"/>
              <w:rPr>
                <w:rFonts w:ascii="Times Roman" w:hAnsi="Times Roman" w:cs="Calibri"/>
                <w:color w:val="000000" w:themeColor="text1"/>
                <w:sz w:val="22"/>
                <w:szCs w:val="22"/>
              </w:rPr>
            </w:pPr>
            <w:r w:rsidRPr="00016767">
              <w:rPr>
                <w:rFonts w:ascii="Times Roman" w:hAnsi="Times Roman" w:cs="Calibri"/>
                <w:color w:val="000000" w:themeColor="text1"/>
                <w:sz w:val="22"/>
                <w:szCs w:val="22"/>
              </w:rPr>
              <w:t>2227.237</w:t>
            </w:r>
          </w:p>
        </w:tc>
      </w:tr>
    </w:tbl>
    <w:p w14:paraId="58B4E350" w14:textId="46E6D2CF" w:rsidR="008D24FB" w:rsidRPr="008D24FB" w:rsidRDefault="008D24FB" w:rsidP="008D24FB">
      <w:pPr>
        <w:spacing w:line="480" w:lineRule="auto"/>
        <w:rPr>
          <w:rFonts w:ascii="Times" w:eastAsiaTheme="minorEastAsia" w:hAnsi="Times"/>
        </w:rPr>
      </w:pPr>
      <w:r>
        <w:rPr>
          <w:rFonts w:ascii="Times" w:eastAsiaTheme="minorEastAsia" w:hAnsi="Times"/>
        </w:rPr>
        <w:t xml:space="preserve">   </w:t>
      </w:r>
      <w:r w:rsidRPr="008D24FB">
        <w:rPr>
          <w:rFonts w:ascii="Times" w:eastAsiaTheme="minorEastAsia" w:hAnsi="Times"/>
          <w:i/>
          <w:iCs/>
          <w:sz w:val="20"/>
          <w:szCs w:val="20"/>
        </w:rPr>
        <w:t>Note: * denotes statistical significance</w:t>
      </w:r>
      <w:r w:rsidRPr="008D24FB">
        <w:rPr>
          <w:rFonts w:ascii="Times" w:eastAsiaTheme="minorEastAsia" w:hAnsi="Times"/>
          <w:i/>
          <w:iCs/>
        </w:rPr>
        <w:tab/>
      </w:r>
    </w:p>
    <w:p w14:paraId="5E4C86F0" w14:textId="77777777" w:rsidR="008D24FB" w:rsidRPr="008D24FB" w:rsidRDefault="008D24FB" w:rsidP="000B4010">
      <w:pPr>
        <w:spacing w:line="480" w:lineRule="auto"/>
        <w:rPr>
          <w:rFonts w:ascii="Times" w:eastAsiaTheme="minorEastAsia" w:hAnsi="Times"/>
          <w:i/>
          <w:iCs/>
        </w:rPr>
      </w:pPr>
    </w:p>
    <w:p w14:paraId="57E1110F" w14:textId="0C920121" w:rsidR="009B339E" w:rsidRDefault="00EC4CCB" w:rsidP="00214302">
      <w:pPr>
        <w:spacing w:line="480" w:lineRule="auto"/>
        <w:ind w:firstLine="720"/>
        <w:rPr>
          <w:rFonts w:ascii="Times" w:eastAsiaTheme="minorEastAsia" w:hAnsi="Times"/>
        </w:rPr>
      </w:pPr>
      <w:r w:rsidRPr="00EC4CCB">
        <w:rPr>
          <w:rFonts w:ascii="Times" w:eastAsiaTheme="minorEastAsia" w:hAnsi="Times"/>
        </w:rPr>
        <w:t xml:space="preserve">These results </w:t>
      </w:r>
      <w:r w:rsidR="00DB11A3">
        <w:rPr>
          <w:rFonts w:ascii="Times" w:eastAsiaTheme="minorEastAsia" w:hAnsi="Times"/>
        </w:rPr>
        <w:t>demonstrate</w:t>
      </w:r>
      <w:r w:rsidRPr="00EC4CCB">
        <w:rPr>
          <w:rFonts w:ascii="Times" w:eastAsiaTheme="minorEastAsia" w:hAnsi="Times"/>
        </w:rPr>
        <w:t xml:space="preserve"> that the </w:t>
      </w:r>
      <w:r w:rsidR="000839A1">
        <w:rPr>
          <w:rFonts w:ascii="Times" w:eastAsiaTheme="minorEastAsia" w:hAnsi="Times"/>
        </w:rPr>
        <w:t>Starter</w:t>
      </w:r>
      <w:r w:rsidRPr="00EC4CCB">
        <w:rPr>
          <w:rFonts w:ascii="Times" w:eastAsiaTheme="minorEastAsia" w:hAnsi="Times"/>
        </w:rPr>
        <w:t xml:space="preserve"> category has a significantly higher mean value than both the </w:t>
      </w:r>
      <w:r w:rsidR="000839A1">
        <w:rPr>
          <w:rFonts w:ascii="Times" w:eastAsiaTheme="minorEastAsia" w:hAnsi="Times"/>
        </w:rPr>
        <w:t>Bench</w:t>
      </w:r>
      <w:r w:rsidRPr="00EC4CCB">
        <w:rPr>
          <w:rFonts w:ascii="Times" w:eastAsiaTheme="minorEastAsia" w:hAnsi="Times"/>
        </w:rPr>
        <w:t xml:space="preserve"> and </w:t>
      </w:r>
      <w:r w:rsidR="000839A1">
        <w:rPr>
          <w:rFonts w:ascii="Times" w:eastAsiaTheme="minorEastAsia" w:hAnsi="Times"/>
        </w:rPr>
        <w:t>Rotation</w:t>
      </w:r>
      <w:r w:rsidRPr="00EC4CCB">
        <w:rPr>
          <w:rFonts w:ascii="Times" w:eastAsiaTheme="minorEastAsia" w:hAnsi="Times"/>
        </w:rPr>
        <w:t xml:space="preserve"> categories</w:t>
      </w:r>
      <w:r w:rsidR="00DB11A3">
        <w:rPr>
          <w:rFonts w:ascii="Times" w:eastAsiaTheme="minorEastAsia" w:hAnsi="Times"/>
        </w:rPr>
        <w:t xml:space="preserve"> when comparing average monthly PL values. These results</w:t>
      </w:r>
      <w:r w:rsidRPr="00EC4CCB">
        <w:rPr>
          <w:rFonts w:ascii="Times" w:eastAsiaTheme="minorEastAsia" w:hAnsi="Times"/>
        </w:rPr>
        <w:t xml:space="preserve"> confirm the significant influence of the</w:t>
      </w:r>
      <w:r w:rsidR="00DB11A3">
        <w:rPr>
          <w:rFonts w:ascii="Times" w:eastAsiaTheme="minorEastAsia" w:hAnsi="Times"/>
        </w:rPr>
        <w:t xml:space="preserve"> player</w:t>
      </w:r>
      <w:r w:rsidRPr="00EC4CCB">
        <w:rPr>
          <w:rFonts w:ascii="Times" w:eastAsiaTheme="minorEastAsia" w:hAnsi="Times"/>
        </w:rPr>
        <w:t xml:space="preserve"> category factor</w:t>
      </w:r>
      <w:r w:rsidR="00DB11A3">
        <w:rPr>
          <w:rFonts w:ascii="Times" w:eastAsiaTheme="minorEastAsia" w:hAnsi="Times"/>
        </w:rPr>
        <w:t xml:space="preserve"> (and by extension, playing time)</w:t>
      </w:r>
      <w:r w:rsidRPr="00EC4CCB">
        <w:rPr>
          <w:rFonts w:ascii="Times" w:eastAsiaTheme="minorEastAsia" w:hAnsi="Times"/>
        </w:rPr>
        <w:t xml:space="preserve"> on the </w:t>
      </w:r>
      <w:r w:rsidR="00DB11A3">
        <w:rPr>
          <w:rFonts w:ascii="Times" w:eastAsiaTheme="minorEastAsia" w:hAnsi="Times"/>
        </w:rPr>
        <w:t>PL variable, and</w:t>
      </w:r>
      <w:r w:rsidRPr="00EC4CCB">
        <w:rPr>
          <w:rFonts w:ascii="Times" w:eastAsiaTheme="minorEastAsia" w:hAnsi="Times"/>
        </w:rPr>
        <w:t xml:space="preserve"> </w:t>
      </w:r>
      <w:r w:rsidR="00DB11A3">
        <w:rPr>
          <w:rFonts w:ascii="Times" w:eastAsiaTheme="minorEastAsia" w:hAnsi="Times"/>
        </w:rPr>
        <w:t>t</w:t>
      </w:r>
      <w:r w:rsidRPr="00EC4CCB">
        <w:rPr>
          <w:rFonts w:ascii="Times" w:eastAsiaTheme="minorEastAsia" w:hAnsi="Times"/>
        </w:rPr>
        <w:t xml:space="preserve">he </w:t>
      </w:r>
      <w:r w:rsidR="000839A1">
        <w:rPr>
          <w:rFonts w:ascii="Times" w:eastAsiaTheme="minorEastAsia" w:hAnsi="Times"/>
        </w:rPr>
        <w:t>Starter</w:t>
      </w:r>
      <w:r w:rsidRPr="00EC4CCB">
        <w:rPr>
          <w:rFonts w:ascii="Times" w:eastAsiaTheme="minorEastAsia" w:hAnsi="Times"/>
        </w:rPr>
        <w:t xml:space="preserve"> category consistently shows a </w:t>
      </w:r>
      <w:r w:rsidR="008D24FB">
        <w:rPr>
          <w:rFonts w:ascii="Times" w:eastAsiaTheme="minorEastAsia" w:hAnsi="Times"/>
        </w:rPr>
        <w:t>statistically significant difference when compared to the other two categories</w:t>
      </w:r>
      <w:r w:rsidRPr="00EC4CCB">
        <w:rPr>
          <w:rFonts w:ascii="Times" w:eastAsiaTheme="minorEastAsia" w:hAnsi="Times"/>
        </w:rPr>
        <w:t xml:space="preserve"> across both analyses.</w:t>
      </w:r>
      <w:r w:rsidR="00715FC0">
        <w:rPr>
          <w:rFonts w:ascii="Times" w:eastAsiaTheme="minorEastAsia" w:hAnsi="Times"/>
        </w:rPr>
        <w:t xml:space="preserve"> </w:t>
      </w:r>
    </w:p>
    <w:p w14:paraId="5841FF64" w14:textId="77777777" w:rsidR="00214302" w:rsidRPr="00AF66C9" w:rsidRDefault="00214302" w:rsidP="00214302">
      <w:pPr>
        <w:spacing w:line="480" w:lineRule="auto"/>
        <w:ind w:firstLine="720"/>
        <w:rPr>
          <w:rFonts w:ascii="Times" w:eastAsiaTheme="minorEastAsia" w:hAnsi="Times"/>
        </w:rPr>
      </w:pPr>
    </w:p>
    <w:p w14:paraId="4F6B007B" w14:textId="71278D6E" w:rsidR="004C0C81" w:rsidRPr="00214302" w:rsidRDefault="004C0C81" w:rsidP="004C0C81">
      <w:pPr>
        <w:pStyle w:val="Title"/>
        <w:jc w:val="center"/>
        <w:rPr>
          <w:rFonts w:ascii="Times" w:hAnsi="Times" w:cs="Times New Roman"/>
          <w:noProof/>
          <w:color w:val="000000" w:themeColor="text1"/>
          <w:sz w:val="32"/>
          <w:szCs w:val="32"/>
        </w:rPr>
      </w:pPr>
      <w:r w:rsidRPr="00214302">
        <w:rPr>
          <w:rFonts w:ascii="Times" w:hAnsi="Times" w:cs="Times New Roman"/>
          <w:noProof/>
          <w:color w:val="000000" w:themeColor="text1"/>
          <w:sz w:val="32"/>
          <w:szCs w:val="32"/>
        </w:rPr>
        <w:t xml:space="preserve">Chapter </w:t>
      </w:r>
      <w:r w:rsidR="00BE6377" w:rsidRPr="00214302">
        <w:rPr>
          <w:rFonts w:ascii="Times" w:hAnsi="Times" w:cs="Times New Roman"/>
          <w:noProof/>
          <w:color w:val="000000" w:themeColor="text1"/>
          <w:sz w:val="32"/>
          <w:szCs w:val="32"/>
        </w:rPr>
        <w:t>5</w:t>
      </w:r>
      <w:r w:rsidRPr="00214302">
        <w:rPr>
          <w:rFonts w:ascii="Times" w:hAnsi="Times" w:cs="Times New Roman"/>
          <w:noProof/>
          <w:color w:val="000000" w:themeColor="text1"/>
          <w:sz w:val="32"/>
          <w:szCs w:val="32"/>
        </w:rPr>
        <w:t>: Discussion</w:t>
      </w:r>
    </w:p>
    <w:p w14:paraId="2CF05211" w14:textId="24FF4990" w:rsidR="008D1B3E" w:rsidRDefault="008D1B3E" w:rsidP="008D1B3E"/>
    <w:p w14:paraId="78643A8C" w14:textId="022958BB" w:rsidR="004C0C81" w:rsidRDefault="004C0C81" w:rsidP="004C0C81"/>
    <w:p w14:paraId="67E6C49B" w14:textId="11AE50EE" w:rsidR="00AF66C9" w:rsidRDefault="00155642" w:rsidP="00155642">
      <w:pPr>
        <w:spacing w:line="480" w:lineRule="auto"/>
        <w:rPr>
          <w:rFonts w:ascii="Times" w:hAnsi="Times"/>
        </w:rPr>
      </w:pPr>
      <w:r>
        <w:tab/>
      </w:r>
      <w:r>
        <w:rPr>
          <w:rFonts w:ascii="Times" w:hAnsi="Times"/>
        </w:rPr>
        <w:t>The key findings of this study indicate</w:t>
      </w:r>
      <w:r w:rsidR="008D24FB">
        <w:rPr>
          <w:rFonts w:ascii="Times" w:hAnsi="Times"/>
        </w:rPr>
        <w:t>d</w:t>
      </w:r>
      <w:r>
        <w:rPr>
          <w:rFonts w:ascii="Times" w:hAnsi="Times"/>
        </w:rPr>
        <w:t xml:space="preserve"> that external training load values from </w:t>
      </w:r>
      <w:r w:rsidR="008D24FB">
        <w:rPr>
          <w:rFonts w:ascii="Times" w:hAnsi="Times"/>
        </w:rPr>
        <w:t xml:space="preserve">scrimmages </w:t>
      </w:r>
      <w:r w:rsidR="001F557D">
        <w:rPr>
          <w:rFonts w:ascii="Times" w:hAnsi="Times"/>
        </w:rPr>
        <w:t xml:space="preserve">ultimately </w:t>
      </w:r>
      <w:r w:rsidR="000E43DB">
        <w:rPr>
          <w:rFonts w:ascii="Times" w:hAnsi="Times"/>
        </w:rPr>
        <w:t>captures more of the information regarding external training load values than those from practices</w:t>
      </w:r>
      <w:r w:rsidR="006405D8">
        <w:rPr>
          <w:rFonts w:ascii="Times" w:hAnsi="Times"/>
        </w:rPr>
        <w:t xml:space="preserve">, but </w:t>
      </w:r>
      <w:r w:rsidR="001F557D">
        <w:rPr>
          <w:rFonts w:ascii="Times" w:hAnsi="Times"/>
        </w:rPr>
        <w:t xml:space="preserve">there is not enough information to definitely compare the models and say which model is more effective at predicting game </w:t>
      </w:r>
      <w:proofErr w:type="gramStart"/>
      <w:r w:rsidR="001F557D">
        <w:rPr>
          <w:rFonts w:ascii="Times" w:hAnsi="Times"/>
        </w:rPr>
        <w:t xml:space="preserve">demands </w:t>
      </w:r>
      <w:r w:rsidR="006405D8">
        <w:rPr>
          <w:rFonts w:ascii="Times" w:hAnsi="Times"/>
        </w:rPr>
        <w:t>.</w:t>
      </w:r>
      <w:proofErr w:type="gramEnd"/>
      <w:r w:rsidR="000E43DB">
        <w:rPr>
          <w:rFonts w:ascii="Times" w:hAnsi="Times"/>
        </w:rPr>
        <w:t xml:space="preserve"> </w:t>
      </w:r>
      <w:r w:rsidR="00811B84">
        <w:rPr>
          <w:rFonts w:ascii="Times" w:hAnsi="Times"/>
        </w:rPr>
        <w:t>T</w:t>
      </w:r>
      <w:r>
        <w:rPr>
          <w:rFonts w:ascii="Times" w:hAnsi="Times"/>
        </w:rPr>
        <w:t>his study also found that across an NCAA Division I (DI) men’s basketball team the distribution of external training load values is heavily stratified, with a select few players incurring significantly higher physical demands over the course of a season relative to the rest of the team.</w:t>
      </w:r>
    </w:p>
    <w:p w14:paraId="6119248D" w14:textId="5450FBC4" w:rsidR="0070082A" w:rsidRDefault="00155642" w:rsidP="00AF66C9">
      <w:pPr>
        <w:spacing w:line="480" w:lineRule="auto"/>
        <w:ind w:firstLine="720"/>
        <w:rPr>
          <w:rFonts w:ascii="Times" w:hAnsi="Times"/>
        </w:rPr>
      </w:pPr>
      <w:r>
        <w:rPr>
          <w:rFonts w:ascii="Times" w:hAnsi="Times"/>
        </w:rPr>
        <w:lastRenderedPageBreak/>
        <w:t xml:space="preserve">One of the primary purposes of this study was to determine the efficacy of developing a series of models that could effectively predict the competition training loads incurred by NCAA DI men’s basketball players. While direct measurement of these values is the gold standard, this is not always possible in an applied team setting </w:t>
      </w:r>
      <w:r>
        <w:rPr>
          <w:rFonts w:ascii="Times" w:hAnsi="Times"/>
        </w:rPr>
        <w:fldChar w:fldCharType="begin"/>
      </w:r>
      <w:r>
        <w:rPr>
          <w:rFonts w:ascii="Times" w:hAnsi="Times"/>
        </w:rPr>
        <w:instrText xml:space="preserve"> ADDIN ZOTERO_ITEM CSL_CITATION {"citationID":"ElCZej8O","properties":{"formattedCitation":"(Torres-Ronda et al., 2022)","plainCitation":"(Torres-Ronda et al., 2022)","noteIndex":0},"citationItems":[{"id":172,"uris":["http://zotero.org/users/5493924/items/B6KTDJ9M"],"itemData":{"id":172,"type":"article-journal","abstract":"Seeking to obtain a competitive advantage and manage the risk of injury, team sport organisations are investing in tracking systems that can quantify training and competition characteristics. It is expected that such information can support objective decision-making for the prescription and manipulation of training load. This narrative review aims to summarise, and critically evaluate, different tracking systems and their use within team sports. The selection of systems should be dependent upon the context of the sport and needs careful consideration by practitioners. The selection of metrics requires a critical process to be able to describe, plan, monitor and evaluate training and competi</w:instrText>
      </w:r>
      <w:r>
        <w:rPr>
          <w:rFonts w:ascii="Cambria Math" w:hAnsi="Cambria Math" w:cs="Cambria Math"/>
        </w:rPr>
        <w:instrText>‑</w:instrText>
      </w:r>
      <w:r>
        <w:rPr>
          <w:rFonts w:ascii="Times" w:hAnsi="Times"/>
        </w:rPr>
        <w:instrText>tion characteristics of each sport. An emerging consideration for tracking systems data is the selection of suitable time analysis, such as temporal durations, peak demands or time series segmentation, whose best use depends on the temporal characteristics of the sport. Finally, examples of characteristics and the application of tracking data across seven popular team sports are presented. Practitioners working in specific team sports are advised to follow a critical thinking process, with a healthy dose of scepticism and awareness of appropriate theoretical frameworks, where pos</w:instrText>
      </w:r>
      <w:r>
        <w:rPr>
          <w:rFonts w:ascii="Cambria Math" w:hAnsi="Cambria Math" w:cs="Cambria Math"/>
        </w:rPr>
        <w:instrText>‑</w:instrText>
      </w:r>
      <w:r>
        <w:rPr>
          <w:rFonts w:ascii="Times" w:hAnsi="Times"/>
        </w:rPr>
        <w:instrText xml:space="preserve">sible, when creating new or selecting an existing metric to profile team sport athletes.","container-title":"Sports Medicine - Open","DOI":"10.1186/s40798-022-00408-z","ISSN":"2199-1170, 2198-9761","issue":"1","journalAbbreviation":"Sports Med - Open","language":"en","page":"1-22","source":"DOI.org (Crossref)","title":"Tracking Systems in Team Sports: A Narrative Review of Applications of the Data and Sport Specific Analysis","title-short":"Tracking Systems in Team Sports","volume":"8","author":[{"family":"Torres-Ronda","given":"Lorena"},{"family":"Beanland","given":"Emma"},{"family":"Whitehead","given":"Sarah"},{"family":"Sweeting","given":"Alice"},{"family":"Clubb","given":"Jo"}],"issued":{"date-parts":[["2022",12]]}}}],"schema":"https://github.com/citation-style-language/schema/raw/master/csl-citation.json"} </w:instrText>
      </w:r>
      <w:r>
        <w:rPr>
          <w:rFonts w:ascii="Times" w:hAnsi="Times"/>
        </w:rPr>
        <w:fldChar w:fldCharType="separate"/>
      </w:r>
      <w:r>
        <w:rPr>
          <w:rFonts w:ascii="Times" w:hAnsi="Times"/>
          <w:noProof/>
        </w:rPr>
        <w:t>(Torres-Ronda et al., 2022)</w:t>
      </w:r>
      <w:r>
        <w:rPr>
          <w:rFonts w:ascii="Times" w:hAnsi="Times"/>
        </w:rPr>
        <w:fldChar w:fldCharType="end"/>
      </w:r>
      <w:r>
        <w:rPr>
          <w:rFonts w:ascii="Times" w:hAnsi="Times"/>
        </w:rPr>
        <w:t xml:space="preserve">. </w:t>
      </w:r>
      <w:r w:rsidR="001F557D">
        <w:rPr>
          <w:rFonts w:ascii="Times" w:hAnsi="Times"/>
        </w:rPr>
        <w:t xml:space="preserve">The results of this study indicated that there is more variance in the practice models as evidenced by the wide range of estimates generated by the models, </w:t>
      </w:r>
      <w:r w:rsidR="00E8079A">
        <w:rPr>
          <w:rFonts w:ascii="Times" w:hAnsi="Times"/>
        </w:rPr>
        <w:t>as well as</w:t>
      </w:r>
      <w:r w:rsidR="001F557D">
        <w:rPr>
          <w:rFonts w:ascii="Times" w:hAnsi="Times"/>
        </w:rPr>
        <w:t xml:space="preserve"> the lower R-squared</w:t>
      </w:r>
      <w:r w:rsidR="00E8079A">
        <w:rPr>
          <w:rFonts w:ascii="Times" w:hAnsi="Times"/>
        </w:rPr>
        <w:t xml:space="preserve"> value</w:t>
      </w:r>
      <w:r w:rsidR="001F557D">
        <w:rPr>
          <w:rFonts w:ascii="Times" w:hAnsi="Times"/>
        </w:rPr>
        <w:t xml:space="preserve">. However, there is not enough information to be able to properly determine which model more effectively predicted game PL. The greater variance in the practice model </w:t>
      </w:r>
      <w:r w:rsidR="0007213F">
        <w:rPr>
          <w:rFonts w:ascii="Times" w:hAnsi="Times"/>
        </w:rPr>
        <w:t>could be attributed to the key differences in the</w:t>
      </w:r>
      <w:r w:rsidR="009B339E">
        <w:rPr>
          <w:rFonts w:ascii="Times" w:hAnsi="Times"/>
        </w:rPr>
        <w:t xml:space="preserve"> basketball</w:t>
      </w:r>
      <w:r w:rsidR="0007213F">
        <w:rPr>
          <w:rFonts w:ascii="Times" w:hAnsi="Times"/>
        </w:rPr>
        <w:t xml:space="preserve"> parameters established by the coaching staff across these two categories. Scrimmage periods </w:t>
      </w:r>
      <w:r w:rsidR="008D24FB">
        <w:rPr>
          <w:rFonts w:ascii="Times" w:hAnsi="Times"/>
        </w:rPr>
        <w:t>were</w:t>
      </w:r>
      <w:r w:rsidR="0007213F">
        <w:rPr>
          <w:rFonts w:ascii="Times" w:hAnsi="Times"/>
        </w:rPr>
        <w:t xml:space="preserve"> </w:t>
      </w:r>
      <w:r w:rsidR="009B339E">
        <w:rPr>
          <w:rFonts w:ascii="Times" w:hAnsi="Times"/>
        </w:rPr>
        <w:t xml:space="preserve">designed to be </w:t>
      </w:r>
      <w:r w:rsidR="0007213F">
        <w:rPr>
          <w:rFonts w:ascii="Times" w:hAnsi="Times"/>
        </w:rPr>
        <w:t xml:space="preserve">as close to the competition </w:t>
      </w:r>
      <w:r w:rsidR="00B54A40">
        <w:rPr>
          <w:rFonts w:ascii="Times" w:hAnsi="Times"/>
        </w:rPr>
        <w:t>environment</w:t>
      </w:r>
      <w:r w:rsidR="0007213F">
        <w:rPr>
          <w:rFonts w:ascii="Times" w:hAnsi="Times"/>
        </w:rPr>
        <w:t xml:space="preserve"> as possible (i.e., a game clock that adheres to NCAA regulations, the presence of an officiating crew, NCAA scoring rules, etc.), while live practice periods </w:t>
      </w:r>
      <w:r w:rsidR="008D24FB">
        <w:rPr>
          <w:rFonts w:ascii="Times" w:hAnsi="Times"/>
        </w:rPr>
        <w:t>were</w:t>
      </w:r>
      <w:r w:rsidR="0007213F">
        <w:rPr>
          <w:rFonts w:ascii="Times" w:hAnsi="Times"/>
        </w:rPr>
        <w:t xml:space="preserve"> designed to</w:t>
      </w:r>
      <w:r w:rsidR="009B339E">
        <w:rPr>
          <w:rFonts w:ascii="Times" w:hAnsi="Times"/>
        </w:rPr>
        <w:t xml:space="preserve"> both</w:t>
      </w:r>
      <w:r w:rsidR="0007213F">
        <w:rPr>
          <w:rFonts w:ascii="Times" w:hAnsi="Times"/>
        </w:rPr>
        <w:t xml:space="preserve"> mimic game-like situations but also allow for instruction of specific basketball skills and tactical schemes that the coaching staff wishe</w:t>
      </w:r>
      <w:r w:rsidR="008D24FB">
        <w:rPr>
          <w:rFonts w:ascii="Times" w:hAnsi="Times"/>
        </w:rPr>
        <w:t>d</w:t>
      </w:r>
      <w:r w:rsidR="0007213F">
        <w:rPr>
          <w:rFonts w:ascii="Times" w:hAnsi="Times"/>
        </w:rPr>
        <w:t xml:space="preserve"> to emphasize</w:t>
      </w:r>
      <w:r w:rsidR="001F557D">
        <w:rPr>
          <w:rFonts w:ascii="Times" w:hAnsi="Times"/>
        </w:rPr>
        <w:t>, therefore having a greater range of parameters for practice periods relative to scrimmage periods.</w:t>
      </w:r>
      <w:r w:rsidR="0007213F">
        <w:rPr>
          <w:rFonts w:ascii="Times" w:hAnsi="Times"/>
        </w:rPr>
        <w:t xml:space="preserve"> </w:t>
      </w:r>
    </w:p>
    <w:p w14:paraId="30774CA2" w14:textId="25428071" w:rsidR="0007213F" w:rsidRDefault="0012636B" w:rsidP="00AF66C9">
      <w:pPr>
        <w:spacing w:line="480" w:lineRule="auto"/>
        <w:ind w:firstLine="720"/>
        <w:rPr>
          <w:rFonts w:ascii="Times" w:hAnsi="Times"/>
        </w:rPr>
      </w:pPr>
      <w:r>
        <w:rPr>
          <w:rFonts w:ascii="Times" w:hAnsi="Times"/>
        </w:rPr>
        <w:t xml:space="preserve">Results also demonstrated that while weekly and monthly average PL values were consistent with other findings in the literature, </w:t>
      </w:r>
      <w:r w:rsidR="00281516">
        <w:rPr>
          <w:rFonts w:ascii="Times" w:hAnsi="Times"/>
        </w:rPr>
        <w:t xml:space="preserve">individual </w:t>
      </w:r>
      <w:r>
        <w:rPr>
          <w:rFonts w:ascii="Times" w:hAnsi="Times"/>
        </w:rPr>
        <w:t xml:space="preserve">estimates of game PL from the scrimmage model were lower than external training load values directly measured from basketball competition </w:t>
      </w:r>
      <w:r>
        <w:rPr>
          <w:rFonts w:ascii="Times" w:hAnsi="Times"/>
        </w:rPr>
        <w:fldChar w:fldCharType="begin"/>
      </w:r>
      <w:r>
        <w:rPr>
          <w:rFonts w:ascii="Times" w:hAnsi="Times"/>
        </w:rPr>
        <w:instrText xml:space="preserve"> ADDIN ZOTERO_ITEM CSL_CITATION {"citationID":"2vp35lrO","properties":{"formattedCitation":"(J. Fox et al., 2020; J. L. Fox et al., 2018)","plainCitation":"(J. Fox et al., 2020; J. L. Fox et al., 2018)","noteIndex":0},"citationItems":[{"id":189,"uris":["http://zotero.org/users/5493924/items/HZDBIFAB"],"itemData":{"id":189,"type":"article-journal","abstract":"To quantify and compare workloads encountered by basketball players during individual games played across 1-, 2-, and 3-day periods in the same week, and during weeks where 1, 2, and 3 games are scheduled. Eight semi-professional male players were monitored. External workload was determined as absolute and relative (·min-1) PlayerLoad (PL), and total and high-intensity jumps, accelerations, decelerations, and changes of direction (COD). Internal workload was determined as absolute and relative summated heart rate zones (SHRZ), session-rating of perceived exertion (sRPE), and RPE. Game workloads were tabulated considering the order in which they were scheduled weekly (game 1, 2, or 3), and each week considering the number of games scheduled (1, 2, or 3 games). Analysing weekly workloads, duration was higher during 3-game than 1- and 2-game weeks (P &lt;0.05, ES = 6.65-18.19). High-intensity decelerations and COD were higher during 3-game than 1-game weeks (P &lt;0.05, ES = 1.26–1.55). Absolute PL, jumps, accelerations, decelerations, COD, and high-intensity jumps and accelerations were higher during 3-game than 1- and 2-game weeks (P &lt;0.05, ES = 0.69–2.63). Absolute SHRZ and sRPE were higher during 3-game than 1- and 2-game weeks (P &lt;0.05, ES = 0.86–2.43). Players completed similar individual game workloads regardless of the number of games played on consecutive days in the week. Workloads were similar during 1- and 2-game weeks, while the addition of a third game significantly increased the overall weekly workloads encountered.","container-title":"Biology of Sport","DOI":"10.5114/biolsport.2020.91499","ISSN":"0860-021X","issue":"1","journalAbbreviation":"Biol. Sport","language":"en","page":"59-67","source":"DOI.org (Crossref)","title":"Game schedule congestion affects weekly workloads but not individual game demands in semi-professional basketball","volume":"37","author":[{"family":"Fox","given":"Jordan"},{"family":"O’Grady","given":"Cody"},{"family":"Scanlan","given":"Aaron T."}],"issued":{"date-parts":[["2020"]]}}},{"id":195,"uris":["http://zotero.org/users/5493924/items/H5LEBQ88"],"itemData":{"id":195,"type":"article-journal","abstract":"Purpose: The purpose of this study was to quantify and compare training and competition demands in basketball. Methods: Fifteen semiprofessional male basketball players wore microsensors during physical conditioning training (PCT), games-based training (GBT), and competition to measure absolute and relative (·min−1) PlayerLoadTM (PL) and estimated equivalent distance (EED). Internal responses were calculated using absolute and relative session rating of perceived exertion (sRPE) and summated heart rate zones (SHRZ). Integrated measures were calculated as sRPE:PL and SHRZ:PL ratios. Results: PlayerLoad (arbitrary units [AU]) and EED (m) were statistically significantly (p &lt; .05) higher during PCT (632 ± 139 AU, d = 1.36; 5,964 ± 1,312 m, d = 1.36; 6.50 ± 0.81 AU·min−1, d = 2.44; 61.88 ± 7.22 m·min−1, d = 2.60) and GBT (624 ± 113 AU, d = 1.54; 5,892 ± 1,080 m, d = 1.53; 6.10 ± 0.77 AU·min−1, d = 2.14; 56.76 ± 6.49 m·min−1, d = 2.22) than they were during competition (449 ± 118 AU; 3,722 ± 1474 m; 4.35 ± 1.09 AU·min−1; 41.01 ± 10.29 m·min−1). Summated heart rate zones were statistically significantly (p &lt; .05) higher during PCT (314 ± 86 AU, d = 1.05; 3.22 ± 0.50 AU·min−1, d = 1.94) and GBT (334 ± 79 AU, d = 1.38; 3.19 ± 0.54 AU·min−1, d = 1.83) than they were during competition (225 ± 77 AU; 2.17 ± 0.69 AU·min−1). The ratio of sRPE:PL was statistically significantly (p &lt; .05) higher during competition (1.58 ± 0.85) than during PCT (0.98 ± 0.22, d = 1.44) and GBT (0.91 ± 0.24, d = 1.90). Conclusion: Training demands exceeded competition demands.","container-title":"Research Quarterly for Exercise and Sport","DOI":"10.1080/02701367.2017.1410693","ISSN":"0270-1367, 2168-3824","issue":"1","journalAbbreviation":"Research Quarterly for Exercise and Sport","language":"en","page":"103-111","source":"DOI.org (Crossref)","title":"A Comparison of Training and Competition Demands in Semiprofessional Male Basketball Players","volume":"89","author":[{"family":"Fox","given":"Jordan L."},{"family":"Stanton","given":"Robert"},{"family":"Scanlan","given":"Aaron T."}],"issued":{"date-parts":[["2018",1,2]]}}}],"schema":"https://github.com/citation-style-language/schema/raw/master/csl-citation.json"} </w:instrText>
      </w:r>
      <w:r>
        <w:rPr>
          <w:rFonts w:ascii="Times" w:hAnsi="Times"/>
        </w:rPr>
        <w:fldChar w:fldCharType="separate"/>
      </w:r>
      <w:r>
        <w:rPr>
          <w:rFonts w:ascii="Times" w:hAnsi="Times"/>
          <w:noProof/>
        </w:rPr>
        <w:t>(J. Fox et al., 2020; J. L. Fox et al., 2018)</w:t>
      </w:r>
      <w:r>
        <w:rPr>
          <w:rFonts w:ascii="Times" w:hAnsi="Times"/>
        </w:rPr>
        <w:fldChar w:fldCharType="end"/>
      </w:r>
      <w:r>
        <w:rPr>
          <w:rFonts w:ascii="Times" w:hAnsi="Times"/>
        </w:rPr>
        <w:t xml:space="preserve">. </w:t>
      </w:r>
      <w:r w:rsidR="001F557D">
        <w:rPr>
          <w:rFonts w:ascii="Times" w:hAnsi="Times"/>
        </w:rPr>
        <w:t xml:space="preserve">However, it is important to note that these studies </w:t>
      </w:r>
      <w:r w:rsidR="00E8079A">
        <w:rPr>
          <w:rFonts w:ascii="Times" w:hAnsi="Times"/>
        </w:rPr>
        <w:t xml:space="preserve">collected data during the entirety of the competition, while the present study only collected data while the participants were actively participating in the game and therefore potentially offering higher results than this present study. </w:t>
      </w:r>
      <w:r w:rsidR="0007213F">
        <w:rPr>
          <w:rFonts w:ascii="Times" w:hAnsi="Times"/>
        </w:rPr>
        <w:t>The</w:t>
      </w:r>
      <w:r>
        <w:rPr>
          <w:rFonts w:ascii="Times" w:hAnsi="Times"/>
        </w:rPr>
        <w:t>se</w:t>
      </w:r>
      <w:r w:rsidR="0007213F">
        <w:rPr>
          <w:rFonts w:ascii="Times" w:hAnsi="Times"/>
        </w:rPr>
        <w:t xml:space="preserve"> </w:t>
      </w:r>
      <w:r w:rsidR="008D24FB">
        <w:rPr>
          <w:rFonts w:ascii="Times" w:hAnsi="Times"/>
        </w:rPr>
        <w:t>results</w:t>
      </w:r>
      <w:r w:rsidR="00E8079A">
        <w:rPr>
          <w:rFonts w:ascii="Times" w:hAnsi="Times"/>
        </w:rPr>
        <w:t xml:space="preserve"> of this study</w:t>
      </w:r>
      <w:r w:rsidR="008D24FB">
        <w:rPr>
          <w:rFonts w:ascii="Times" w:hAnsi="Times"/>
        </w:rPr>
        <w:t xml:space="preserve"> </w:t>
      </w:r>
      <w:r>
        <w:rPr>
          <w:rFonts w:ascii="Times" w:hAnsi="Times"/>
        </w:rPr>
        <w:t xml:space="preserve">may also have been influenced by the </w:t>
      </w:r>
      <w:r w:rsidR="008D24FB">
        <w:rPr>
          <w:rFonts w:ascii="Times" w:hAnsi="Times"/>
        </w:rPr>
        <w:t>independent variables used to construct the models</w:t>
      </w:r>
      <w:r w:rsidR="0007213F">
        <w:rPr>
          <w:rFonts w:ascii="Times" w:hAnsi="Times"/>
        </w:rPr>
        <w:t xml:space="preserve">. </w:t>
      </w:r>
      <w:r w:rsidR="0007213F">
        <w:rPr>
          <w:rFonts w:ascii="Times" w:hAnsi="Times"/>
        </w:rPr>
        <w:lastRenderedPageBreak/>
        <w:t>Indeed, one major limitation of this study was the relatively simplistic nature of the predictive models chosen. While this was out of necessity due to restrictions on data collection, other literature indicates that the inclusion of additional parameters, such as distance traveled</w:t>
      </w:r>
      <w:r w:rsidR="00810251">
        <w:rPr>
          <w:rFonts w:ascii="Times" w:hAnsi="Times"/>
        </w:rPr>
        <w:t xml:space="preserve"> by individual players</w:t>
      </w:r>
      <w:r w:rsidR="009B339E">
        <w:rPr>
          <w:rFonts w:ascii="Times" w:hAnsi="Times"/>
        </w:rPr>
        <w:t xml:space="preserve"> during practices</w:t>
      </w:r>
      <w:r w:rsidR="0007213F">
        <w:rPr>
          <w:rFonts w:ascii="Times" w:hAnsi="Times"/>
        </w:rPr>
        <w:t xml:space="preserve">, would improve the </w:t>
      </w:r>
      <w:r w:rsidR="0016054A">
        <w:rPr>
          <w:rFonts w:ascii="Times" w:hAnsi="Times"/>
        </w:rPr>
        <w:t xml:space="preserve">accuracy and predictive capabilities of the chosen models </w:t>
      </w:r>
      <w:r w:rsidR="0016054A">
        <w:rPr>
          <w:rFonts w:ascii="Times" w:hAnsi="Times"/>
        </w:rPr>
        <w:fldChar w:fldCharType="begin"/>
      </w:r>
      <w:r w:rsidR="0016054A">
        <w:rPr>
          <w:rFonts w:ascii="Times" w:hAnsi="Times"/>
        </w:rPr>
        <w:instrText xml:space="preserve"> ADDIN ZOTERO_ITEM CSL_CITATION {"citationID":"98tWzQiB","properties":{"formattedCitation":"(Heishman et al., 2020)","plainCitation":"(Heishman et al., 2020)","noteIndex":0},"citationItems":[{"id":232,"uris":["http://zotero.org/users/5493924/items/VK7YXZIX"],"itemData":{"id":232,"type":"article-journal","abstract":"Monitoring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w:instrText>
      </w:r>
      <w:r w:rsidR="0016054A">
        <w:instrText>ﬀ</w:instrText>
      </w:r>
      <w:r w:rsidR="0016054A">
        <w:rPr>
          <w:rFonts w:ascii="Times" w:hAnsi="Times"/>
        </w:rPr>
        <w:instrText>-season training phase. A one-way analysis of variance was used to test di</w:instrText>
      </w:r>
      <w:r w:rsidR="0016054A">
        <w:instrText>ﬀ</w:instrText>
      </w:r>
      <w:r w:rsidR="0016054A">
        <w:rPr>
          <w:rFonts w:ascii="Times" w:hAnsi="Times"/>
        </w:rPr>
        <w:instrText>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w:instrText>
      </w:r>
      <w:r w:rsidR="0016054A">
        <w:instrText>ﬀ</w:instrText>
      </w:r>
      <w:r w:rsidR="0016054A">
        <w:rPr>
          <w:rFonts w:ascii="Times" w:hAnsi="Times"/>
        </w:rPr>
        <w:instrText xml:space="preserve">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schema":"https://github.com/citation-style-language/schema/raw/master/csl-citation.json"} </w:instrText>
      </w:r>
      <w:r w:rsidR="0016054A">
        <w:rPr>
          <w:rFonts w:ascii="Times" w:hAnsi="Times"/>
        </w:rPr>
        <w:fldChar w:fldCharType="separate"/>
      </w:r>
      <w:r w:rsidR="0016054A">
        <w:rPr>
          <w:rFonts w:ascii="Times" w:hAnsi="Times"/>
          <w:noProof/>
        </w:rPr>
        <w:t>(Heishman et al., 2020)</w:t>
      </w:r>
      <w:r w:rsidR="0016054A">
        <w:rPr>
          <w:rFonts w:ascii="Times" w:hAnsi="Times"/>
        </w:rPr>
        <w:fldChar w:fldCharType="end"/>
      </w:r>
      <w:r w:rsidR="0016054A">
        <w:rPr>
          <w:rFonts w:ascii="Times" w:hAnsi="Times"/>
        </w:rPr>
        <w:t>.</w:t>
      </w:r>
    </w:p>
    <w:p w14:paraId="73403DBE" w14:textId="5E378B68" w:rsidR="00281516" w:rsidRDefault="00C9600C" w:rsidP="007912F9">
      <w:pPr>
        <w:spacing w:line="480" w:lineRule="auto"/>
        <w:rPr>
          <w:rFonts w:ascii="Times" w:hAnsi="Times"/>
        </w:rPr>
      </w:pPr>
      <w:r>
        <w:rPr>
          <w:rFonts w:ascii="Times" w:hAnsi="Times"/>
        </w:rPr>
        <w:tab/>
        <w:t xml:space="preserve">Another major finding of this study was that a select number of players (in this instance, five) experienced significantly higher </w:t>
      </w:r>
      <w:r w:rsidR="009E46AB">
        <w:rPr>
          <w:rFonts w:ascii="Times" w:hAnsi="Times"/>
        </w:rPr>
        <w:t xml:space="preserve">average </w:t>
      </w:r>
      <w:r>
        <w:rPr>
          <w:rFonts w:ascii="Times" w:hAnsi="Times"/>
        </w:rPr>
        <w:t xml:space="preserve">weekly and monthly training loads than their counterparts. </w:t>
      </w:r>
      <w:r w:rsidR="00DB44DD">
        <w:rPr>
          <w:rFonts w:ascii="Times" w:hAnsi="Times"/>
        </w:rPr>
        <w:t>Grouping players into Starters, Rotation, and Bench players highlighted very large differences between the playing categories</w:t>
      </w:r>
      <w:r w:rsidR="008D24FB">
        <w:rPr>
          <w:rFonts w:ascii="Times" w:hAnsi="Times"/>
        </w:rPr>
        <w:t>, and statistical tests indicated significant differences between average weekly and monthly PL values across different categories.</w:t>
      </w:r>
      <w:r w:rsidR="007912F9">
        <w:rPr>
          <w:rFonts w:ascii="Times" w:hAnsi="Times"/>
        </w:rPr>
        <w:t xml:space="preserve"> </w:t>
      </w:r>
      <w:r w:rsidR="00810251">
        <w:rPr>
          <w:rFonts w:ascii="Times" w:hAnsi="Times"/>
        </w:rPr>
        <w:t>T</w:t>
      </w:r>
      <w:r w:rsidR="007912F9">
        <w:rPr>
          <w:rFonts w:ascii="Times" w:hAnsi="Times"/>
        </w:rPr>
        <w:t xml:space="preserve">his method was chosen due to the fact that it is similar to methodologies chosen in other similar studies </w:t>
      </w:r>
      <w:r w:rsidR="007912F9">
        <w:rPr>
          <w:rFonts w:ascii="Times" w:hAnsi="Times"/>
        </w:rPr>
        <w:fldChar w:fldCharType="begin"/>
      </w:r>
      <w:r w:rsidR="007912F9">
        <w:rPr>
          <w:rFonts w:ascii="Times" w:hAnsi="Times"/>
        </w:rPr>
        <w:instrText xml:space="preserve"> ADDIN ZOTERO_ITEM CSL_CITATION {"citationID":"PkwRSRoJ","properties":{"formattedCitation":"(Russell, McLean, Stolp, et al., 2021)","plainCitation":"(Russell, McLean, Stolp, et al., 2021)","noteIndex":0},"citationItems":[{"id":269,"uris":["http://zotero.org/users/5493924/items/TXFNZU44"],"itemData":{"id":269,"type":"article-journal","abstract":"Purpose: There are currently no data describing combined practice and game load demands throughout a National Basketball Association (NBA) season. The primary objective of this study was to integrate external load data garnered from all on-court activity throughout an NBA season, according to different activity and player characteristics.\nMethods: Data from 14 professional male basketball players (mean</w:instrText>
      </w:r>
      <w:r w:rsidR="007912F9">
        <w:instrText> </w:instrText>
      </w:r>
      <w:r w:rsidR="007912F9">
        <w:rPr>
          <w:rFonts w:ascii="Times" w:hAnsi="Times"/>
        </w:rPr>
        <w:instrText>±</w:instrText>
      </w:r>
      <w:r w:rsidR="007912F9">
        <w:instrText> </w:instrText>
      </w:r>
      <w:r w:rsidR="007912F9">
        <w:rPr>
          <w:rFonts w:ascii="Times" w:hAnsi="Times"/>
        </w:rPr>
        <w:instrText>SD; age, 27.3</w:instrText>
      </w:r>
      <w:r w:rsidR="007912F9">
        <w:instrText> </w:instrText>
      </w:r>
      <w:r w:rsidR="007912F9">
        <w:rPr>
          <w:rFonts w:ascii="Times" w:hAnsi="Times"/>
        </w:rPr>
        <w:instrText>±</w:instrText>
      </w:r>
      <w:r w:rsidR="007912F9">
        <w:instrText> </w:instrText>
      </w:r>
      <w:r w:rsidR="007912F9">
        <w:rPr>
          <w:rFonts w:ascii="Times" w:hAnsi="Times"/>
        </w:rPr>
        <w:instrText>4.8</w:instrText>
      </w:r>
      <w:r w:rsidR="007912F9">
        <w:instrText> </w:instrText>
      </w:r>
      <w:r w:rsidR="007912F9">
        <w:rPr>
          <w:rFonts w:ascii="Times" w:hAnsi="Times"/>
        </w:rPr>
        <w:instrText>years; height, 201.0</w:instrText>
      </w:r>
      <w:r w:rsidR="007912F9">
        <w:instrText> </w:instrText>
      </w:r>
      <w:r w:rsidR="007912F9">
        <w:rPr>
          <w:rFonts w:ascii="Times" w:hAnsi="Times"/>
        </w:rPr>
        <w:instrText>±</w:instrText>
      </w:r>
      <w:r w:rsidR="007912F9">
        <w:instrText> </w:instrText>
      </w:r>
      <w:r w:rsidR="007912F9">
        <w:rPr>
          <w:rFonts w:ascii="Times" w:hAnsi="Times"/>
        </w:rPr>
        <w:instrText>7.2</w:instrText>
      </w:r>
      <w:r w:rsidR="007912F9">
        <w:instrText> </w:instrText>
      </w:r>
      <w:r w:rsidR="007912F9">
        <w:rPr>
          <w:rFonts w:ascii="Times" w:hAnsi="Times"/>
        </w:rPr>
        <w:instrText>cm; body mass, 104.9</w:instrText>
      </w:r>
      <w:r w:rsidR="007912F9">
        <w:instrText> </w:instrText>
      </w:r>
      <w:r w:rsidR="007912F9">
        <w:rPr>
          <w:rFonts w:ascii="Times" w:hAnsi="Times"/>
        </w:rPr>
        <w:instrText>±</w:instrText>
      </w:r>
      <w:r w:rsidR="007912F9">
        <w:instrText> </w:instrText>
      </w:r>
      <w:r w:rsidR="007912F9">
        <w:rPr>
          <w:rFonts w:ascii="Times" w:hAnsi="Times"/>
        </w:rPr>
        <w:instrText>10.6</w:instrText>
      </w:r>
      <w:r w:rsidR="007912F9">
        <w:instrText> </w:instrText>
      </w:r>
      <w:r w:rsidR="007912F9">
        <w:rPr>
          <w:rFonts w:ascii="Times" w:hAnsi="Times"/>
        </w:rPr>
        <w:instrText>kg) playing for the same club during the 2017–2018 NBA season were retrospectively analyzed. Game and training data were integrated to create a consolidated external load measure, which was termed integrated load. Players were categorized by years of NBA experience (1-2y, 3-5y, 6-9y, and 10</w:instrText>
      </w:r>
      <w:r w:rsidR="007912F9">
        <w:instrText> </w:instrText>
      </w:r>
      <w:r w:rsidR="007912F9">
        <w:rPr>
          <w:rFonts w:ascii="Times" w:hAnsi="Times"/>
        </w:rPr>
        <w:instrText>+</w:instrText>
      </w:r>
      <w:r w:rsidR="007912F9">
        <w:instrText> </w:instrText>
      </w:r>
      <w:r w:rsidR="007912F9">
        <w:rPr>
          <w:rFonts w:ascii="Times" w:hAnsi="Times"/>
        </w:rPr>
        <w:instrText>y), position (frontcourt and backcourt), and playing rotation status (starter, rotation, and bench).\nResults: Total weekly duration was significantly different (p</w:instrText>
      </w:r>
      <w:r w:rsidR="007912F9">
        <w:instrText> </w:instrText>
      </w:r>
      <w:r w:rsidR="007912F9">
        <w:rPr>
          <w:rFonts w:ascii="Times" w:hAnsi="Times"/>
        </w:rPr>
        <w:instrText>&lt;</w:instrText>
      </w:r>
      <w:r w:rsidR="007912F9">
        <w:instrText> </w:instrText>
      </w:r>
      <w:r w:rsidR="007912F9">
        <w:rPr>
          <w:rFonts w:ascii="Times" w:hAnsi="Times"/>
        </w:rPr>
        <w:instrText>0.001) between years of NBA playing experience, with duration highest in 3–5</w:instrText>
      </w:r>
      <w:r w:rsidR="007912F9">
        <w:instrText> </w:instrText>
      </w:r>
      <w:r w:rsidR="007912F9">
        <w:rPr>
          <w:rFonts w:ascii="Times" w:hAnsi="Times"/>
        </w:rPr>
        <w:instrText>year players, compared with 6–9 (d</w:instrText>
      </w:r>
      <w:r w:rsidR="007912F9">
        <w:instrText> </w:instrText>
      </w:r>
      <w:r w:rsidR="007912F9">
        <w:rPr>
          <w:rFonts w:ascii="Times" w:hAnsi="Times"/>
        </w:rPr>
        <w:instrText>=</w:instrText>
      </w:r>
      <w:r w:rsidR="007912F9">
        <w:instrText> </w:instrText>
      </w:r>
      <w:r w:rsidR="007912F9">
        <w:rPr>
          <w:rFonts w:ascii="Times" w:hAnsi="Times"/>
        </w:rPr>
        <w:instrText>0.46) and 10+ (d</w:instrText>
      </w:r>
      <w:r w:rsidR="007912F9">
        <w:instrText> </w:instrText>
      </w:r>
      <w:r w:rsidR="007912F9">
        <w:rPr>
          <w:rFonts w:ascii="Times" w:hAnsi="Times"/>
        </w:rPr>
        <w:instrText>=</w:instrText>
      </w:r>
      <w:r w:rsidR="007912F9">
        <w:instrText> </w:instrText>
      </w:r>
      <w:r w:rsidR="007912F9">
        <w:rPr>
          <w:rFonts w:ascii="Times" w:hAnsi="Times"/>
        </w:rPr>
        <w:instrText>0.78) year players. Starters experienced the highest integrated load, compared with bench (d</w:instrText>
      </w:r>
      <w:r w:rsidR="007912F9">
        <w:instrText> </w:instrText>
      </w:r>
      <w:r w:rsidR="007912F9">
        <w:rPr>
          <w:rFonts w:ascii="Times" w:hAnsi="Times"/>
        </w:rPr>
        <w:instrText>=</w:instrText>
      </w:r>
      <w:r w:rsidR="007912F9">
        <w:instrText> </w:instrText>
      </w:r>
      <w:r w:rsidR="007912F9">
        <w:rPr>
          <w:rFonts w:ascii="Times" w:hAnsi="Times"/>
        </w:rPr>
        <w:instrText xml:space="preserve">0.77) players. There were no significant differences in integrated load or duration between positions.\nConclusion: This is the first study to describe the seasonal training loads of NBA players for an entire season and shows that a most training load is accumulated in non-game activities. This study highlights the need for integrated and unobtrusive training load monitoring, with engagement of all stakeholders to develop well-informed individualized training prescription to optimize preparation of NBA players.","container-title":"Frontiers in Psychology","DOI":"10.3389/fpsyg.2021.793216","ISSN":"1664-1078","journalAbbreviation":"Front. Psychol.","language":"en","page":"793216","source":"DOI.org (Crossref)","title":"Quantifying training and game demands of a National Basketball Association season","volume":"12","author":[{"family":"Russell","given":"Jennifer L."},{"family":"McLean","given":"Blake D."},{"family":"Stolp","given":"Sean"},{"family":"Strack","given":"Donnie"},{"family":"Coutts","given":"Aaron J."}],"issued":{"date-parts":[["2021",12,21]]}}}],"schema":"https://github.com/citation-style-language/schema/raw/master/csl-citation.json"} </w:instrText>
      </w:r>
      <w:r w:rsidR="007912F9">
        <w:rPr>
          <w:rFonts w:ascii="Times" w:hAnsi="Times"/>
        </w:rPr>
        <w:fldChar w:fldCharType="separate"/>
      </w:r>
      <w:r w:rsidR="007912F9">
        <w:rPr>
          <w:rFonts w:ascii="Times" w:hAnsi="Times"/>
          <w:noProof/>
        </w:rPr>
        <w:t>(Russell, McLean, Stolp, et al., 2021)</w:t>
      </w:r>
      <w:r w:rsidR="007912F9">
        <w:rPr>
          <w:rFonts w:ascii="Times" w:hAnsi="Times"/>
        </w:rPr>
        <w:fldChar w:fldCharType="end"/>
      </w:r>
      <w:r w:rsidR="007912F9">
        <w:rPr>
          <w:rFonts w:ascii="Times" w:hAnsi="Times"/>
        </w:rPr>
        <w:t xml:space="preserve">. </w:t>
      </w:r>
      <w:r w:rsidR="00DB44DD">
        <w:rPr>
          <w:rFonts w:ascii="Times" w:hAnsi="Times"/>
        </w:rPr>
        <w:t xml:space="preserve">These differences can most likely be attributed to the disparity in skill between the starters and other players, which is consistent with other works that indicate that players of a higher skill level are more likely to encounter higher physical demands </w:t>
      </w:r>
      <w:r w:rsidR="00DB44DD">
        <w:rPr>
          <w:rFonts w:ascii="Times" w:hAnsi="Times"/>
        </w:rPr>
        <w:fldChar w:fldCharType="begin"/>
      </w:r>
      <w:r w:rsidR="00DB44DD">
        <w:rPr>
          <w:rFonts w:ascii="Times" w:hAnsi="Times"/>
        </w:rPr>
        <w:instrText xml:space="preserve"> ADDIN ZOTERO_ITEM CSL_CITATION {"citationID":"eMPOBlMb","properties":{"formattedCitation":"(Lorentzen, 2017; Scanlan et al., 2011)","plainCitation":"(Lorentzen, 2017; Scanlan et al., 2011)","noteIndex":0},"citationItems":[{"id":303,"uris":["http://zotero.org/users/5493924/items/ABJBF3MI"],"itemData":{"id":303,"type":"article-journal","abstract":"The background of the article is the recurrent discussion about allocation of playing time in team sports involving children and young athletes. The objective is to analyse why playing time is a topic for discussion among parents, coaches and athletes. The following question is addressed: Under which condition is it ‘fair’ to use equal and under which condition ‘fair’ to use unequal playing time? Methodologically the article combines literature in the field of psychology, physiology and sociology – and simple mathematics is applied in developing a model for estimating playing time, frequency and timing of substitutions. The article shows that team sports are arenas where social interaction takes place, where norms and rules are internalized and where allocation of a given playing time implies inclusion and exclusion of individuals. The article shows that there exists a single, objective ‘unfair’ allocation of playing time, but a variety of ‘fair’. Lack of objective criteria drives the discussion of fair allocation of playing time. A policy implication of the findings is that an insight into psychosocial mechanisms can change practice to obtain a better and sustainable organization of team sports where young athletes are involved.","container-title":"Open Review of Educational Research","DOI":"10.1080/23265507.2016.1266694","ISSN":"2326-5507","issue":"1","journalAbbreviation":"Open Review of Educational Research","language":"en","page":"20-32","source":"DOI.org (Crossref)","title":"Allocation of playing time within team sports – a problem for discussion","volume":"4","author":[{"family":"Lorentzen","given":"Torbjørn"}],"issued":{"date-parts":[["2017",1]]}}},{"id":308,"uris":["http://zotero.org/users/5493924/items/B38PEIK2"],"itemData":{"id":308,"type":"article-journal","abstract":"The purpose of the study was to describe the differences in the activity demands of sub-elite and elite Australian men’s basketball competition. Ten elite (age 28.3 + 4.9 years, mass 97.0 + 13.9 kg, height 197.4 + 8.3 cm) and 12 sub-elite (age 26.1 + 5.3 years, mass 85.9 + 13.2 kg, height 191.4 + 7.6 cm) Australian basketball players participated in the study. Player activity was analysed using video-based time–motion analysis across multiple in-season matches. Customized analytical software was used to calculate player activity into frequencies, mean and total durations (s), and mean and total distances (m) for standing/walking, jogging, running, sprinting, low shufﬂing, high shufﬂing, and dribbling movements. Only movement frequency was calculated for jumping and upper body activity. Multivariate analysis of variance revealed that elite players performed signiﬁcantly more total movement changes (P 50.001), and experienced greater activity workloads while jogging (P 50.01) and running (P 50.002). In contrast, sub-elite players performed signiﬁcantly more standing/walking (P 50.023) and sprinting (P 50.003) activities. These data suggest that elite basketball competition requires a greater intermittent workload and more sustained activity demands, whereas sub-elite competition may involve greater bursts of activity and longer recovery periods. These differences are likely to reﬂect variations in player skill and ﬁtness, as well as playing structure between playing standards.","container-title":"Journal of Sports Sciences","DOI":"10.1080/02640414.2011.582509","ISSN":"0264-0414, 1466-447X","issue":"11","journalAbbreviation":"J Sports Sci.","language":"en","page":"1153-1160","source":"DOI.org (Crossref)","title":"A comparison of the activity demands of elite and sub-elite Australian men's basketball competition","volume":"29","author":[{"family":"Scanlan","given":"Aaron"},{"family":"Dascombe","given":"Ben"},{"family":"Reaburn","given":"Peter"}],"issued":{"date-parts":[["2011",8]]}}}],"schema":"https://github.com/citation-style-language/schema/raw/master/csl-citation.json"} </w:instrText>
      </w:r>
      <w:r w:rsidR="00DB44DD">
        <w:rPr>
          <w:rFonts w:ascii="Times" w:hAnsi="Times"/>
        </w:rPr>
        <w:fldChar w:fldCharType="separate"/>
      </w:r>
      <w:r w:rsidR="00DB44DD">
        <w:rPr>
          <w:rFonts w:ascii="Times" w:hAnsi="Times"/>
          <w:noProof/>
        </w:rPr>
        <w:t>(Lorentzen, 2017; Scanlan et al., 2011)</w:t>
      </w:r>
      <w:r w:rsidR="00DB44DD">
        <w:rPr>
          <w:rFonts w:ascii="Times" w:hAnsi="Times"/>
        </w:rPr>
        <w:fldChar w:fldCharType="end"/>
      </w:r>
      <w:r w:rsidR="00DB44DD">
        <w:rPr>
          <w:rFonts w:ascii="Times" w:hAnsi="Times"/>
        </w:rPr>
        <w:t>.</w:t>
      </w:r>
      <w:r w:rsidR="009E46AB">
        <w:rPr>
          <w:rFonts w:ascii="Times" w:hAnsi="Times"/>
        </w:rPr>
        <w:t xml:space="preserve"> These findings may have practical significance, as increased levels of training load have been found to be related to increased levels of fatigue and decreases in physical </w:t>
      </w:r>
      <w:r w:rsidR="00810251">
        <w:rPr>
          <w:rFonts w:ascii="Times" w:hAnsi="Times"/>
        </w:rPr>
        <w:t>capabilities</w:t>
      </w:r>
      <w:r w:rsidR="009E46AB">
        <w:rPr>
          <w:rFonts w:ascii="Times" w:hAnsi="Times"/>
        </w:rPr>
        <w:t xml:space="preserve"> which can impact competition performance</w:t>
      </w:r>
      <w:r w:rsidR="009B339E">
        <w:rPr>
          <w:rFonts w:ascii="Times" w:hAnsi="Times"/>
        </w:rPr>
        <w:t xml:space="preserve"> </w:t>
      </w:r>
      <w:r w:rsidR="009B339E">
        <w:rPr>
          <w:rFonts w:ascii="Times" w:hAnsi="Times"/>
        </w:rPr>
        <w:fldChar w:fldCharType="begin"/>
      </w:r>
      <w:r w:rsidR="009B339E">
        <w:rPr>
          <w:rFonts w:ascii="Times" w:hAnsi="Times"/>
        </w:rPr>
        <w:instrText xml:space="preserve"> ADDIN ZOTERO_ITEM CSL_CITATION {"citationID":"bf8g5vZI","properties":{"formattedCitation":"(Halson, 2014)","plainCitation":"(Halson, 2014)","noteIndex":0},"citationItems":[{"id":6,"uris":["http://zotero.org/users/5493924/items/3VL2EUHJ"],"itemData":{"id":6,"type":"article-journal","container-title":"Sports Medicine","DOI":"10.1007/s40279-014-0253-z","ISSN":"0112-1642, 1179-2035","issue":"S2","language":"en","page":"139-147","source":"Crossref","title":"Monitoring Training Load to Understand Fatigue in Athletes","volume":"44","author":[{"family":"Halson","given":"Shona L."}],"issued":{"date-parts":[["2014",11]]}}}],"schema":"https://github.com/citation-style-language/schema/raw/master/csl-citation.json"} </w:instrText>
      </w:r>
      <w:r w:rsidR="009B339E">
        <w:rPr>
          <w:rFonts w:ascii="Times" w:hAnsi="Times"/>
        </w:rPr>
        <w:fldChar w:fldCharType="separate"/>
      </w:r>
      <w:r w:rsidR="009B339E">
        <w:rPr>
          <w:rFonts w:ascii="Times" w:hAnsi="Times"/>
          <w:noProof/>
        </w:rPr>
        <w:t>(Halson, 2014)</w:t>
      </w:r>
      <w:r w:rsidR="009B339E">
        <w:rPr>
          <w:rFonts w:ascii="Times" w:hAnsi="Times"/>
        </w:rPr>
        <w:fldChar w:fldCharType="end"/>
      </w:r>
      <w:r w:rsidR="009E46AB">
        <w:rPr>
          <w:rFonts w:ascii="Times" w:hAnsi="Times"/>
        </w:rPr>
        <w:t>. Furthermore, due to the ages of NCAA DI basketball student-athletes</w:t>
      </w:r>
      <w:r w:rsidR="009B339E">
        <w:rPr>
          <w:rFonts w:ascii="Times" w:hAnsi="Times"/>
        </w:rPr>
        <w:t>,</w:t>
      </w:r>
      <w:r w:rsidR="009E46AB">
        <w:rPr>
          <w:rFonts w:ascii="Times" w:hAnsi="Times"/>
        </w:rPr>
        <w:t xml:space="preserve"> increased levels of training load without proper rest or adequate physical preparation h</w:t>
      </w:r>
      <w:r w:rsidR="00810251">
        <w:rPr>
          <w:rFonts w:ascii="Times" w:hAnsi="Times"/>
        </w:rPr>
        <w:t>ave</w:t>
      </w:r>
      <w:r w:rsidR="009E46AB">
        <w:rPr>
          <w:rFonts w:ascii="Times" w:hAnsi="Times"/>
        </w:rPr>
        <w:t xml:space="preserve"> been shown to lead to increased risk of injury</w:t>
      </w:r>
      <w:r w:rsidR="009B339E">
        <w:rPr>
          <w:rFonts w:ascii="Times" w:hAnsi="Times"/>
        </w:rPr>
        <w:t xml:space="preserve"> </w:t>
      </w:r>
      <w:r w:rsidR="009B339E">
        <w:rPr>
          <w:rFonts w:ascii="Times" w:hAnsi="Times"/>
        </w:rPr>
        <w:fldChar w:fldCharType="begin"/>
      </w:r>
      <w:r w:rsidR="009B339E">
        <w:rPr>
          <w:rFonts w:ascii="Times" w:hAnsi="Times"/>
        </w:rPr>
        <w:instrText xml:space="preserve"> ADDIN ZOTERO_ITEM CSL_CITATION {"citationID":"inJ6oWgr","properties":{"formattedCitation":"(Killen et al., 2010; S. Malone et al., 2017; Weiss et al., 2017)","plainCitation":"(Killen et al., 2010; S. Malone et al., 2017; Weiss et al., 2017)","noteIndex":0},"citationItems":[{"id":144,"uris":["http://zotero.org/users/5493924/items/QCTSYN59"],"itemData":{"id":144,"type":"article-journal","container-title":"Journal of Strength and Conditioning Research","DOI":"10.1519/JSC.0b013e3181ddafff","ISSN":"1064-8011","issue":"8","journalAbbreviation":"Journal of Strength and Conditioning Research","language":"en","page":"2079-2084","source":"DOI.org (Crossref)","title":"Training Loads and Incidence of Injury During the Preseason in Professional Rugby League Players:","title-short":"Training Loads and Incidence of Injury During the Preseason in Professional Rugby League Players","volume":"24","author":[{"family":"Killen","given":"Natasha M"},{"family":"Gabbett","given":"Tim J"},{"family":"Jenkins","given":"David G"}],"issued":{"date-parts":[["2010",8]]}}},{"id":295,"uris":["http://zotero.org/users/5493924/items/5XRM4BUK"],"itemData":{"id":295,"type":"article-journal","abstract":"Objectives: To examine the association between combined sRPE measures and injury risk in elite professional soccer. Design: Observational cohort study.\nMethods: Forty-eight professional soccer players (mean ± SD age of 25.3 ± 3.1 yr) from two elite European teams were involved within a one season study. Players completed a test of intermittent-aerobic capacity (Yo-YoIR1) to assess player’s injury risk in relation to intermittent aerobic capacity. Weekly workload measures and time loss injuries were recorded during the entire period. Rolling weekly sums and week-to-week changes in workload were measured, allowing for the calculation of the acute:chronic workload ratio, which was calculated by dividing the acute (1-weekly) and chronic (4-weekly) workloads. All derived workload measures were modelled against injury data using logistic regression. Odds ratios (OR) were reported against a reference group.\nResults: Players who exerted pre-season 1-weekly loads of ≥1500 to ≤2120 AU were at signiﬁcantly higher risk of injury compared to the reference group of ≤1500 AU (OR = 1.95, p = 0.006). Players with increased intermittent-aerobic capacity were better able to tolerate increased 1-weekly absolute changes in training load than players with lower ﬁtness levels (OR = 4.52, p = 0.011). Players who exerted in-season acute:chronic workload ratios of &gt;1.00 to &lt;1.25 (OR = 0.68, p = 0.006) were at signiﬁcantly lower risk of injury compared to the reference group (≤0.85).\nConclusions: These ﬁndings demonstrate that an acute:chronic workload of between 1.00 and 1.25 is protective for professional soccer players. A higher intermittent-aerobic capacity appears to offer greater injury protection when players are exposed to rapid changes in workload in elite soccer players. Moderate workloads, coupled with moderate-low to moderate-high acute:chronic workload ratios, appear to be protective for professional soccer players.","container-title":"Journal of Science and Medicine in Sport","DOI":"10.1016/j.jsams.2016.10.014","ISSN":"14402440","issue":"6","journalAbbreviation":"Journal of Science and Medicine in Sport","language":"en","page":"561-565","source":"DOI.org (Crossref)","title":"The acute:chonic workload ratio in relation to injury risk in professional soccer","title-short":"The acute","volume":"20","author":[{"family":"Malone","given":"Shane"},{"family":"Owen","given":"Adam"},{"family":"Newton","given":"Matt"},{"family":"Mendes","given":"Bruno"},{"family":"Collins","given":"Kieran D."},{"family":"Gabbett","given":"Tim J."}],"issued":{"date-parts":[["2017",6]]}}},{"id":288,"uris":["http://zotero.org/users/5493924/items/UGUV35KL"],"itemData":{"id":288,"type":"article-journal","abstract":"Purpose: To establish the relationship between the acute:chronic workload ratio and lower extremity overuse injuries in professional basketball players over the course of a competitive season. Methods: The acute:chronic workload ratio was determined by calculating the sum of the current week’s session rate of perceived exertion (sRPE) training load (acute load) and dividing it by the average weekly training load over the previous four weeks (chronic load). All injuries were recorded weekly using a self-reported injury questionnaire (Oslo Sports Trauma Research Centre Injury Questionnaire20) Workload ratios were modelled against injury data using a logistic regression model with unique intercepts for each player. Results: Substantially fewer team members were injured following workload ratios between 1-1.49 (36%) compared to very low (≤0.5; 54%), low (0.5-0.99; 51%) or high (≥1.5; 59%) workload ratios. The regression model provided unique workload-injury trends for each player, but all mean differences in likelihood of being injured between workload ratios were unclear. Conclusions: Maintaining workload ratios between 1-1.5 may be optimal for athlete preparation in professional basketball. An individualized approach to modelling and monitoring the training load-injury relationship, along with a symptombased injury-surveillance method, should help coaches and performance staff with individualized training load planning and prescription, and with developing athlete-specific recovery and rehabilitation strategies.","container-title":"International Journal of Sports Physiology and Performance","DOI":"10.1123/ijspp.2016-0726","ISSN":"1555-0265, 1555-0273","issue":"9","language":"en","page":"1238-1242","source":"DOI.org (Crossref)","title":"The Relationship Between Training Load and Injury in Men’s Professional Basketball","volume":"12","author":[{"family":"Weiss","given":"Kaitlyn J."},{"family":"Allen","given":"Sian V."},{"family":"McGuigan","given":"Mike R."},{"family":"Whatman","given":"Chris S."}],"issued":{"date-parts":[["2017",10]]}}}],"schema":"https://github.com/citation-style-language/schema/raw/master/csl-citation.json"} </w:instrText>
      </w:r>
      <w:r w:rsidR="009B339E">
        <w:rPr>
          <w:rFonts w:ascii="Times" w:hAnsi="Times"/>
        </w:rPr>
        <w:fldChar w:fldCharType="separate"/>
      </w:r>
      <w:r w:rsidR="009B339E">
        <w:rPr>
          <w:rFonts w:ascii="Times" w:hAnsi="Times"/>
          <w:noProof/>
        </w:rPr>
        <w:t>(Killen et al., 2010; S. Malone et al., 2017; Weiss et al., 2017)</w:t>
      </w:r>
      <w:r w:rsidR="009B339E">
        <w:rPr>
          <w:rFonts w:ascii="Times" w:hAnsi="Times"/>
        </w:rPr>
        <w:fldChar w:fldCharType="end"/>
      </w:r>
      <w:r w:rsidR="009E46AB">
        <w:rPr>
          <w:rFonts w:ascii="Times" w:hAnsi="Times"/>
        </w:rPr>
        <w:t>, as well as an increased risk of chronic health outcomes such as impaired tendon function</w:t>
      </w:r>
      <w:r w:rsidR="009B339E">
        <w:rPr>
          <w:rFonts w:ascii="Times" w:hAnsi="Times"/>
        </w:rPr>
        <w:t xml:space="preserve"> </w:t>
      </w:r>
      <w:r w:rsidR="009B339E">
        <w:rPr>
          <w:rFonts w:ascii="Times" w:hAnsi="Times"/>
        </w:rPr>
        <w:fldChar w:fldCharType="begin"/>
      </w:r>
      <w:r w:rsidR="009B339E">
        <w:rPr>
          <w:rFonts w:ascii="Times" w:hAnsi="Times"/>
        </w:rPr>
        <w:instrText xml:space="preserve"> ADDIN ZOTERO_ITEM CSL_CITATION {"citationID":"hlMikv9y","properties":{"formattedCitation":"(Circi et al., 2017; Zwerver et al., 2011)","plainCitation":"(Circi et al., 2017; Zwerver et al., 2011)","noteIndex":0},"citationItems":[{"id":312,"uris":["http://zotero.org/users/5493924/items/J7VBZNXV"],"itemData":{"id":312,"type":"article-journal","abstract":"Background Osgood–Schlatter disease (OSD) is a selflimiting condition which occurs commonly in adolescence. Purpose The objective of this article is to review published literature regarding pathophysiology, diagnosis and treatment of OSD.","container-title":"MUSCULOSKELETAL SURGERY","DOI":"10.1007/s12306-017-0479-7","ISSN":"2035-5106, 2035-5114","issue":"3","journalAbbreviation":"Musculoskelet Surg","language":"en","page":"195-200","source":"DOI.org (Crossref)","title":"Treatment of Osgood–Schlatter disease: review of the literature","title-short":"Treatment of Osgood–Schlatter disease","volume":"101","author":[{"family":"Circi","given":"E."},{"family":"Atalay","given":"Y."},{"family":"Beyzadeoglu","given":"T."}],"issued":{"date-parts":[["2017",12]]}}},{"id":391,"uris":["http://zotero.org/users/5493924/items/RU5PGRSA"],"itemData":{"id":391,"type":"article-journal","abstract":"Background: The prevalence of jumper’s knee among nonelite athletes from different sports is unknown.\nPurpose: This study was undertaken to determine the prevalence of jumper’s knee in nonelite athletes from different sports and to determine potential risk factors for jumper’s knee. Design: Cohort study (prevalence); Level of evidence, 2.\nMethods: The authors interviewed 891 male and female nonelite athletes from 7 popular sports in The Netherlands: basketball, volleyball, handball, korfball, soccer, field hockey, and track and field. Using a specially developed questionnaire, information was obtained about individual characteristics (age, height, and weight), training background, previous and actual knee problems, and the VISA-P (Victorian Institute of Sport Assessment–Patella) score.\nResults: The overall prevalence of current jumper’s knee was 8.5% (78 of 891 athletes), showing a significant difference between sports with different loading characteristics. Prevalence was highest among volleyball players (14.4%) and lowest among soccer players (2.5%); it was significantly higher among male athletes (51 of 502 [10.2%]) than female athletes (25 of 389 [6.4%]) (x2 = 3.91, P = .048). The mean duration of symptoms was 18.9 months (standard deviation [SD], 21.6; median value, 12.0; range, 2.059.8). The mean VISA-P score of the athletes with jumper’s knee was 71.4 (SD, 13.8). Athletes with jumper’s knee were significantly younger, taller, and heavier than those without jumper’s knee.\nConclusion: Prevalence of jumper’s knee is high among nonelite athletes and varies between 14.4% and 2.5% for different sports. Jumper’s knee is almost twice as common among male nonelite athletes compared with female athletes. Different sport-specific loading characteristics of the knee extensor apparatus, a younger age, a taller body stature, and higher body weight seem to be risk factors associated with patellar tendinopathy.","container-title":"British Journal of Sports Medicine","DOI":"10.1136/bjsm.2011.084038.40","ISSN":"0306-3674","issue":"4","journalAbbreviation":"British Journal of Sports Medicine","language":"en","page":"324-324","source":"DOI.org (Crossref)","title":"Prevalence of jumper's knee among non-elite athletes from different sports; a cross-sectional survey","volume":"45","author":[{"family":"Zwerver","given":"J."},{"family":"Bredeweg","given":"S."},{"family":"Akker-Scheek","given":"I.","non-dropping-particle":"van den"}],"issued":{"date-parts":[["2011",4,1]]}}}],"schema":"https://github.com/citation-style-language/schema/raw/master/csl-citation.json"} </w:instrText>
      </w:r>
      <w:r w:rsidR="009B339E">
        <w:rPr>
          <w:rFonts w:ascii="Times" w:hAnsi="Times"/>
        </w:rPr>
        <w:fldChar w:fldCharType="separate"/>
      </w:r>
      <w:r w:rsidR="009B339E">
        <w:rPr>
          <w:rFonts w:ascii="Times" w:hAnsi="Times"/>
          <w:noProof/>
        </w:rPr>
        <w:t>(Circi et al., 2017; Zwerver et al., 2011)</w:t>
      </w:r>
      <w:r w:rsidR="009B339E">
        <w:rPr>
          <w:rFonts w:ascii="Times" w:hAnsi="Times"/>
        </w:rPr>
        <w:fldChar w:fldCharType="end"/>
      </w:r>
      <w:r w:rsidR="009E46AB">
        <w:rPr>
          <w:rFonts w:ascii="Times" w:hAnsi="Times"/>
        </w:rPr>
        <w:t xml:space="preserve">. </w:t>
      </w:r>
      <w:r w:rsidR="009007B0">
        <w:rPr>
          <w:rFonts w:ascii="Times" w:hAnsi="Times"/>
        </w:rPr>
        <w:t>Indeed, research has indicated that 33% of th</w:t>
      </w:r>
      <w:r w:rsidR="00810251">
        <w:rPr>
          <w:rFonts w:ascii="Times" w:hAnsi="Times"/>
        </w:rPr>
        <w:t>e population found in this study</w:t>
      </w:r>
      <w:r w:rsidR="009007B0">
        <w:rPr>
          <w:rFonts w:ascii="Times" w:hAnsi="Times"/>
        </w:rPr>
        <w:t xml:space="preserve"> could present with patellar tendinopathy issues </w:t>
      </w:r>
      <w:r w:rsidR="009007B0">
        <w:rPr>
          <w:rFonts w:ascii="Times" w:hAnsi="Times"/>
        </w:rPr>
        <w:fldChar w:fldCharType="begin"/>
      </w:r>
      <w:r w:rsidR="009007B0">
        <w:rPr>
          <w:rFonts w:ascii="Times" w:hAnsi="Times"/>
        </w:rPr>
        <w:instrText xml:space="preserve"> ADDIN ZOTERO_ITEM CSL_CITATION {"citationID":"VvsJKuO3","properties":{"formattedCitation":"(Hutchison et al., 2019)","plainCitation":"(Hutchison et al., 2019)","noteIndex":0},"citationItems":[{"id":389,"uris":["http://zotero.org/users/5493924/items/BLBGTB5J"],"itemData":{"id":389,"type":"article-journal","abstract":"Context: Patellar tendinopathy (PT) is a degenerative condition known to affect athletes who participate in sports such as basketball and volleyball. Patellar tendinopathy is a challenging condition to treat and may cause an athlete to prematurely retire from sport. The prevalence of PT in male collegiate basketball players is unknown. Objective: To determine the prevalence of PT and patellar tendon abnormality (PTA) in a population of male collegiate basketball players. Design: Cross-sectional study. Setting: National Collegiate Athletic Association Divisions II and III, National Association of Intercollegiate Athletics, and Northwest Athletic Conference male collegiate basketball teams were assessed in a university laboratory setting. Patients or Other Participants: Ninety-five male collegiate basketball players (age ¼ 20.0 6 1.7 years). Main Outcome Measure(s): A diagnostic ultrasound image of an athlete’s patellar tendon was obtained from each knee. Patellar tendinopathy was identified based on a player’s symptoms (pain with palpation) and the presence of a hypoechoic region on an ultrasonographic image. Results: A majority of participants, 53 of 95 (55.8%), did not present with pain during palpation or ultrasonographic evidence of PTA. Thirty-two basketball players (33.7%) displayed ultrasonographic evidence of PTA in at least 1 knee; 20 of those athletes (21.1%) had PT (pain and tendon abnormality). Nonstarters were 3.5 times more likely to present with PTA (odds ratio ¼ 3.5, 95% confidence interval ¼ 1.3, 9.6; P ¼ .017) and 4 times more likely to present with PT (odds ratio ¼ 4.0, 95% confidence interval ¼ 1.1, 14.8; P ¼ .038) at the start of the season. Conclusions: One in 3 male collegiate basketball players presented with either PT or PTA. Sports medicine professionals should evaluate basketball athletes for PT and PTA as part of a preseason screening protocol.","container-title":"Journal of Athletic Training","DOI":"10.4085/1062-6050-70-18","ISSN":"1062-6050","issue":"9","language":"en","page":"953-958","source":"DOI.org (Crossref)","title":"Prevalence of Patellar Tendinopathy and Patellar Tendon Abnormality in Male Collegiate Basketball Players: A Cross-Sectional Study","title-short":"Prevalence of Patellar Tendinopathy and Patellar Tendon Abnormality in Male Collegiate Basketball Players","volume":"54","author":[{"family":"Hutchison","given":"Marcey Keefer"},{"family":"Houck","given":"Jeff"},{"family":"Cuddeford","given":"Tyler"},{"family":"Dorociak","given":"Robin"},{"family":"Brumitt","given":"Jason"}],"issued":{"date-parts":[["2019",9,1]]}}}],"schema":"https://github.com/citation-style-language/schema/raw/master/csl-citation.json"} </w:instrText>
      </w:r>
      <w:r w:rsidR="009007B0">
        <w:rPr>
          <w:rFonts w:ascii="Times" w:hAnsi="Times"/>
        </w:rPr>
        <w:fldChar w:fldCharType="separate"/>
      </w:r>
      <w:r w:rsidR="009007B0">
        <w:rPr>
          <w:rFonts w:ascii="Times" w:hAnsi="Times"/>
          <w:noProof/>
        </w:rPr>
        <w:t>(Hutchison et al., 2019)</w:t>
      </w:r>
      <w:r w:rsidR="009007B0">
        <w:rPr>
          <w:rFonts w:ascii="Times" w:hAnsi="Times"/>
        </w:rPr>
        <w:fldChar w:fldCharType="end"/>
      </w:r>
      <w:r w:rsidR="009007B0">
        <w:rPr>
          <w:rFonts w:ascii="Times" w:hAnsi="Times"/>
        </w:rPr>
        <w:t xml:space="preserve">. </w:t>
      </w:r>
    </w:p>
    <w:p w14:paraId="33A550D4" w14:textId="479CB923" w:rsidR="007912F9" w:rsidRDefault="00281516" w:rsidP="007912F9">
      <w:pPr>
        <w:spacing w:line="480" w:lineRule="auto"/>
        <w:rPr>
          <w:rFonts w:ascii="Times" w:hAnsi="Times"/>
        </w:rPr>
      </w:pPr>
      <w:r>
        <w:rPr>
          <w:rFonts w:ascii="Times" w:hAnsi="Times"/>
        </w:rPr>
        <w:lastRenderedPageBreak/>
        <w:tab/>
        <w:t xml:space="preserve">In addition to the potential negative outcomes associated with chronically high training loads, these findings may also have practical impacts on the players on the opposite end of the spectrum (i.e., Bench players). Research has indicated that insufficient levels of training load may leave an athlete unprepared for the demands of competition, thereby incurring a greater risk of injury </w:t>
      </w:r>
      <w:r>
        <w:rPr>
          <w:rFonts w:ascii="Times" w:hAnsi="Times"/>
        </w:rPr>
        <w:fldChar w:fldCharType="begin"/>
      </w:r>
      <w:r>
        <w:rPr>
          <w:rFonts w:ascii="Times" w:hAnsi="Times"/>
        </w:rPr>
        <w:instrText xml:space="preserve"> ADDIN ZOTERO_ITEM CSL_CITATION {"citationID":"0Tx0jZe0","properties":{"formattedCitation":"(Caparr\\uc0\\u243{}s et al., 2018)","plainCitation":"(Caparrós et al., 2018)","noteIndex":0},"citationItems":[{"id":291,"uris":["http://zotero.org/users/5493924/items/UEZMLTTP"],"itemData":{"id":291,"type":"article-journal","abstract":"The primary purpose of this study was to identify potential risk factors for sports injuries in professional basketball. An observational retrospective cohort study involving a male professional basketball team, using game tracking data was conducted during three consecutive seasons. Thirty-three professional basketball players took part in this study. A total of 29 time-loss injuries were recorded during regular season games, accounting for 244 total missed games with a mean of 16.26 ± 15.21 per player and season. The tracking data included the following variables: minutes played, physiological load, physiological intensity, mechanical load, mechanical intensity, distance covered, walking maximal speed, maximal speed, sprinting maximal speed, maximal speed, average offensive speed, average defensive speed, level one acceleration, level two acceleration, level three acceleration, level four acceleration, level one deceleration, level two deceleration, level three deceleration, level four deceleration, player efficiency rating and usage percentage. The influence of demographic characteristics, tracking data and performance factors on the risk of injury was investigated using multivariate analysis with their incidence rate ratios (IRRs). Athletes with less or equal than 3 decelerations per game (IRR, 4.36; 95% CI, 1.78-10.6) and those running less or equal than 1.3 miles per game (lower workload) (IRR, 6.42 ; 95% CI, 2.52-16.3) had a higher risk of injury during games (p &lt; 0.01 in both cases). Therefore, unloaded players have a higher risk of injury. Adequate management of training loads might be a relevant factor to reduce the likelihood of injury according to individual profiles.","container-title":"Journal of Sports Science &amp; Medicine","journalAbbreviation":"J Sports Sci Med","language":"en","page":"289-287","source":"Zotero","title":"Low external workloads are related to higher injury risk in professional male basketball games","volume":"17","author":[{"family":"Caparrós","given":"Toni"},{"family":"Casals","given":"Martí"},{"family":"Solana","given":"Álvaro"},{"family":"Peña","given":"Javier"}],"issued":{"date-parts":[["2018",5]]}}}],"schema":"https://github.com/citation-style-language/schema/raw/master/csl-citation.json"} </w:instrText>
      </w:r>
      <w:r>
        <w:rPr>
          <w:rFonts w:ascii="Times" w:hAnsi="Times"/>
        </w:rPr>
        <w:fldChar w:fldCharType="separate"/>
      </w:r>
      <w:r w:rsidRPr="00281516">
        <w:rPr>
          <w:rFonts w:ascii="Times" w:hAnsi="Times"/>
        </w:rPr>
        <w:t>(Caparrós et al., 2018)</w:t>
      </w:r>
      <w:r>
        <w:rPr>
          <w:rFonts w:ascii="Times" w:hAnsi="Times"/>
        </w:rPr>
        <w:fldChar w:fldCharType="end"/>
      </w:r>
      <w:r>
        <w:rPr>
          <w:rFonts w:ascii="Times" w:hAnsi="Times"/>
        </w:rPr>
        <w:t xml:space="preserve">. Furthermore, low levels of training load (which are often attributed to limited participation in practices and competitions) may not provide enough stimulus to improve motor and sport-specific skills </w:t>
      </w:r>
      <w:r>
        <w:rPr>
          <w:rFonts w:ascii="Times" w:hAnsi="Times"/>
        </w:rPr>
        <w:fldChar w:fldCharType="begin"/>
      </w:r>
      <w:r>
        <w:rPr>
          <w:rFonts w:ascii="Times" w:hAnsi="Times"/>
        </w:rPr>
        <w:instrText xml:space="preserve"> ADDIN ZOTERO_ITEM CSL_CITATION {"citationID":"EOZC6OeH","properties":{"formattedCitation":"(Farrow &amp; Robertson, 2017)","plainCitation":"(Farrow &amp; Robertson, 2017)","noteIndex":0},"citationItems":[{"id":413,"uris":["http://zotero.org/users/5493924/items/98CCSAMQ"],"itemData":{"id":413,"type":"article-journal","abstract":"Unlike physical training, skill acquisition does not currently utilise periodisation to plan, monitor and evaluate programs. Development of a skill acquisition periodisation framework would allow for systematic investigation into the acute and longitudinal effectiveness of such interventions. Using the physical training literature as a reference point, a skill-training periodisation framework was developed for use in high-performance sport. Previous research undertaken in skill acquisition was used to provide support for the framework. The speciﬁcity, progression, overload, reversibility and tedium (SPORT) acronym was adopted. Each principle was then re-conceptualised so that it related to relevant skill acquisition principles. Methods for the measurement and analysis of each principle are provided and future directions for the longitudinal assessment of skill acquisition are discussed. The skill acquisition periodisation framework proposed in this study represents an opportunity for the principles relating to skill acquisition training to be measured in a systematic and holistic manner. This can also allow for a more sophisticated evaluation of the efﬁcacy of longitudinal training programmes and interventions designed for sustained skill enhancement.","container-title":"Sports Medicine","DOI":"10.1007/s40279-016-0646-2","ISSN":"0112-1642, 1179-2035","issue":"6","journalAbbreviation":"Sports Med","language":"en","page":"1043-1054","source":"DOI.org (Crossref)","title":"Development of a Skill Acquisition Periodisation Framework for High-Performance Sport","volume":"47","author":[{"family":"Farrow","given":"Damian"},{"family":"Robertson","given":"Sam"}],"issued":{"date-parts":[["2017",6]]}}}],"schema":"https://github.com/citation-style-language/schema/raw/master/csl-citation.json"} </w:instrText>
      </w:r>
      <w:r>
        <w:rPr>
          <w:rFonts w:ascii="Times" w:hAnsi="Times"/>
        </w:rPr>
        <w:fldChar w:fldCharType="separate"/>
      </w:r>
      <w:r>
        <w:rPr>
          <w:rFonts w:ascii="Times" w:hAnsi="Times"/>
          <w:noProof/>
        </w:rPr>
        <w:t>(Farrow &amp; Robertson, 2017)</w:t>
      </w:r>
      <w:r>
        <w:rPr>
          <w:rFonts w:ascii="Times" w:hAnsi="Times"/>
        </w:rPr>
        <w:fldChar w:fldCharType="end"/>
      </w:r>
      <w:r>
        <w:rPr>
          <w:rFonts w:ascii="Times" w:hAnsi="Times"/>
        </w:rPr>
        <w:t xml:space="preserve">. </w:t>
      </w:r>
      <w:r w:rsidR="009E46AB">
        <w:rPr>
          <w:rFonts w:ascii="Times" w:hAnsi="Times"/>
        </w:rPr>
        <w:t xml:space="preserve">Therefore, </w:t>
      </w:r>
      <w:r w:rsidR="009007B0">
        <w:rPr>
          <w:rFonts w:ascii="Times" w:hAnsi="Times"/>
        </w:rPr>
        <w:t xml:space="preserve">this information could improve the understanding of physical demands experienced by NCAA DI men’s basketball student-athletes and could inform practitioners as they structure short and long-term training plans. </w:t>
      </w:r>
    </w:p>
    <w:p w14:paraId="2A433A7A" w14:textId="0AF5B562" w:rsidR="003108FC" w:rsidRPr="001A4782" w:rsidRDefault="009007B0">
      <w:pPr>
        <w:spacing w:line="480" w:lineRule="auto"/>
        <w:ind w:firstLine="720"/>
      </w:pPr>
      <w:r w:rsidRPr="007912F9">
        <w:t>Lastly, the findings of this research</w:t>
      </w:r>
      <w:r w:rsidR="00AF66C9" w:rsidRPr="007912F9">
        <w:t xml:space="preserve"> demonstrate that NCAA DI men’s basketball student-athletes experience relatively similar training loads to </w:t>
      </w:r>
      <w:r w:rsidR="007912F9" w:rsidRPr="007912F9">
        <w:t xml:space="preserve">basketball athletes at the semi-professional and amateur level, but significantly less than </w:t>
      </w:r>
      <w:r w:rsidR="00E77026">
        <w:t>those</w:t>
      </w:r>
      <w:r w:rsidR="007912F9" w:rsidRPr="007912F9">
        <w:t xml:space="preserve"> at the professional level. At the semi-professional level, on-court PL was found </w:t>
      </w:r>
      <w:r w:rsidR="00E77026">
        <w:t xml:space="preserve">to </w:t>
      </w:r>
      <w:r w:rsidR="007912F9" w:rsidRPr="007912F9">
        <w:t xml:space="preserve">be 1,036 </w:t>
      </w:r>
      <w:r w:rsidR="007912F9" w:rsidRPr="007912F9">
        <w:sym w:font="Symbol" w:char="F0B1"/>
      </w:r>
      <w:r w:rsidR="007912F9" w:rsidRPr="007912F9">
        <w:t xml:space="preserve"> 403, 1,259 </w:t>
      </w:r>
      <w:r w:rsidR="007912F9" w:rsidRPr="007912F9">
        <w:sym w:font="Symbol" w:char="F0B1"/>
      </w:r>
      <w:r w:rsidR="007912F9" w:rsidRPr="007912F9">
        <w:t xml:space="preserve"> 637, and 2,137 </w:t>
      </w:r>
      <w:r w:rsidR="007912F9" w:rsidRPr="007912F9">
        <w:sym w:font="Symbol" w:char="F0B1"/>
      </w:r>
      <w:r w:rsidR="007912F9" w:rsidRPr="007912F9">
        <w:t xml:space="preserve"> 775 AU in weeks with 1, 2 or 3 games, respectively </w:t>
      </w:r>
      <w:r w:rsidR="007912F9">
        <w:fldChar w:fldCharType="begin"/>
      </w:r>
      <w:r w:rsidR="007912F9">
        <w:instrText xml:space="preserve"> ADDIN ZOTERO_ITEM CSL_CITATION {"citationID":"OulvUZnr","properties":{"formattedCitation":"(J. Fox et al., 2020)","plainCitation":"(J. Fox et al., 2020)","noteIndex":0},"citationItems":[{"id":189,"uris":["http://zotero.org/users/5493924/items/HZDBIFAB"],"itemData":{"id":189,"type":"article-journal","abstract":"To quantify and compare workloads encountered by basketball players during individual games played across 1-, 2-, and 3-day periods in the same week, and during weeks where 1, 2, and 3 games are scheduled. Eight semi-professional male players were monitored. External workload was determined as absolute and relative (·min-1) PlayerLoad (PL), and total and high-intensity jumps, accelerations, decelerations, and changes of direction (COD). Internal workload was determined as absolute and relative summated heart rate zones (SHRZ), session-rating of perceived exertion (sRPE), and RPE. Game workloads were tabulated considering the order in which they were scheduled weekly (game 1, 2, or 3), and each week considering the number of games scheduled (1, 2, or 3 games). Analysing weekly workloads, duration was higher during 3-game than 1- and 2-game weeks (P &lt;0.05, ES = 6.65-18.19). High-intensity decelerations and COD were higher during 3-game than 1-game weeks (P &lt;0.05, ES = 1.26–1.55). Absolute PL, jumps, accelerations, decelerations, COD, and high-intensity jumps and accelerations were higher during 3-game than 1- and 2-game weeks (P &lt;0.05, ES = 0.69–2.63). Absolute SHRZ and sRPE were higher during 3-game than 1- and 2-game weeks (P &lt;0.05, ES = 0.86–2.43). Players completed similar individual game workloads regardless of the number of games played on consecutive days in the week. Workloads were similar during 1- and 2-game weeks, while the addition of a third game significantly increased the overall weekly workloads encountered.","container-title":"Biology of Sport","DOI":"10.5114/biolsport.2020.91499","ISSN":"0860-021X","issue":"1","journalAbbreviation":"Biol. Sport","language":"en","page":"59-67","source":"DOI.org (Crossref)","title":"Game schedule congestion affects weekly workloads but not individual game demands in semi-professional basketball","volume":"37","author":[{"family":"Fox","given":"Jordan"},{"family":"O’Grady","given":"Cody"},{"family":"Scanlan","given":"Aaron T."}],"issued":{"date-parts":[["2020"]]}}}],"schema":"https://github.com/citation-style-language/schema/raw/master/csl-citation.json"} </w:instrText>
      </w:r>
      <w:r w:rsidR="007912F9">
        <w:fldChar w:fldCharType="separate"/>
      </w:r>
      <w:r w:rsidR="007912F9">
        <w:rPr>
          <w:noProof/>
        </w:rPr>
        <w:t>(J. Fox et al., 2020)</w:t>
      </w:r>
      <w:r w:rsidR="007912F9">
        <w:fldChar w:fldCharType="end"/>
      </w:r>
      <w:r w:rsidR="007912F9">
        <w:t xml:space="preserve">. Starters at the professional level experienced PL of 2664 AU, 2302 AU, and 1699 AU depending on if they were classified as Starters, Rotation, or Bench players </w:t>
      </w:r>
      <w:r w:rsidR="007912F9">
        <w:fldChar w:fldCharType="begin"/>
      </w:r>
      <w:r w:rsidR="007912F9">
        <w:instrText xml:space="preserve"> ADDIN ZOTERO_ITEM CSL_CITATION {"citationID":"LCmhA9z3","properties":{"formattedCitation":"(Russell, McLean, Stolp, et al., 2021)","plainCitation":"(Russell, McLean, Stolp, et al., 2021)","noteIndex":0},"citationItems":[{"id":269,"uris":["http://zotero.org/users/5493924/items/TXFNZU44"],"itemData":{"id":269,"type":"article-journal","abstract":"Purpose: There are currently no data describing combined practice and game load demands throughout a National Basketball Association (NBA) season. The primary objective of this study was to integrate external load data garnered from all on-court activity throughout an NBA season, according to different activity and player characteristics.\nMethods: Data from 14 professional male basketball players (mean ± SD; age, 27.3 ± 4.8 years; height, 201.0 ± 7.2 cm; body mass, 104.9 ± 10.6 kg) playing for the same club during the 2017–2018 NBA season were retrospectively analyzed. Game and training data were integrated to create a consolidated external load measure, which was termed integrated load. Players were categorized by years of NBA experience (1-2y, 3-5y, 6-9y, and 10 + y), position (frontcourt and backcourt), and playing rotation status (starter, rotation, and bench).\nResults: Total weekly duration was significantly different (p &lt; 0.001) between years of NBA playing experience, with duration highest in 3–5 year players, compared with 6–9 (d = 0.46) and 10+ (d = 0.78) year players. Starters experienced the highest integrated load, compared with bench (d = 0.77) players. There were no significant differences in integrated load or duration between positions.\nConclusion: This is the first study to describe the seasonal training loads of NBA players for an entire season and shows that a most training load is accumulated in non-game activities. This study highlights the need for integrated and unobtrusive training load monitoring, with engagement of all stakeholders to develop well-informed individualized training prescription to optimize preparation of NBA players.","container-title":"Frontiers in Psychology","DOI":"10.3389/fpsyg.2021.793216","ISSN":"1664-1078","journalAbbreviation":"Front. Psychol.","language":"en","page":"793216","source":"DOI.org (Crossref)","title":"Quantifying training and game demands of a National Basketball Association season","volume":"12","author":[{"family":"Russell","given":"Jennifer L."},{"family":"McLean","given":"Blake D."},{"family":"Stolp","given":"Sean"},{"family":"Strack","given":"Donnie"},{"family":"Coutts","given":"Aaron J."}],"issued":{"date-parts":[["2021",12,21]]}}}],"schema":"https://github.com/citation-style-language/schema/raw/master/csl-citation.json"} </w:instrText>
      </w:r>
      <w:r w:rsidR="007912F9">
        <w:fldChar w:fldCharType="separate"/>
      </w:r>
      <w:r w:rsidR="007912F9">
        <w:rPr>
          <w:noProof/>
        </w:rPr>
        <w:t>(Russell, McLean, Stolp, et al., 2021)</w:t>
      </w:r>
      <w:r w:rsidR="007912F9">
        <w:fldChar w:fldCharType="end"/>
      </w:r>
      <w:r w:rsidR="007912F9">
        <w:t>. These results may be of particular importance to practitioners at the NCAA DI</w:t>
      </w:r>
      <w:r w:rsidR="009B339E">
        <w:t xml:space="preserve"> level,</w:t>
      </w:r>
      <w:r w:rsidR="00D35BFE">
        <w:t xml:space="preserve"> as 86% of players that play professional basketball in the United States played basketball at the NCAA DI level </w:t>
      </w:r>
      <w:r w:rsidR="00D35BFE">
        <w:fldChar w:fldCharType="begin"/>
      </w:r>
      <w:r w:rsidR="00D35BFE">
        <w:instrText xml:space="preserve"> ADDIN ZOTERO_ITEM CSL_CITATION {"citationID":"y9W17d1A","properties":{"formattedCitation":"({\\i{}Men\\uc0\\u8217{}s Basketball: Probability of Competing beyond High School}, 2020)","plainCitation":"(Men’s Basketball: Probability of Competing beyond High School, 2020)","noteIndex":0},"citationItems":[{"id":407,"uris":["http://zotero.org/users/5493924/items/YETIS5AA"],"itemData":{"id":407,"type":"webpage","container-title":"NCAA","title":"Men's Basketball: Probability of competing beyond high school","URL":"https://www.ncaa.org/sports/2015/3/6/men-s-basketball-probability-of-competing-beyond-high-school.aspx","issued":{"date-parts":[["2020",4,20]]}}}],"schema":"https://github.com/citation-style-language/schema/raw/master/csl-citation.json"} </w:instrText>
      </w:r>
      <w:r w:rsidR="00D35BFE">
        <w:fldChar w:fldCharType="separate"/>
      </w:r>
      <w:r w:rsidR="00D35BFE" w:rsidRPr="00D35BFE">
        <w:t>(</w:t>
      </w:r>
      <w:r w:rsidR="00D35BFE" w:rsidRPr="00D35BFE">
        <w:rPr>
          <w:i/>
          <w:iCs/>
        </w:rPr>
        <w:t>Men’s Basketball: Probability of Competing beyond High School</w:t>
      </w:r>
      <w:r w:rsidR="00D35BFE" w:rsidRPr="00D35BFE">
        <w:t>, 2020)</w:t>
      </w:r>
      <w:r w:rsidR="00D35BFE">
        <w:fldChar w:fldCharType="end"/>
      </w:r>
      <w:r w:rsidR="009B339E">
        <w:t xml:space="preserve">. These practitioners should be aware of the increased physical demands that are present in professional competitions and may design training programs to prepare these athletes for professional competition in order to minimize injury risk. </w:t>
      </w:r>
    </w:p>
    <w:p w14:paraId="0D3FAD38" w14:textId="112D170B" w:rsidR="003749DE" w:rsidRPr="00214302" w:rsidRDefault="003749DE" w:rsidP="00185222">
      <w:pPr>
        <w:pStyle w:val="Title"/>
        <w:jc w:val="center"/>
        <w:rPr>
          <w:rFonts w:ascii="Times" w:hAnsi="Times" w:cs="Times New Roman"/>
          <w:noProof/>
          <w:color w:val="000000" w:themeColor="text1"/>
          <w:sz w:val="32"/>
          <w:szCs w:val="32"/>
        </w:rPr>
      </w:pPr>
      <w:r w:rsidRPr="00214302">
        <w:rPr>
          <w:rFonts w:ascii="Times" w:hAnsi="Times" w:cs="Times New Roman"/>
          <w:noProof/>
          <w:color w:val="000000" w:themeColor="text1"/>
          <w:sz w:val="32"/>
          <w:szCs w:val="32"/>
        </w:rPr>
        <w:lastRenderedPageBreak/>
        <w:t xml:space="preserve">Chapter </w:t>
      </w:r>
      <w:r w:rsidR="00BE6377" w:rsidRPr="00214302">
        <w:rPr>
          <w:rFonts w:ascii="Times" w:hAnsi="Times" w:cs="Times New Roman"/>
          <w:noProof/>
          <w:color w:val="000000" w:themeColor="text1"/>
          <w:sz w:val="32"/>
          <w:szCs w:val="32"/>
        </w:rPr>
        <w:t>6</w:t>
      </w:r>
      <w:r w:rsidRPr="00214302">
        <w:rPr>
          <w:rFonts w:ascii="Times" w:hAnsi="Times" w:cs="Times New Roman"/>
          <w:noProof/>
          <w:color w:val="000000" w:themeColor="text1"/>
          <w:sz w:val="32"/>
          <w:szCs w:val="32"/>
        </w:rPr>
        <w:t>: Conclusions</w:t>
      </w:r>
    </w:p>
    <w:p w14:paraId="19F6770C" w14:textId="5A3301C8" w:rsidR="00155642" w:rsidRDefault="00155642" w:rsidP="003749DE">
      <w:pPr>
        <w:jc w:val="center"/>
      </w:pPr>
    </w:p>
    <w:p w14:paraId="71D82920" w14:textId="14FDF157" w:rsidR="001A4782" w:rsidRPr="001A4782" w:rsidRDefault="001A4782" w:rsidP="002D060B">
      <w:pPr>
        <w:spacing w:line="480" w:lineRule="auto"/>
        <w:rPr>
          <w:rFonts w:ascii="Times" w:hAnsi="Times"/>
        </w:rPr>
      </w:pPr>
      <w:r>
        <w:rPr>
          <w:rFonts w:ascii="Times" w:hAnsi="Times"/>
        </w:rPr>
        <w:tab/>
      </w:r>
      <w:r w:rsidR="002D060B">
        <w:rPr>
          <w:rFonts w:ascii="Times" w:hAnsi="Times"/>
        </w:rPr>
        <w:t xml:space="preserve">The primary purpose of this study was to evaluate the efficacy of predicting competition training load values from live practice data, and to determine the differences in PL across an NCAA DI men’s basketball team. </w:t>
      </w:r>
    </w:p>
    <w:p w14:paraId="3C32C12B" w14:textId="77777777" w:rsidR="00155642" w:rsidRPr="00185222" w:rsidRDefault="00155642" w:rsidP="004C0C81">
      <w:pPr>
        <w:rPr>
          <w:rFonts w:ascii="Times" w:hAnsi="Times"/>
          <w:b/>
          <w:bCs/>
        </w:rPr>
      </w:pPr>
    </w:p>
    <w:p w14:paraId="1545157F" w14:textId="598A9547" w:rsidR="0007213F" w:rsidRDefault="00185222" w:rsidP="00185222">
      <w:pPr>
        <w:pStyle w:val="ListParagraph"/>
        <w:jc w:val="center"/>
        <w:rPr>
          <w:rFonts w:ascii="Times" w:hAnsi="Times"/>
          <w:b/>
          <w:bCs/>
        </w:rPr>
      </w:pPr>
      <w:r w:rsidRPr="00185222">
        <w:rPr>
          <w:rFonts w:ascii="Times" w:hAnsi="Times"/>
          <w:b/>
          <w:bCs/>
        </w:rPr>
        <w:t>Research Questions</w:t>
      </w:r>
    </w:p>
    <w:p w14:paraId="348D99D6" w14:textId="6D205039" w:rsidR="00185222" w:rsidRDefault="00185222" w:rsidP="00185222">
      <w:pPr>
        <w:pStyle w:val="ListParagraph"/>
        <w:jc w:val="center"/>
        <w:rPr>
          <w:rFonts w:ascii="Times" w:hAnsi="Times"/>
          <w:b/>
          <w:bCs/>
        </w:rPr>
      </w:pPr>
    </w:p>
    <w:p w14:paraId="0CEBF9DF" w14:textId="77777777" w:rsidR="002D060B" w:rsidRDefault="002D060B" w:rsidP="002D060B">
      <w:pPr>
        <w:spacing w:line="480" w:lineRule="auto"/>
      </w:pPr>
      <w:r w:rsidRPr="002D060B">
        <w:rPr>
          <w:rFonts w:ascii="Times" w:hAnsi="Times"/>
          <w:i/>
          <w:iCs/>
          <w:u w:val="single"/>
        </w:rPr>
        <w:t xml:space="preserve">Research Question 1: </w:t>
      </w:r>
      <w:r w:rsidRPr="002D060B">
        <w:rPr>
          <w:rFonts w:ascii="Times" w:hAnsi="Times"/>
        </w:rPr>
        <w:t xml:space="preserve">What are the external training loads experienced by college basketball players over the course of an NCAA Division I Men’s Basketball season? </w:t>
      </w:r>
    </w:p>
    <w:p w14:paraId="487DAC49" w14:textId="571FB691" w:rsidR="002D060B" w:rsidRDefault="002D060B" w:rsidP="002D060B">
      <w:pPr>
        <w:spacing w:line="480" w:lineRule="auto"/>
        <w:rPr>
          <w:rFonts w:ascii="Times" w:hAnsi="Times"/>
        </w:rPr>
      </w:pPr>
      <w:r w:rsidRPr="002D060B">
        <w:rPr>
          <w:rFonts w:ascii="Times" w:hAnsi="Times"/>
          <w:i/>
          <w:iCs/>
        </w:rPr>
        <w:t xml:space="preserve">Hypothesis 1: </w:t>
      </w:r>
      <w:r w:rsidRPr="002D060B">
        <w:rPr>
          <w:rFonts w:ascii="Times" w:hAnsi="Times"/>
        </w:rPr>
        <w:t>It is hypothesized that external training load values across an NCAA Division I (DI) Men’s Basketball team will be heavily stratified, with a select few players experiencing statistically significant differences in external training load relative to their teammates.</w:t>
      </w:r>
    </w:p>
    <w:p w14:paraId="76ABBD87" w14:textId="72F6120C" w:rsidR="002D060B" w:rsidRDefault="002D060B" w:rsidP="002D060B">
      <w:pPr>
        <w:spacing w:line="480" w:lineRule="auto"/>
        <w:rPr>
          <w:rFonts w:ascii="Times" w:hAnsi="Times"/>
        </w:rPr>
      </w:pPr>
      <w:r>
        <w:rPr>
          <w:rFonts w:ascii="Times" w:hAnsi="Times"/>
        </w:rPr>
        <w:tab/>
        <w:t>Hypothesis 1 will be accepted, as there were statistically significant differences in mean weekly and monthly external training load</w:t>
      </w:r>
      <w:r w:rsidR="008F00E1">
        <w:rPr>
          <w:rFonts w:ascii="Times" w:hAnsi="Times"/>
        </w:rPr>
        <w:t xml:space="preserve"> values when comparing Starters to Rotation and Bench players. </w:t>
      </w:r>
    </w:p>
    <w:p w14:paraId="6CC1A1C6" w14:textId="00ABBEE1" w:rsidR="008F00E1" w:rsidRDefault="008F00E1" w:rsidP="008F00E1">
      <w:pPr>
        <w:spacing w:line="480" w:lineRule="auto"/>
        <w:rPr>
          <w:rFonts w:ascii="Times" w:hAnsi="Times"/>
        </w:rPr>
      </w:pPr>
      <w:r w:rsidRPr="008F00E1">
        <w:rPr>
          <w:rFonts w:ascii="Times" w:hAnsi="Times"/>
          <w:i/>
          <w:iCs/>
          <w:u w:val="single"/>
        </w:rPr>
        <w:t xml:space="preserve">Research Question 2: </w:t>
      </w:r>
      <w:r w:rsidRPr="008F00E1">
        <w:rPr>
          <w:rFonts w:ascii="Times" w:hAnsi="Times"/>
        </w:rPr>
        <w:t>Do practice sessions sufficiently replicate the game demands of an NCAA Division I Men’s basketball game in order to adequately prepare athletes for competition?</w:t>
      </w:r>
    </w:p>
    <w:p w14:paraId="58866219" w14:textId="2830C462" w:rsidR="008F00E1" w:rsidRDefault="008F00E1" w:rsidP="008F00E1">
      <w:pPr>
        <w:spacing w:line="480" w:lineRule="auto"/>
        <w:rPr>
          <w:rFonts w:ascii="Times" w:hAnsi="Times"/>
        </w:rPr>
      </w:pPr>
      <w:r w:rsidRPr="008F00E1">
        <w:rPr>
          <w:rFonts w:ascii="Times" w:hAnsi="Times"/>
          <w:i/>
          <w:iCs/>
        </w:rPr>
        <w:t xml:space="preserve">Hypothesis 2: </w:t>
      </w:r>
      <w:r w:rsidRPr="008F00E1">
        <w:rPr>
          <w:rFonts w:ascii="Times" w:hAnsi="Times"/>
        </w:rPr>
        <w:t xml:space="preserve">It is hypothesized that live practice sessions will be able to effectively predict game demands. </w:t>
      </w:r>
    </w:p>
    <w:p w14:paraId="71EAB139" w14:textId="13F885A5" w:rsidR="008F00E1" w:rsidRPr="008F00E1" w:rsidRDefault="008F00E1" w:rsidP="008F00E1">
      <w:pPr>
        <w:spacing w:line="480" w:lineRule="auto"/>
        <w:rPr>
          <w:rFonts w:ascii="Times" w:hAnsi="Times"/>
        </w:rPr>
      </w:pPr>
      <w:r>
        <w:rPr>
          <w:rFonts w:ascii="Times" w:hAnsi="Times"/>
        </w:rPr>
        <w:tab/>
        <w:t xml:space="preserve">Hypothesis 2 will not be accepted, as </w:t>
      </w:r>
      <w:r w:rsidR="00E0121B">
        <w:rPr>
          <w:rFonts w:ascii="Times" w:hAnsi="Times"/>
        </w:rPr>
        <w:t>there is insufficient evidence to definitively state which model more effectively predicted game demands.</w:t>
      </w:r>
      <w:r w:rsidR="002E77A2">
        <w:rPr>
          <w:rFonts w:ascii="Times" w:hAnsi="Times"/>
        </w:rPr>
        <w:t xml:space="preserve"> </w:t>
      </w:r>
    </w:p>
    <w:p w14:paraId="508F896C" w14:textId="77777777" w:rsidR="00850B91" w:rsidRPr="002E77A2" w:rsidRDefault="00850B91" w:rsidP="002E77A2">
      <w:pPr>
        <w:rPr>
          <w:rFonts w:ascii="Times" w:hAnsi="Times"/>
          <w:b/>
          <w:bCs/>
        </w:rPr>
      </w:pPr>
    </w:p>
    <w:p w14:paraId="18170799" w14:textId="1AA2772F" w:rsidR="00185222" w:rsidRPr="00185222" w:rsidRDefault="00185222" w:rsidP="00185222">
      <w:pPr>
        <w:pStyle w:val="ListParagraph"/>
        <w:jc w:val="center"/>
        <w:rPr>
          <w:rFonts w:ascii="Times" w:hAnsi="Times"/>
          <w:b/>
          <w:bCs/>
        </w:rPr>
      </w:pPr>
      <w:r w:rsidRPr="00185222">
        <w:rPr>
          <w:rFonts w:ascii="Times" w:hAnsi="Times"/>
          <w:b/>
          <w:bCs/>
        </w:rPr>
        <w:t>Practical Significance</w:t>
      </w:r>
    </w:p>
    <w:p w14:paraId="673165C2" w14:textId="3C3CF160" w:rsidR="00185222" w:rsidRDefault="00185222" w:rsidP="00185222">
      <w:pPr>
        <w:pStyle w:val="ListParagraph"/>
        <w:jc w:val="center"/>
        <w:rPr>
          <w:rFonts w:ascii="Times" w:hAnsi="Times"/>
          <w:b/>
          <w:bCs/>
        </w:rPr>
      </w:pPr>
    </w:p>
    <w:p w14:paraId="6501B006" w14:textId="0CCAB7AA" w:rsidR="002E77A2" w:rsidRDefault="002E77A2" w:rsidP="002E77A2">
      <w:pPr>
        <w:pStyle w:val="ListParagraph"/>
        <w:spacing w:line="480" w:lineRule="auto"/>
        <w:rPr>
          <w:rFonts w:ascii="Times" w:hAnsi="Times"/>
        </w:rPr>
      </w:pPr>
      <w:r>
        <w:rPr>
          <w:rFonts w:ascii="Times" w:hAnsi="Times"/>
        </w:rPr>
        <w:t xml:space="preserve">The findings from this research provide several practical recommendations for </w:t>
      </w:r>
    </w:p>
    <w:p w14:paraId="33289E22" w14:textId="737D6652" w:rsidR="002E77A2" w:rsidRPr="00B77B9D" w:rsidRDefault="002E77A2" w:rsidP="00B77B9D">
      <w:pPr>
        <w:spacing w:line="480" w:lineRule="auto"/>
        <w:rPr>
          <w:rFonts w:ascii="Times" w:hAnsi="Times"/>
        </w:rPr>
      </w:pPr>
      <w:r>
        <w:rPr>
          <w:rFonts w:ascii="Times" w:hAnsi="Times"/>
        </w:rPr>
        <w:lastRenderedPageBreak/>
        <w:t>p</w:t>
      </w:r>
      <w:r w:rsidRPr="002E77A2">
        <w:rPr>
          <w:rFonts w:ascii="Times" w:hAnsi="Times"/>
        </w:rPr>
        <w:t>ractitioners</w:t>
      </w:r>
      <w:r>
        <w:rPr>
          <w:rFonts w:ascii="Times" w:hAnsi="Times"/>
        </w:rPr>
        <w:t xml:space="preserve"> working with this population. Practitioners </w:t>
      </w:r>
      <w:r w:rsidR="00B77B9D">
        <w:rPr>
          <w:rFonts w:ascii="Times" w:hAnsi="Times"/>
        </w:rPr>
        <w:t>working with NCAA DI men’s basketball players should be aware that a select portion of the team may encounter significantly higher physical demands than the rest of the team. These findings should impact the periodization of training plans as well as the structure of physical development programs in order to optimally prepare student-athletes for competition as well as prepare them for the potential demands of professional basketball.</w:t>
      </w:r>
    </w:p>
    <w:p w14:paraId="31EF1672" w14:textId="77777777" w:rsidR="002E77A2" w:rsidRPr="00185222" w:rsidRDefault="002E77A2" w:rsidP="00185222">
      <w:pPr>
        <w:pStyle w:val="ListParagraph"/>
        <w:jc w:val="center"/>
        <w:rPr>
          <w:rFonts w:ascii="Times" w:hAnsi="Times"/>
          <w:b/>
          <w:bCs/>
        </w:rPr>
      </w:pPr>
    </w:p>
    <w:p w14:paraId="0E8EF1BE" w14:textId="6BECF47A" w:rsidR="00185222" w:rsidRDefault="00185222" w:rsidP="00185222">
      <w:pPr>
        <w:pStyle w:val="ListParagraph"/>
        <w:jc w:val="center"/>
        <w:rPr>
          <w:rFonts w:ascii="Times" w:hAnsi="Times"/>
          <w:b/>
          <w:bCs/>
        </w:rPr>
      </w:pPr>
      <w:r w:rsidRPr="00185222">
        <w:rPr>
          <w:rFonts w:ascii="Times" w:hAnsi="Times"/>
          <w:b/>
          <w:bCs/>
        </w:rPr>
        <w:t xml:space="preserve">Suggestions </w:t>
      </w:r>
      <w:r w:rsidR="00B77B9D" w:rsidRPr="00185222">
        <w:rPr>
          <w:rFonts w:ascii="Times" w:hAnsi="Times"/>
          <w:b/>
          <w:bCs/>
        </w:rPr>
        <w:t>for</w:t>
      </w:r>
      <w:r w:rsidRPr="00185222">
        <w:rPr>
          <w:rFonts w:ascii="Times" w:hAnsi="Times"/>
          <w:b/>
          <w:bCs/>
        </w:rPr>
        <w:t xml:space="preserve"> Future Research</w:t>
      </w:r>
    </w:p>
    <w:p w14:paraId="17B26BEF" w14:textId="32E380AC" w:rsidR="00B77B9D" w:rsidRDefault="00B77B9D" w:rsidP="00185222">
      <w:pPr>
        <w:pStyle w:val="ListParagraph"/>
        <w:jc w:val="center"/>
        <w:rPr>
          <w:rFonts w:ascii="Times" w:hAnsi="Times"/>
          <w:b/>
          <w:bCs/>
        </w:rPr>
      </w:pPr>
    </w:p>
    <w:p w14:paraId="33FB804F" w14:textId="5C779C41" w:rsidR="00B77B9D" w:rsidRPr="00B77B9D" w:rsidRDefault="00B77B9D" w:rsidP="00B77B9D">
      <w:pPr>
        <w:pStyle w:val="ListParagraph"/>
        <w:spacing w:line="480" w:lineRule="auto"/>
        <w:rPr>
          <w:rFonts w:ascii="Times" w:hAnsi="Times"/>
        </w:rPr>
      </w:pPr>
      <w:r w:rsidRPr="00B77B9D">
        <w:rPr>
          <w:rFonts w:ascii="Times" w:hAnsi="Times"/>
        </w:rPr>
        <w:t xml:space="preserve">Future studies around this topic should either include additional variables to improve </w:t>
      </w:r>
    </w:p>
    <w:p w14:paraId="2C7B30EC" w14:textId="64676277" w:rsidR="00B77B9D" w:rsidRPr="00B77B9D" w:rsidRDefault="00B77B9D" w:rsidP="0059317D">
      <w:pPr>
        <w:spacing w:line="480" w:lineRule="auto"/>
        <w:rPr>
          <w:rFonts w:ascii="Times" w:hAnsi="Times"/>
          <w:b/>
          <w:bCs/>
        </w:rPr>
      </w:pPr>
      <w:r w:rsidRPr="00B77B9D">
        <w:rPr>
          <w:rFonts w:ascii="Times" w:hAnsi="Times"/>
        </w:rPr>
        <w:t xml:space="preserve">the predictive capabilities of the regression models or should directly measure external training load values during competitions in order to paint a more complete picture of the demands experienced by NCAA DI men’s basketball players. </w:t>
      </w:r>
      <w:r>
        <w:rPr>
          <w:rFonts w:ascii="Times" w:hAnsi="Times"/>
        </w:rPr>
        <w:t>Additionally, a similar study methodology should be utilized with a different team, as these findings may be heavily influenced by the coaching staff and could be different with other coaching staffs.</w:t>
      </w:r>
    </w:p>
    <w:p w14:paraId="47DA18D4" w14:textId="16508A9A" w:rsidR="009B339E" w:rsidRDefault="009B339E" w:rsidP="009B339E"/>
    <w:p w14:paraId="2AE1EB72" w14:textId="73F0379E" w:rsidR="000A7836" w:rsidRDefault="000A7836" w:rsidP="009B339E"/>
    <w:p w14:paraId="61928DC6" w14:textId="1E63B3AC" w:rsidR="000A7836" w:rsidRDefault="000A7836" w:rsidP="009B339E"/>
    <w:p w14:paraId="71F098A2" w14:textId="361C862C" w:rsidR="006C75CA" w:rsidRDefault="006C75CA" w:rsidP="009B339E"/>
    <w:p w14:paraId="7F54219E" w14:textId="599AB038" w:rsidR="006C75CA" w:rsidRDefault="006C75CA" w:rsidP="009B339E"/>
    <w:p w14:paraId="1E673E12" w14:textId="79C4F753" w:rsidR="006C75CA" w:rsidRDefault="006C75CA" w:rsidP="009B339E"/>
    <w:p w14:paraId="1451339A" w14:textId="0A354595" w:rsidR="006C75CA" w:rsidRDefault="006C75CA" w:rsidP="009B339E"/>
    <w:p w14:paraId="38BB262B" w14:textId="7EB40C92" w:rsidR="006C75CA" w:rsidRDefault="006C75CA" w:rsidP="009B339E"/>
    <w:p w14:paraId="5C532BC8" w14:textId="7DC3837A" w:rsidR="006C75CA" w:rsidRDefault="006C75CA" w:rsidP="009B339E"/>
    <w:p w14:paraId="5097C7C5" w14:textId="69D7B27F" w:rsidR="006C75CA" w:rsidRDefault="006C75CA" w:rsidP="009B339E"/>
    <w:p w14:paraId="0DDD3A08" w14:textId="7B07FCE0" w:rsidR="006C75CA" w:rsidRDefault="006C75CA" w:rsidP="009B339E"/>
    <w:p w14:paraId="7C7D1183" w14:textId="6515BD68" w:rsidR="006C75CA" w:rsidRDefault="006C75CA" w:rsidP="009B339E"/>
    <w:p w14:paraId="0E103180" w14:textId="1E047D5B" w:rsidR="006C75CA" w:rsidRDefault="006C75CA" w:rsidP="009B339E"/>
    <w:p w14:paraId="2D49BCD7" w14:textId="00DE411A" w:rsidR="00E0121B" w:rsidRDefault="00E0121B" w:rsidP="009B339E"/>
    <w:p w14:paraId="69743060" w14:textId="2970B9FB" w:rsidR="00E0121B" w:rsidRDefault="00E0121B" w:rsidP="009B339E"/>
    <w:p w14:paraId="649B8EB9" w14:textId="3EBF466B" w:rsidR="00E0121B" w:rsidRDefault="00E0121B" w:rsidP="009B339E"/>
    <w:p w14:paraId="4AFD5056" w14:textId="72FFC86F" w:rsidR="00E0121B" w:rsidRDefault="00E0121B" w:rsidP="009B339E"/>
    <w:p w14:paraId="59B93851" w14:textId="31B26E24" w:rsidR="00E0121B" w:rsidRDefault="00E0121B" w:rsidP="009B339E"/>
    <w:p w14:paraId="25383871" w14:textId="77777777" w:rsidR="00E0121B" w:rsidRPr="009B339E" w:rsidRDefault="00E0121B" w:rsidP="009B339E"/>
    <w:p w14:paraId="2590BD5B" w14:textId="18F69EA3" w:rsidR="00E661DE" w:rsidRPr="00214302" w:rsidRDefault="00E661DE" w:rsidP="00E661DE">
      <w:pPr>
        <w:pStyle w:val="Title"/>
        <w:jc w:val="center"/>
        <w:rPr>
          <w:rFonts w:ascii="Times" w:hAnsi="Times"/>
          <w:sz w:val="32"/>
          <w:szCs w:val="32"/>
        </w:rPr>
      </w:pPr>
      <w:r w:rsidRPr="00214302">
        <w:rPr>
          <w:rFonts w:ascii="Times" w:hAnsi="Times"/>
          <w:sz w:val="32"/>
          <w:szCs w:val="32"/>
        </w:rPr>
        <w:lastRenderedPageBreak/>
        <w:t>References</w:t>
      </w:r>
    </w:p>
    <w:p w14:paraId="3CBD0CF2" w14:textId="77777777" w:rsidR="00E661DE" w:rsidRDefault="00E661DE" w:rsidP="00E661DE">
      <w:pPr>
        <w:pStyle w:val="Bibliography"/>
        <w:rPr>
          <w:rFonts w:ascii="Times" w:hAnsi="Times"/>
          <w:noProof/>
        </w:rPr>
      </w:pPr>
    </w:p>
    <w:p w14:paraId="3B65E523" w14:textId="77777777" w:rsidR="00281516" w:rsidRPr="00281516" w:rsidRDefault="00E661DE" w:rsidP="00281516">
      <w:pPr>
        <w:pStyle w:val="Bibliography"/>
        <w:rPr>
          <w:rFonts w:ascii="Times" w:hAnsi="Times"/>
        </w:rPr>
      </w:pPr>
      <w:r>
        <w:rPr>
          <w:rFonts w:ascii="Times" w:hAnsi="Times"/>
          <w:noProof/>
        </w:rPr>
        <w:fldChar w:fldCharType="begin"/>
      </w:r>
      <w:r w:rsidR="00D35BFE">
        <w:rPr>
          <w:rFonts w:ascii="Times" w:hAnsi="Times"/>
          <w:noProof/>
        </w:rPr>
        <w:instrText xml:space="preserve"> ADDIN ZOTERO_BIBL {"uncited":[],"omitted":[],"custom":[]} CSL_BIBLIOGRAPHY </w:instrText>
      </w:r>
      <w:r>
        <w:rPr>
          <w:rFonts w:ascii="Times" w:hAnsi="Times"/>
          <w:noProof/>
        </w:rPr>
        <w:fldChar w:fldCharType="separate"/>
      </w:r>
      <w:r w:rsidR="00281516" w:rsidRPr="00281516">
        <w:rPr>
          <w:rFonts w:ascii="Times" w:hAnsi="Times"/>
        </w:rPr>
        <w:t xml:space="preserve">Alanen, A., Räisänen, A., Benson, L., &amp; Pasanen, K. (2021). The use of inertial measurement units for analyzing change of direction movement in sports: A scoping review. </w:t>
      </w:r>
      <w:r w:rsidR="00281516" w:rsidRPr="00281516">
        <w:rPr>
          <w:rFonts w:ascii="Times" w:hAnsi="Times"/>
          <w:i/>
          <w:iCs/>
        </w:rPr>
        <w:t>International Journal of Sports Science &amp; Coaching</w:t>
      </w:r>
      <w:r w:rsidR="00281516" w:rsidRPr="00281516">
        <w:rPr>
          <w:rFonts w:ascii="Times" w:hAnsi="Times"/>
        </w:rPr>
        <w:t xml:space="preserve">, </w:t>
      </w:r>
      <w:r w:rsidR="00281516" w:rsidRPr="00281516">
        <w:rPr>
          <w:rFonts w:ascii="Times" w:hAnsi="Times"/>
          <w:i/>
          <w:iCs/>
        </w:rPr>
        <w:t>16</w:t>
      </w:r>
      <w:r w:rsidR="00281516" w:rsidRPr="00281516">
        <w:rPr>
          <w:rFonts w:ascii="Times" w:hAnsi="Times"/>
        </w:rPr>
        <w:t>(6), 1332–1353. https://doi.org/10.1177/17479541211003064</w:t>
      </w:r>
    </w:p>
    <w:p w14:paraId="4F143C5E" w14:textId="77777777" w:rsidR="00281516" w:rsidRPr="00281516" w:rsidRDefault="00281516" w:rsidP="00281516">
      <w:pPr>
        <w:pStyle w:val="Bibliography"/>
        <w:rPr>
          <w:rFonts w:ascii="Times" w:hAnsi="Times"/>
        </w:rPr>
      </w:pPr>
      <w:r w:rsidRPr="00281516">
        <w:rPr>
          <w:rFonts w:ascii="Times" w:hAnsi="Times"/>
        </w:rPr>
        <w:t xml:space="preserve">Bates, D., Mächler, M., Bolker, B., &amp; Walker, S. (2015). Fitting linear mixed-effects models using lme4. </w:t>
      </w:r>
      <w:r w:rsidRPr="00281516">
        <w:rPr>
          <w:rFonts w:ascii="Times" w:hAnsi="Times"/>
          <w:i/>
          <w:iCs/>
        </w:rPr>
        <w:t>Journal of Statistical Software</w:t>
      </w:r>
      <w:r w:rsidRPr="00281516">
        <w:rPr>
          <w:rFonts w:ascii="Times" w:hAnsi="Times"/>
        </w:rPr>
        <w:t xml:space="preserve">, </w:t>
      </w:r>
      <w:r w:rsidRPr="00281516">
        <w:rPr>
          <w:rFonts w:ascii="Times" w:hAnsi="Times"/>
          <w:i/>
          <w:iCs/>
        </w:rPr>
        <w:t>67</w:t>
      </w:r>
      <w:r w:rsidRPr="00281516">
        <w:rPr>
          <w:rFonts w:ascii="Times" w:hAnsi="Times"/>
        </w:rPr>
        <w:t>(1). https://doi.org/10.18637/jss.v067.i01</w:t>
      </w:r>
    </w:p>
    <w:p w14:paraId="565CB505" w14:textId="77777777" w:rsidR="00281516" w:rsidRPr="00281516" w:rsidRDefault="00281516" w:rsidP="00281516">
      <w:pPr>
        <w:pStyle w:val="Bibliography"/>
        <w:rPr>
          <w:rFonts w:ascii="Times" w:hAnsi="Times"/>
        </w:rPr>
      </w:pPr>
      <w:r w:rsidRPr="00281516">
        <w:rPr>
          <w:rFonts w:ascii="Times" w:hAnsi="Times"/>
        </w:rPr>
        <w:t xml:space="preserve">Beenham, M., Barron, D. J., Fry, J., Hurst, H. H., Figueirdo, A., &amp; Atkins, S. (2017). A Comparison of GPS Workload Demands in Match Play and Small-Sided Games by the Positional Role in Youth Soccer. </w:t>
      </w:r>
      <w:r w:rsidRPr="00281516">
        <w:rPr>
          <w:rFonts w:ascii="Times" w:hAnsi="Times"/>
          <w:i/>
          <w:iCs/>
        </w:rPr>
        <w:t>Journal of Human Kinetics</w:t>
      </w:r>
      <w:r w:rsidRPr="00281516">
        <w:rPr>
          <w:rFonts w:ascii="Times" w:hAnsi="Times"/>
        </w:rPr>
        <w:t xml:space="preserve">, </w:t>
      </w:r>
      <w:r w:rsidRPr="00281516">
        <w:rPr>
          <w:rFonts w:ascii="Times" w:hAnsi="Times"/>
          <w:i/>
          <w:iCs/>
        </w:rPr>
        <w:t>57</w:t>
      </w:r>
      <w:r w:rsidRPr="00281516">
        <w:rPr>
          <w:rFonts w:ascii="Times" w:hAnsi="Times"/>
        </w:rPr>
        <w:t>(1), 129–137. https://doi.org/10.1515/hukin-2017-0054</w:t>
      </w:r>
    </w:p>
    <w:p w14:paraId="3D99569C" w14:textId="77777777" w:rsidR="00281516" w:rsidRPr="00281516" w:rsidRDefault="00281516" w:rsidP="00281516">
      <w:pPr>
        <w:pStyle w:val="Bibliography"/>
        <w:rPr>
          <w:rFonts w:ascii="Times" w:hAnsi="Times"/>
        </w:rPr>
      </w:pPr>
      <w:r w:rsidRPr="00281516">
        <w:rPr>
          <w:rFonts w:ascii="Times" w:hAnsi="Times"/>
        </w:rPr>
        <w:t xml:space="preserve">Bredt, S. da G. T., Chagas, M. H., Peixoto, G. H., Menzel, H. J., &amp; Andrade, A. G. P. de. (2020). Understanding Player Load: Meanings and Limitations. </w:t>
      </w:r>
      <w:r w:rsidRPr="00281516">
        <w:rPr>
          <w:rFonts w:ascii="Times" w:hAnsi="Times"/>
          <w:i/>
          <w:iCs/>
        </w:rPr>
        <w:t>Journal of Human Kinetics</w:t>
      </w:r>
      <w:r w:rsidRPr="00281516">
        <w:rPr>
          <w:rFonts w:ascii="Times" w:hAnsi="Times"/>
        </w:rPr>
        <w:t xml:space="preserve">, </w:t>
      </w:r>
      <w:r w:rsidRPr="00281516">
        <w:rPr>
          <w:rFonts w:ascii="Times" w:hAnsi="Times"/>
          <w:i/>
          <w:iCs/>
        </w:rPr>
        <w:t>71</w:t>
      </w:r>
      <w:r w:rsidRPr="00281516">
        <w:rPr>
          <w:rFonts w:ascii="Times" w:hAnsi="Times"/>
        </w:rPr>
        <w:t>(1), 5–9. https://doi.org/10.2478/hukin-2019-0072</w:t>
      </w:r>
    </w:p>
    <w:p w14:paraId="3E9C77B0" w14:textId="77777777" w:rsidR="00281516" w:rsidRPr="00281516" w:rsidRDefault="00281516" w:rsidP="00281516">
      <w:pPr>
        <w:pStyle w:val="Bibliography"/>
        <w:rPr>
          <w:rFonts w:ascii="Times" w:hAnsi="Times"/>
        </w:rPr>
      </w:pPr>
      <w:r w:rsidRPr="00281516">
        <w:rPr>
          <w:rFonts w:ascii="Times" w:hAnsi="Times"/>
        </w:rPr>
        <w:t xml:space="preserve">Caparrós, T., Casals, M., Solana, Á., &amp; Peña, J. (2018). Low external workloads are related to higher injury risk in professional male basketball games. </w:t>
      </w:r>
      <w:r w:rsidRPr="00281516">
        <w:rPr>
          <w:rFonts w:ascii="Times" w:hAnsi="Times"/>
          <w:i/>
          <w:iCs/>
        </w:rPr>
        <w:t>Journal of Sports Science &amp; Medicine</w:t>
      </w:r>
      <w:r w:rsidRPr="00281516">
        <w:rPr>
          <w:rFonts w:ascii="Times" w:hAnsi="Times"/>
        </w:rPr>
        <w:t xml:space="preserve">, </w:t>
      </w:r>
      <w:r w:rsidRPr="00281516">
        <w:rPr>
          <w:rFonts w:ascii="Times" w:hAnsi="Times"/>
          <w:i/>
          <w:iCs/>
        </w:rPr>
        <w:t>17</w:t>
      </w:r>
      <w:r w:rsidRPr="00281516">
        <w:rPr>
          <w:rFonts w:ascii="Times" w:hAnsi="Times"/>
        </w:rPr>
        <w:t>, 289–287.</w:t>
      </w:r>
    </w:p>
    <w:p w14:paraId="13A86CB0" w14:textId="77777777" w:rsidR="00281516" w:rsidRPr="00281516" w:rsidRDefault="00281516" w:rsidP="00281516">
      <w:pPr>
        <w:pStyle w:val="Bibliography"/>
        <w:rPr>
          <w:rFonts w:ascii="Times" w:hAnsi="Times"/>
        </w:rPr>
      </w:pPr>
      <w:r w:rsidRPr="00281516">
        <w:rPr>
          <w:rFonts w:ascii="Times" w:hAnsi="Times"/>
        </w:rPr>
        <w:t xml:space="preserve">Circi, E., Atalay, Y., &amp; Beyzadeoglu, T. (2017). Treatment of Osgood–Schlatter disease: Review of the literature. </w:t>
      </w:r>
      <w:r w:rsidRPr="00281516">
        <w:rPr>
          <w:rFonts w:ascii="Times" w:hAnsi="Times"/>
          <w:i/>
          <w:iCs/>
        </w:rPr>
        <w:t>MUSCULOSKELETAL SURGERY</w:t>
      </w:r>
      <w:r w:rsidRPr="00281516">
        <w:rPr>
          <w:rFonts w:ascii="Times" w:hAnsi="Times"/>
        </w:rPr>
        <w:t xml:space="preserve">, </w:t>
      </w:r>
      <w:r w:rsidRPr="00281516">
        <w:rPr>
          <w:rFonts w:ascii="Times" w:hAnsi="Times"/>
          <w:i/>
          <w:iCs/>
        </w:rPr>
        <w:t>101</w:t>
      </w:r>
      <w:r w:rsidRPr="00281516">
        <w:rPr>
          <w:rFonts w:ascii="Times" w:hAnsi="Times"/>
        </w:rPr>
        <w:t>(3), 195–200. https://doi.org/10.1007/s12306-017-0479-7</w:t>
      </w:r>
    </w:p>
    <w:p w14:paraId="3F5E55EF" w14:textId="77777777" w:rsidR="00281516" w:rsidRPr="00281516" w:rsidRDefault="00281516" w:rsidP="00281516">
      <w:pPr>
        <w:pStyle w:val="Bibliography"/>
        <w:rPr>
          <w:rFonts w:ascii="Times" w:hAnsi="Times"/>
        </w:rPr>
      </w:pPr>
      <w:r w:rsidRPr="00281516">
        <w:rPr>
          <w:rFonts w:ascii="Times" w:hAnsi="Times"/>
        </w:rPr>
        <w:t xml:space="preserve">Conte, D., Kolb, N., Scanlan, A. T., &amp; Santolamazza, F. (2018). Monitoring Training Load and Well-Being During the In-Season Phase in National Collegiate Athletic Association </w:t>
      </w:r>
      <w:r w:rsidRPr="00281516">
        <w:rPr>
          <w:rFonts w:ascii="Times" w:hAnsi="Times"/>
        </w:rPr>
        <w:lastRenderedPageBreak/>
        <w:t xml:space="preserve">Division I Men’s Basketball. </w:t>
      </w:r>
      <w:r w:rsidRPr="00281516">
        <w:rPr>
          <w:rFonts w:ascii="Times" w:hAnsi="Times"/>
          <w:i/>
          <w:iCs/>
        </w:rPr>
        <w:t>International Journal of Sports Physiology and Performance</w:t>
      </w:r>
      <w:r w:rsidRPr="00281516">
        <w:rPr>
          <w:rFonts w:ascii="Times" w:hAnsi="Times"/>
        </w:rPr>
        <w:t xml:space="preserve">, </w:t>
      </w:r>
      <w:r w:rsidRPr="00281516">
        <w:rPr>
          <w:rFonts w:ascii="Times" w:hAnsi="Times"/>
          <w:i/>
          <w:iCs/>
        </w:rPr>
        <w:t>13</w:t>
      </w:r>
      <w:r w:rsidRPr="00281516">
        <w:rPr>
          <w:rFonts w:ascii="Times" w:hAnsi="Times"/>
        </w:rPr>
        <w:t>(8), 1067–1074. https://doi.org/10.1123/ijspp.2017-0689</w:t>
      </w:r>
    </w:p>
    <w:p w14:paraId="21137BEE" w14:textId="77777777" w:rsidR="00281516" w:rsidRPr="00281516" w:rsidRDefault="00281516" w:rsidP="00281516">
      <w:pPr>
        <w:pStyle w:val="Bibliography"/>
        <w:rPr>
          <w:rFonts w:ascii="Times" w:hAnsi="Times"/>
        </w:rPr>
      </w:pPr>
      <w:r w:rsidRPr="00281516">
        <w:rPr>
          <w:rFonts w:ascii="Times" w:hAnsi="Times"/>
        </w:rPr>
        <w:t xml:space="preserve">Croissant, Y., &amp; Millo, G. (2008). Panel Data Econometrics in R: The plm Package. </w:t>
      </w:r>
      <w:r w:rsidRPr="00281516">
        <w:rPr>
          <w:rFonts w:ascii="Times" w:hAnsi="Times"/>
          <w:i/>
          <w:iCs/>
        </w:rPr>
        <w:t>Journal of Statistical Software</w:t>
      </w:r>
      <w:r w:rsidRPr="00281516">
        <w:rPr>
          <w:rFonts w:ascii="Times" w:hAnsi="Times"/>
        </w:rPr>
        <w:t xml:space="preserve">, </w:t>
      </w:r>
      <w:r w:rsidRPr="00281516">
        <w:rPr>
          <w:rFonts w:ascii="Times" w:hAnsi="Times"/>
          <w:i/>
          <w:iCs/>
        </w:rPr>
        <w:t>27</w:t>
      </w:r>
      <w:r w:rsidRPr="00281516">
        <w:rPr>
          <w:rFonts w:ascii="Times" w:hAnsi="Times"/>
        </w:rPr>
        <w:t>(2). https://doi.org/10.18637/jss.v027.i02</w:t>
      </w:r>
    </w:p>
    <w:p w14:paraId="03862598" w14:textId="77777777" w:rsidR="00281516" w:rsidRPr="00281516" w:rsidRDefault="00281516" w:rsidP="00281516">
      <w:pPr>
        <w:pStyle w:val="Bibliography"/>
        <w:rPr>
          <w:rFonts w:ascii="Times" w:hAnsi="Times"/>
        </w:rPr>
      </w:pPr>
      <w:r w:rsidRPr="00281516">
        <w:rPr>
          <w:rFonts w:ascii="Times" w:hAnsi="Times"/>
        </w:rPr>
        <w:t xml:space="preserve">Farrow, D., &amp; Robertson, S. (2017). Development of a Skill Acquisition Periodisation Framework for High-Performance Sport. </w:t>
      </w:r>
      <w:r w:rsidRPr="00281516">
        <w:rPr>
          <w:rFonts w:ascii="Times" w:hAnsi="Times"/>
          <w:i/>
          <w:iCs/>
        </w:rPr>
        <w:t>Sports Medicine</w:t>
      </w:r>
      <w:r w:rsidRPr="00281516">
        <w:rPr>
          <w:rFonts w:ascii="Times" w:hAnsi="Times"/>
        </w:rPr>
        <w:t xml:space="preserve">, </w:t>
      </w:r>
      <w:r w:rsidRPr="00281516">
        <w:rPr>
          <w:rFonts w:ascii="Times" w:hAnsi="Times"/>
          <w:i/>
          <w:iCs/>
        </w:rPr>
        <w:t>47</w:t>
      </w:r>
      <w:r w:rsidRPr="00281516">
        <w:rPr>
          <w:rFonts w:ascii="Times" w:hAnsi="Times"/>
        </w:rPr>
        <w:t>(6), 1043–1054. https://doi.org/10.1007/s40279-016-0646-2</w:t>
      </w:r>
    </w:p>
    <w:p w14:paraId="4C5CDA50" w14:textId="77777777" w:rsidR="00281516" w:rsidRPr="00281516" w:rsidRDefault="00281516" w:rsidP="00281516">
      <w:pPr>
        <w:pStyle w:val="Bibliography"/>
        <w:rPr>
          <w:rFonts w:ascii="Times" w:hAnsi="Times"/>
        </w:rPr>
      </w:pPr>
      <w:r w:rsidRPr="00281516">
        <w:rPr>
          <w:rFonts w:ascii="Times" w:hAnsi="Times"/>
        </w:rPr>
        <w:t xml:space="preserve">Fox, J. L., Stanton, R., &amp; Scanlan, A. T. (2018). A Comparison of Training and Competition Demands in Semiprofessional Male Basketball Players. </w:t>
      </w:r>
      <w:r w:rsidRPr="00281516">
        <w:rPr>
          <w:rFonts w:ascii="Times" w:hAnsi="Times"/>
          <w:i/>
          <w:iCs/>
        </w:rPr>
        <w:t>Research Quarterly for Exercise and Sport</w:t>
      </w:r>
      <w:r w:rsidRPr="00281516">
        <w:rPr>
          <w:rFonts w:ascii="Times" w:hAnsi="Times"/>
        </w:rPr>
        <w:t xml:space="preserve">, </w:t>
      </w:r>
      <w:r w:rsidRPr="00281516">
        <w:rPr>
          <w:rFonts w:ascii="Times" w:hAnsi="Times"/>
          <w:i/>
          <w:iCs/>
        </w:rPr>
        <w:t>89</w:t>
      </w:r>
      <w:r w:rsidRPr="00281516">
        <w:rPr>
          <w:rFonts w:ascii="Times" w:hAnsi="Times"/>
        </w:rPr>
        <w:t>(1), 103–111. https://doi.org/10.1080/02701367.2017.1410693</w:t>
      </w:r>
    </w:p>
    <w:p w14:paraId="212FFB57" w14:textId="77777777" w:rsidR="00281516" w:rsidRPr="00281516" w:rsidRDefault="00281516" w:rsidP="00281516">
      <w:pPr>
        <w:pStyle w:val="Bibliography"/>
        <w:rPr>
          <w:rFonts w:ascii="Times" w:hAnsi="Times"/>
        </w:rPr>
      </w:pPr>
      <w:r w:rsidRPr="00281516">
        <w:rPr>
          <w:rFonts w:ascii="Times" w:hAnsi="Times"/>
        </w:rPr>
        <w:t xml:space="preserve">Fox, J., O’Grady, C., &amp; Scanlan, A. T. (2020). Game schedule congestion affects weekly workloads but not individual game demands in semi-professional basketball. </w:t>
      </w:r>
      <w:r w:rsidRPr="00281516">
        <w:rPr>
          <w:rFonts w:ascii="Times" w:hAnsi="Times"/>
          <w:i/>
          <w:iCs/>
        </w:rPr>
        <w:t>Biology of Sport</w:t>
      </w:r>
      <w:r w:rsidRPr="00281516">
        <w:rPr>
          <w:rFonts w:ascii="Times" w:hAnsi="Times"/>
        </w:rPr>
        <w:t xml:space="preserve">, </w:t>
      </w:r>
      <w:r w:rsidRPr="00281516">
        <w:rPr>
          <w:rFonts w:ascii="Times" w:hAnsi="Times"/>
          <w:i/>
          <w:iCs/>
        </w:rPr>
        <w:t>37</w:t>
      </w:r>
      <w:r w:rsidRPr="00281516">
        <w:rPr>
          <w:rFonts w:ascii="Times" w:hAnsi="Times"/>
        </w:rPr>
        <w:t>(1), 59–67. https://doi.org/10.5114/biolsport.2020.91499</w:t>
      </w:r>
    </w:p>
    <w:p w14:paraId="48CA0EFF" w14:textId="77777777" w:rsidR="00281516" w:rsidRPr="00281516" w:rsidRDefault="00281516" w:rsidP="00281516">
      <w:pPr>
        <w:pStyle w:val="Bibliography"/>
        <w:rPr>
          <w:rFonts w:ascii="Times" w:hAnsi="Times"/>
        </w:rPr>
      </w:pPr>
      <w:r w:rsidRPr="00281516">
        <w:rPr>
          <w:rFonts w:ascii="Times" w:hAnsi="Times"/>
        </w:rPr>
        <w:t xml:space="preserve">G. Gregory Haff &amp; N. Travis Triplett. (2016). </w:t>
      </w:r>
      <w:r w:rsidRPr="00281516">
        <w:rPr>
          <w:rFonts w:ascii="Times" w:hAnsi="Times"/>
          <w:i/>
          <w:iCs/>
        </w:rPr>
        <w:t>Essentials of Strength Training and Conditioning</w:t>
      </w:r>
      <w:r w:rsidRPr="00281516">
        <w:rPr>
          <w:rFonts w:ascii="Times" w:hAnsi="Times"/>
        </w:rPr>
        <w:t xml:space="preserve"> (4th ed.). Human Kinetics.</w:t>
      </w:r>
    </w:p>
    <w:p w14:paraId="0AAE370A" w14:textId="77777777" w:rsidR="00281516" w:rsidRPr="00281516" w:rsidRDefault="00281516" w:rsidP="00281516">
      <w:pPr>
        <w:pStyle w:val="Bibliography"/>
        <w:rPr>
          <w:rFonts w:ascii="Times" w:hAnsi="Times"/>
        </w:rPr>
      </w:pPr>
      <w:r w:rsidRPr="00281516">
        <w:rPr>
          <w:rFonts w:ascii="Times" w:hAnsi="Times"/>
        </w:rPr>
        <w:t xml:space="preserve">Halson, S. L. (2014). Monitoring Training Load to Understand Fatigue in Athletes. </w:t>
      </w:r>
      <w:r w:rsidRPr="00281516">
        <w:rPr>
          <w:rFonts w:ascii="Times" w:hAnsi="Times"/>
          <w:i/>
          <w:iCs/>
        </w:rPr>
        <w:t>Sports Medicine</w:t>
      </w:r>
      <w:r w:rsidRPr="00281516">
        <w:rPr>
          <w:rFonts w:ascii="Times" w:hAnsi="Times"/>
        </w:rPr>
        <w:t xml:space="preserve">, </w:t>
      </w:r>
      <w:r w:rsidRPr="00281516">
        <w:rPr>
          <w:rFonts w:ascii="Times" w:hAnsi="Times"/>
          <w:i/>
          <w:iCs/>
        </w:rPr>
        <w:t>44</w:t>
      </w:r>
      <w:r w:rsidRPr="00281516">
        <w:rPr>
          <w:rFonts w:ascii="Times" w:hAnsi="Times"/>
        </w:rPr>
        <w:t>(S2), 139–147. https://doi.org/10.1007/s40279-014-0253-z</w:t>
      </w:r>
    </w:p>
    <w:p w14:paraId="58822B69" w14:textId="77777777" w:rsidR="00281516" w:rsidRPr="00281516" w:rsidRDefault="00281516" w:rsidP="00281516">
      <w:pPr>
        <w:pStyle w:val="Bibliography"/>
        <w:rPr>
          <w:rFonts w:ascii="Times" w:hAnsi="Times"/>
        </w:rPr>
      </w:pPr>
      <w:r w:rsidRPr="00281516">
        <w:rPr>
          <w:rFonts w:ascii="Times" w:hAnsi="Times"/>
        </w:rPr>
        <w:t xml:space="preserve">Heishman, A., Miller, R. M., Freitas, E. D. S., Brown, B. S., Daub, B. D., &amp; Bemben, M. G. (2019). Monitoring external training loads and neuromuscular performance for Division I basketball players over the pre-season. </w:t>
      </w:r>
      <w:r w:rsidRPr="00281516">
        <w:rPr>
          <w:rFonts w:ascii="Times" w:hAnsi="Times"/>
          <w:i/>
          <w:iCs/>
        </w:rPr>
        <w:t>Journal of Sports Science &amp; Medicine</w:t>
      </w:r>
      <w:r w:rsidRPr="00281516">
        <w:rPr>
          <w:rFonts w:ascii="Times" w:hAnsi="Times"/>
        </w:rPr>
        <w:t xml:space="preserve">, </w:t>
      </w:r>
      <w:r w:rsidRPr="00281516">
        <w:rPr>
          <w:rFonts w:ascii="Times" w:hAnsi="Times"/>
          <w:i/>
          <w:iCs/>
        </w:rPr>
        <w:t>51</w:t>
      </w:r>
      <w:r w:rsidRPr="00281516">
        <w:rPr>
          <w:rFonts w:ascii="Times" w:hAnsi="Times"/>
        </w:rPr>
        <w:t>(6S), 35–35. https://doi.org/10.1249/01.mss.0000560595.64671.b6</w:t>
      </w:r>
    </w:p>
    <w:p w14:paraId="14C83E81" w14:textId="77777777" w:rsidR="00281516" w:rsidRPr="00281516" w:rsidRDefault="00281516" w:rsidP="00281516">
      <w:pPr>
        <w:pStyle w:val="Bibliography"/>
        <w:rPr>
          <w:rFonts w:ascii="Times" w:hAnsi="Times"/>
        </w:rPr>
      </w:pPr>
      <w:r w:rsidRPr="00281516">
        <w:rPr>
          <w:rFonts w:ascii="Times" w:hAnsi="Times"/>
        </w:rPr>
        <w:t xml:space="preserve">Heishman, A., Peak, K., Miller, R., Brown, B., Daub, B., Freitas, E., &amp; Bemben, M. (2020). Associations Between Two Athlete Monitoring Systems Used to Quantify External </w:t>
      </w:r>
      <w:r w:rsidRPr="00281516">
        <w:rPr>
          <w:rFonts w:ascii="Times" w:hAnsi="Times"/>
        </w:rPr>
        <w:lastRenderedPageBreak/>
        <w:t xml:space="preserve">Training Loads in Basketball Players. </w:t>
      </w:r>
      <w:r w:rsidRPr="00281516">
        <w:rPr>
          <w:rFonts w:ascii="Times" w:hAnsi="Times"/>
          <w:i/>
          <w:iCs/>
        </w:rPr>
        <w:t>Sports</w:t>
      </w:r>
      <w:r w:rsidRPr="00281516">
        <w:rPr>
          <w:rFonts w:ascii="Times" w:hAnsi="Times"/>
        </w:rPr>
        <w:t xml:space="preserve">, </w:t>
      </w:r>
      <w:r w:rsidRPr="00281516">
        <w:rPr>
          <w:rFonts w:ascii="Times" w:hAnsi="Times"/>
          <w:i/>
          <w:iCs/>
        </w:rPr>
        <w:t>8</w:t>
      </w:r>
      <w:r w:rsidRPr="00281516">
        <w:rPr>
          <w:rFonts w:ascii="Times" w:hAnsi="Times"/>
        </w:rPr>
        <w:t>(3), 33. https://doi.org/10.3390/sports8030033</w:t>
      </w:r>
    </w:p>
    <w:p w14:paraId="611288CB" w14:textId="77777777" w:rsidR="00281516" w:rsidRPr="00281516" w:rsidRDefault="00281516" w:rsidP="00281516">
      <w:pPr>
        <w:pStyle w:val="Bibliography"/>
        <w:rPr>
          <w:rFonts w:ascii="Times" w:hAnsi="Times"/>
        </w:rPr>
      </w:pPr>
      <w:r w:rsidRPr="00281516">
        <w:rPr>
          <w:rFonts w:ascii="Times" w:hAnsi="Times"/>
        </w:rPr>
        <w:t xml:space="preserve">Hoppe, M. W., Baumgart, C., Polglaze, T., &amp; Freiwald, J. (2018). Validity and reliability of GPS and LPS for measuring distances covered and sprint mechanical properties in team sports. </w:t>
      </w:r>
      <w:r w:rsidRPr="00281516">
        <w:rPr>
          <w:rFonts w:ascii="Times" w:hAnsi="Times"/>
          <w:i/>
          <w:iCs/>
        </w:rPr>
        <w:t>PLOS ONE</w:t>
      </w:r>
      <w:r w:rsidRPr="00281516">
        <w:rPr>
          <w:rFonts w:ascii="Times" w:hAnsi="Times"/>
        </w:rPr>
        <w:t xml:space="preserve">, </w:t>
      </w:r>
      <w:r w:rsidRPr="00281516">
        <w:rPr>
          <w:rFonts w:ascii="Times" w:hAnsi="Times"/>
          <w:i/>
          <w:iCs/>
        </w:rPr>
        <w:t>13</w:t>
      </w:r>
      <w:r w:rsidRPr="00281516">
        <w:rPr>
          <w:rFonts w:ascii="Times" w:hAnsi="Times"/>
        </w:rPr>
        <w:t>(2), e0192708. https://doi.org/10.1371/journal.pone.0192708</w:t>
      </w:r>
    </w:p>
    <w:p w14:paraId="1F16BADA" w14:textId="77777777" w:rsidR="00281516" w:rsidRPr="00281516" w:rsidRDefault="00281516" w:rsidP="00281516">
      <w:pPr>
        <w:pStyle w:val="Bibliography"/>
        <w:rPr>
          <w:rFonts w:ascii="Times" w:hAnsi="Times"/>
        </w:rPr>
      </w:pPr>
      <w:r w:rsidRPr="00281516">
        <w:rPr>
          <w:rFonts w:ascii="Times" w:hAnsi="Times"/>
        </w:rPr>
        <w:t xml:space="preserve">Hutchison, M. K., Houck, J., Cuddeford, T., Dorociak, R., &amp; Brumitt, J. (2019). Prevalence of Patellar Tendinopathy and Patellar Tendon Abnormality in Male Collegiate Basketball Players: A Cross-Sectional Study. </w:t>
      </w:r>
      <w:r w:rsidRPr="00281516">
        <w:rPr>
          <w:rFonts w:ascii="Times" w:hAnsi="Times"/>
          <w:i/>
          <w:iCs/>
        </w:rPr>
        <w:t>Journal of Athletic Training</w:t>
      </w:r>
      <w:r w:rsidRPr="00281516">
        <w:rPr>
          <w:rFonts w:ascii="Times" w:hAnsi="Times"/>
        </w:rPr>
        <w:t xml:space="preserve">, </w:t>
      </w:r>
      <w:r w:rsidRPr="00281516">
        <w:rPr>
          <w:rFonts w:ascii="Times" w:hAnsi="Times"/>
          <w:i/>
          <w:iCs/>
        </w:rPr>
        <w:t>54</w:t>
      </w:r>
      <w:r w:rsidRPr="00281516">
        <w:rPr>
          <w:rFonts w:ascii="Times" w:hAnsi="Times"/>
        </w:rPr>
        <w:t>(9), 953–958. https://doi.org/10.4085/1062-6050-70-18</w:t>
      </w:r>
    </w:p>
    <w:p w14:paraId="460AEE46" w14:textId="77777777" w:rsidR="00281516" w:rsidRPr="00281516" w:rsidRDefault="00281516" w:rsidP="00281516">
      <w:pPr>
        <w:pStyle w:val="Bibliography"/>
        <w:rPr>
          <w:rFonts w:ascii="Times" w:hAnsi="Times"/>
        </w:rPr>
      </w:pPr>
      <w:r w:rsidRPr="00281516">
        <w:rPr>
          <w:rFonts w:ascii="Times" w:hAnsi="Times"/>
        </w:rPr>
        <w:t xml:space="preserve">Impellizzeri, F. M., Marcora, S. M., &amp; Coutts, A. J. (2019). Internal and external training load: 15 years on. </w:t>
      </w:r>
      <w:r w:rsidRPr="00281516">
        <w:rPr>
          <w:rFonts w:ascii="Times" w:hAnsi="Times"/>
          <w:i/>
          <w:iCs/>
        </w:rPr>
        <w:t>International Journal of Sports Physiology and Performance</w:t>
      </w:r>
      <w:r w:rsidRPr="00281516">
        <w:rPr>
          <w:rFonts w:ascii="Times" w:hAnsi="Times"/>
        </w:rPr>
        <w:t xml:space="preserve">, </w:t>
      </w:r>
      <w:r w:rsidRPr="00281516">
        <w:rPr>
          <w:rFonts w:ascii="Times" w:hAnsi="Times"/>
          <w:i/>
          <w:iCs/>
        </w:rPr>
        <w:t>14</w:t>
      </w:r>
      <w:r w:rsidRPr="00281516">
        <w:rPr>
          <w:rFonts w:ascii="Times" w:hAnsi="Times"/>
        </w:rPr>
        <w:t>(2), 270–273. https://doi.org/10.1123/ijspp.2018-0935</w:t>
      </w:r>
    </w:p>
    <w:p w14:paraId="2C63CC4C" w14:textId="77777777" w:rsidR="00281516" w:rsidRPr="00281516" w:rsidRDefault="00281516" w:rsidP="00281516">
      <w:pPr>
        <w:pStyle w:val="Bibliography"/>
        <w:rPr>
          <w:rFonts w:ascii="Times" w:hAnsi="Times"/>
        </w:rPr>
      </w:pPr>
      <w:r w:rsidRPr="00281516">
        <w:rPr>
          <w:rFonts w:ascii="Times" w:hAnsi="Times"/>
        </w:rPr>
        <w:t xml:space="preserve">Jeffries, A. C., Marcora, S. M., Coutts, A. J., Wallace, L., McCall, A., &amp; Impellizzeri, F. M. (2021). Development of a revised coneptual framework of physical training for use in research and practice. </w:t>
      </w:r>
      <w:r w:rsidRPr="00281516">
        <w:rPr>
          <w:rFonts w:ascii="Times" w:hAnsi="Times"/>
          <w:i/>
          <w:iCs/>
        </w:rPr>
        <w:t>Sports Medicine</w:t>
      </w:r>
      <w:r w:rsidRPr="00281516">
        <w:rPr>
          <w:rFonts w:ascii="Times" w:hAnsi="Times"/>
        </w:rPr>
        <w:t>. https://doi.org/10.1007/s40279-021-01551-5</w:t>
      </w:r>
    </w:p>
    <w:p w14:paraId="0BA1436C" w14:textId="77777777" w:rsidR="00281516" w:rsidRPr="00281516" w:rsidRDefault="00281516" w:rsidP="00281516">
      <w:pPr>
        <w:pStyle w:val="Bibliography"/>
        <w:rPr>
          <w:rFonts w:ascii="Times" w:hAnsi="Times"/>
        </w:rPr>
      </w:pPr>
      <w:r w:rsidRPr="00281516">
        <w:rPr>
          <w:rFonts w:ascii="Times" w:hAnsi="Times"/>
        </w:rPr>
        <w:t xml:space="preserve">Killen, N. M., Gabbett, T. J., &amp; Jenkins, D. G. (2010). Training Loads and Incidence of Injury During the Preseason in Professional Rugby League Players: </w:t>
      </w:r>
      <w:r w:rsidRPr="00281516">
        <w:rPr>
          <w:rFonts w:ascii="Times" w:hAnsi="Times"/>
          <w:i/>
          <w:iCs/>
        </w:rPr>
        <w:t>Journal of Strength and Conditioning Research</w:t>
      </w:r>
      <w:r w:rsidRPr="00281516">
        <w:rPr>
          <w:rFonts w:ascii="Times" w:hAnsi="Times"/>
        </w:rPr>
        <w:t xml:space="preserve">, </w:t>
      </w:r>
      <w:r w:rsidRPr="00281516">
        <w:rPr>
          <w:rFonts w:ascii="Times" w:hAnsi="Times"/>
          <w:i/>
          <w:iCs/>
        </w:rPr>
        <w:t>24</w:t>
      </w:r>
      <w:r w:rsidRPr="00281516">
        <w:rPr>
          <w:rFonts w:ascii="Times" w:hAnsi="Times"/>
        </w:rPr>
        <w:t>(8), 2079–2084. https://doi.org/10.1519/JSC.0b013e3181ddafff</w:t>
      </w:r>
    </w:p>
    <w:p w14:paraId="44A44879" w14:textId="77777777" w:rsidR="00281516" w:rsidRPr="00281516" w:rsidRDefault="00281516" w:rsidP="00281516">
      <w:pPr>
        <w:pStyle w:val="Bibliography"/>
        <w:rPr>
          <w:rFonts w:ascii="Times" w:hAnsi="Times"/>
        </w:rPr>
      </w:pPr>
      <w:r w:rsidRPr="00281516">
        <w:rPr>
          <w:rFonts w:ascii="Times" w:hAnsi="Times"/>
        </w:rPr>
        <w:t xml:space="preserve">Lorentzen, T. (2017). Allocation of playing time within team sports – a problem for discussion. </w:t>
      </w:r>
      <w:r w:rsidRPr="00281516">
        <w:rPr>
          <w:rFonts w:ascii="Times" w:hAnsi="Times"/>
          <w:i/>
          <w:iCs/>
        </w:rPr>
        <w:t>Open Review of Educational Research</w:t>
      </w:r>
      <w:r w:rsidRPr="00281516">
        <w:rPr>
          <w:rFonts w:ascii="Times" w:hAnsi="Times"/>
        </w:rPr>
        <w:t xml:space="preserve">, </w:t>
      </w:r>
      <w:r w:rsidRPr="00281516">
        <w:rPr>
          <w:rFonts w:ascii="Times" w:hAnsi="Times"/>
          <w:i/>
          <w:iCs/>
        </w:rPr>
        <w:t>4</w:t>
      </w:r>
      <w:r w:rsidRPr="00281516">
        <w:rPr>
          <w:rFonts w:ascii="Times" w:hAnsi="Times"/>
        </w:rPr>
        <w:t>(1), 20–32. https://doi.org/10.1080/23265507.2016.1266694</w:t>
      </w:r>
    </w:p>
    <w:p w14:paraId="6D7D134F" w14:textId="77777777" w:rsidR="00281516" w:rsidRPr="00281516" w:rsidRDefault="00281516" w:rsidP="00281516">
      <w:pPr>
        <w:pStyle w:val="Bibliography"/>
        <w:rPr>
          <w:rFonts w:ascii="Times" w:hAnsi="Times"/>
        </w:rPr>
      </w:pPr>
      <w:r w:rsidRPr="00281516">
        <w:rPr>
          <w:rFonts w:ascii="Times" w:hAnsi="Times"/>
        </w:rPr>
        <w:lastRenderedPageBreak/>
        <w:t xml:space="preserve">Luteberget, L. S., Spencer, M., &amp; Gilgien, M. (2018). Validity of the Catapult ClearSky T6 Local Positioning System for Team Sports Specific Drills, in Indoor Conditions. </w:t>
      </w:r>
      <w:r w:rsidRPr="00281516">
        <w:rPr>
          <w:rFonts w:ascii="Times" w:hAnsi="Times"/>
          <w:i/>
          <w:iCs/>
        </w:rPr>
        <w:t>Frontiers in Physiology</w:t>
      </w:r>
      <w:r w:rsidRPr="00281516">
        <w:rPr>
          <w:rFonts w:ascii="Times" w:hAnsi="Times"/>
        </w:rPr>
        <w:t xml:space="preserve">, </w:t>
      </w:r>
      <w:r w:rsidRPr="00281516">
        <w:rPr>
          <w:rFonts w:ascii="Times" w:hAnsi="Times"/>
          <w:i/>
          <w:iCs/>
        </w:rPr>
        <w:t>9</w:t>
      </w:r>
      <w:r w:rsidRPr="00281516">
        <w:rPr>
          <w:rFonts w:ascii="Times" w:hAnsi="Times"/>
        </w:rPr>
        <w:t>, 115. https://doi.org/10.3389/fphys.2018.00115</w:t>
      </w:r>
    </w:p>
    <w:p w14:paraId="725AB73B" w14:textId="77777777" w:rsidR="00281516" w:rsidRPr="00281516" w:rsidRDefault="00281516" w:rsidP="00281516">
      <w:pPr>
        <w:pStyle w:val="Bibliography"/>
        <w:rPr>
          <w:rFonts w:ascii="Times" w:hAnsi="Times"/>
        </w:rPr>
      </w:pPr>
      <w:r w:rsidRPr="00281516">
        <w:rPr>
          <w:rFonts w:ascii="Times" w:hAnsi="Times"/>
        </w:rPr>
        <w:t xml:space="preserve">Malone, J. J., Di Michele, R., Morgans, R., Burgess, D., Morton, J. P., &amp; Drust, B. (2015). Seasonal training-load quantification in elite English Premier League soccer players. </w:t>
      </w:r>
      <w:r w:rsidRPr="00281516">
        <w:rPr>
          <w:rFonts w:ascii="Times" w:hAnsi="Times"/>
          <w:i/>
          <w:iCs/>
        </w:rPr>
        <w:t>International Journal of Sports Physiology and Performance</w:t>
      </w:r>
      <w:r w:rsidRPr="00281516">
        <w:rPr>
          <w:rFonts w:ascii="Times" w:hAnsi="Times"/>
        </w:rPr>
        <w:t xml:space="preserve">, </w:t>
      </w:r>
      <w:r w:rsidRPr="00281516">
        <w:rPr>
          <w:rFonts w:ascii="Times" w:hAnsi="Times"/>
          <w:i/>
          <w:iCs/>
        </w:rPr>
        <w:t>10</w:t>
      </w:r>
      <w:r w:rsidRPr="00281516">
        <w:rPr>
          <w:rFonts w:ascii="Times" w:hAnsi="Times"/>
        </w:rPr>
        <w:t>(4), 489–497. https://doi.org/10.1123/ijspp.2014-0352</w:t>
      </w:r>
    </w:p>
    <w:p w14:paraId="1D344441" w14:textId="77777777" w:rsidR="00281516" w:rsidRPr="00281516" w:rsidRDefault="00281516" w:rsidP="00281516">
      <w:pPr>
        <w:pStyle w:val="Bibliography"/>
        <w:rPr>
          <w:rFonts w:ascii="Times" w:hAnsi="Times"/>
        </w:rPr>
      </w:pPr>
      <w:r w:rsidRPr="00281516">
        <w:rPr>
          <w:rFonts w:ascii="Times" w:hAnsi="Times"/>
        </w:rPr>
        <w:t xml:space="preserve">Malone, S., Owen, A., Newton, M., Mendes, B., Collins, K. D., &amp; Gabbett, T. J. (2017). The acute:chonic workload ratio in relation to injury risk in professional soccer. </w:t>
      </w:r>
      <w:r w:rsidRPr="00281516">
        <w:rPr>
          <w:rFonts w:ascii="Times" w:hAnsi="Times"/>
          <w:i/>
          <w:iCs/>
        </w:rPr>
        <w:t>Journal of Science and Medicine in Sport</w:t>
      </w:r>
      <w:r w:rsidRPr="00281516">
        <w:rPr>
          <w:rFonts w:ascii="Times" w:hAnsi="Times"/>
        </w:rPr>
        <w:t xml:space="preserve">, </w:t>
      </w:r>
      <w:r w:rsidRPr="00281516">
        <w:rPr>
          <w:rFonts w:ascii="Times" w:hAnsi="Times"/>
          <w:i/>
          <w:iCs/>
        </w:rPr>
        <w:t>20</w:t>
      </w:r>
      <w:r w:rsidRPr="00281516">
        <w:rPr>
          <w:rFonts w:ascii="Times" w:hAnsi="Times"/>
        </w:rPr>
        <w:t>(6), 561–565. https://doi.org/10.1016/j.jsams.2016.10.014</w:t>
      </w:r>
    </w:p>
    <w:p w14:paraId="792B21CA" w14:textId="77777777" w:rsidR="00281516" w:rsidRPr="00281516" w:rsidRDefault="00281516" w:rsidP="00281516">
      <w:pPr>
        <w:pStyle w:val="Bibliography"/>
        <w:rPr>
          <w:rFonts w:ascii="Times" w:hAnsi="Times"/>
        </w:rPr>
      </w:pPr>
      <w:r w:rsidRPr="00281516">
        <w:rPr>
          <w:rFonts w:ascii="Times" w:hAnsi="Times"/>
        </w:rPr>
        <w:t xml:space="preserve">Manzi, V., D’Ottavio, S., Impellizzeri, F. M., Chaouachi, A., Chamari, K., &amp; Castagna, C. (2010). Profile of weekly training load in elite male professional basketball players. </w:t>
      </w:r>
      <w:r w:rsidRPr="00281516">
        <w:rPr>
          <w:rFonts w:ascii="Times" w:hAnsi="Times"/>
          <w:i/>
          <w:iCs/>
        </w:rPr>
        <w:t>Journal of Strength and Conditioning Research</w:t>
      </w:r>
      <w:r w:rsidRPr="00281516">
        <w:rPr>
          <w:rFonts w:ascii="Times" w:hAnsi="Times"/>
        </w:rPr>
        <w:t xml:space="preserve">, </w:t>
      </w:r>
      <w:r w:rsidRPr="00281516">
        <w:rPr>
          <w:rFonts w:ascii="Times" w:hAnsi="Times"/>
          <w:i/>
          <w:iCs/>
        </w:rPr>
        <w:t>24</w:t>
      </w:r>
      <w:r w:rsidRPr="00281516">
        <w:rPr>
          <w:rFonts w:ascii="Times" w:hAnsi="Times"/>
        </w:rPr>
        <w:t>(5), 1399–1406. https://doi.org/10.1519/JSC.0b013e3181d7552a</w:t>
      </w:r>
    </w:p>
    <w:p w14:paraId="06BC3AB9" w14:textId="77777777" w:rsidR="00281516" w:rsidRPr="00281516" w:rsidRDefault="00281516" w:rsidP="00281516">
      <w:pPr>
        <w:pStyle w:val="Bibliography"/>
        <w:rPr>
          <w:rFonts w:ascii="Times" w:hAnsi="Times"/>
        </w:rPr>
      </w:pPr>
      <w:r w:rsidRPr="00281516">
        <w:rPr>
          <w:rFonts w:ascii="Times" w:hAnsi="Times"/>
          <w:i/>
          <w:iCs/>
        </w:rPr>
        <w:t>Men’s Basketball: Probability of competing beyond high school</w:t>
      </w:r>
      <w:r w:rsidRPr="00281516">
        <w:rPr>
          <w:rFonts w:ascii="Times" w:hAnsi="Times"/>
        </w:rPr>
        <w:t>. (2020, April 20). NCAA. https://www.ncaa.org/sports/2015/3/6/men-s-basketball-probability-of-competing-beyond-high-school.aspx</w:t>
      </w:r>
    </w:p>
    <w:p w14:paraId="7E2573E4" w14:textId="77777777" w:rsidR="00281516" w:rsidRPr="00281516" w:rsidRDefault="00281516" w:rsidP="00281516">
      <w:pPr>
        <w:pStyle w:val="Bibliography"/>
        <w:rPr>
          <w:rFonts w:ascii="Times" w:hAnsi="Times"/>
        </w:rPr>
      </w:pPr>
      <w:r w:rsidRPr="00281516">
        <w:rPr>
          <w:rFonts w:ascii="Times" w:hAnsi="Times"/>
        </w:rPr>
        <w:t xml:space="preserve">Montgomery, P. G., Pyne, D. B., &amp; Minahan, C. L. (2010). The Physical and Physiological Demands of Basketball Training and Competition. </w:t>
      </w:r>
      <w:r w:rsidRPr="00281516">
        <w:rPr>
          <w:rFonts w:ascii="Times" w:hAnsi="Times"/>
          <w:i/>
          <w:iCs/>
        </w:rPr>
        <w:t>International Journal of Sports Physiology and Performance</w:t>
      </w:r>
      <w:r w:rsidRPr="00281516">
        <w:rPr>
          <w:rFonts w:ascii="Times" w:hAnsi="Times"/>
        </w:rPr>
        <w:t xml:space="preserve">, </w:t>
      </w:r>
      <w:r w:rsidRPr="00281516">
        <w:rPr>
          <w:rFonts w:ascii="Times" w:hAnsi="Times"/>
          <w:i/>
          <w:iCs/>
        </w:rPr>
        <w:t>5</w:t>
      </w:r>
      <w:r w:rsidRPr="00281516">
        <w:rPr>
          <w:rFonts w:ascii="Times" w:hAnsi="Times"/>
        </w:rPr>
        <w:t>(1), 75–86. https://doi.org/10.1123/ijspp.5.1.75</w:t>
      </w:r>
    </w:p>
    <w:p w14:paraId="7DDBE3DE" w14:textId="77777777" w:rsidR="00281516" w:rsidRPr="00281516" w:rsidRDefault="00281516" w:rsidP="00281516">
      <w:pPr>
        <w:pStyle w:val="Bibliography"/>
        <w:rPr>
          <w:rFonts w:ascii="Times" w:hAnsi="Times"/>
        </w:rPr>
      </w:pPr>
      <w:r w:rsidRPr="00281516">
        <w:rPr>
          <w:rFonts w:ascii="Times" w:hAnsi="Times"/>
        </w:rPr>
        <w:lastRenderedPageBreak/>
        <w:t xml:space="preserve">Nicolella, D. P., Torres-Ronda, L., Saylor, K. J., &amp; Schelling, X. (2018). Validity and reliability of an accelerometer-based player tracking device. </w:t>
      </w:r>
      <w:r w:rsidRPr="00281516">
        <w:rPr>
          <w:rFonts w:ascii="Times" w:hAnsi="Times"/>
          <w:i/>
          <w:iCs/>
        </w:rPr>
        <w:t>PLOS ONE</w:t>
      </w:r>
      <w:r w:rsidRPr="00281516">
        <w:rPr>
          <w:rFonts w:ascii="Times" w:hAnsi="Times"/>
        </w:rPr>
        <w:t xml:space="preserve">, </w:t>
      </w:r>
      <w:r w:rsidRPr="00281516">
        <w:rPr>
          <w:rFonts w:ascii="Times" w:hAnsi="Times"/>
          <w:i/>
          <w:iCs/>
        </w:rPr>
        <w:t>13</w:t>
      </w:r>
      <w:r w:rsidRPr="00281516">
        <w:rPr>
          <w:rFonts w:ascii="Times" w:hAnsi="Times"/>
        </w:rPr>
        <w:t>(2), e0191823. https://doi.org/10.1371/journal.pone.0191823</w:t>
      </w:r>
    </w:p>
    <w:p w14:paraId="77C1A72B" w14:textId="77777777" w:rsidR="00281516" w:rsidRPr="00281516" w:rsidRDefault="00281516" w:rsidP="00281516">
      <w:pPr>
        <w:pStyle w:val="Bibliography"/>
        <w:rPr>
          <w:rFonts w:ascii="Times" w:hAnsi="Times"/>
        </w:rPr>
      </w:pPr>
      <w:r w:rsidRPr="00281516">
        <w:rPr>
          <w:rFonts w:ascii="Times" w:hAnsi="Times"/>
        </w:rPr>
        <w:t xml:space="preserve">Novak, A. R., Impellizzeri, F. M., Trivedi, A., Coutts, A. J., &amp; McCall, A. (2021). Analysis of the worst-case scenarios in an elite football team: Towards a better understanding and application. </w:t>
      </w:r>
      <w:r w:rsidRPr="00281516">
        <w:rPr>
          <w:rFonts w:ascii="Times" w:hAnsi="Times"/>
          <w:i/>
          <w:iCs/>
        </w:rPr>
        <w:t>Journal of Sports Sciences</w:t>
      </w:r>
      <w:r w:rsidRPr="00281516">
        <w:rPr>
          <w:rFonts w:ascii="Times" w:hAnsi="Times"/>
        </w:rPr>
        <w:t xml:space="preserve">, </w:t>
      </w:r>
      <w:r w:rsidRPr="00281516">
        <w:rPr>
          <w:rFonts w:ascii="Times" w:hAnsi="Times"/>
          <w:i/>
          <w:iCs/>
        </w:rPr>
        <w:t>39</w:t>
      </w:r>
      <w:r w:rsidRPr="00281516">
        <w:rPr>
          <w:rFonts w:ascii="Times" w:hAnsi="Times"/>
        </w:rPr>
        <w:t>(16), 1850–1859. https://doi.org/10.1080/02640414.2021.1902138</w:t>
      </w:r>
    </w:p>
    <w:p w14:paraId="5B370FA2" w14:textId="77777777" w:rsidR="00281516" w:rsidRPr="00281516" w:rsidRDefault="00281516" w:rsidP="00281516">
      <w:pPr>
        <w:pStyle w:val="Bibliography"/>
        <w:rPr>
          <w:rFonts w:ascii="Times" w:hAnsi="Times"/>
        </w:rPr>
      </w:pPr>
      <w:r w:rsidRPr="00281516">
        <w:rPr>
          <w:rFonts w:ascii="Times" w:hAnsi="Times"/>
        </w:rPr>
        <w:t xml:space="preserve">Olthof, S. B. H., Tureen, T., Tran, L., Brennan, B., Winograd, B., &amp; Zernicke, R. F. (2021). Biomechanical Loads and Their Effects on Player Performance in NCAA D-I Male Basketball Games. </w:t>
      </w:r>
      <w:r w:rsidRPr="00281516">
        <w:rPr>
          <w:rFonts w:ascii="Times" w:hAnsi="Times"/>
          <w:i/>
          <w:iCs/>
        </w:rPr>
        <w:t>Frontiers in Sports and Active Living</w:t>
      </w:r>
      <w:r w:rsidRPr="00281516">
        <w:rPr>
          <w:rFonts w:ascii="Times" w:hAnsi="Times"/>
        </w:rPr>
        <w:t xml:space="preserve">, </w:t>
      </w:r>
      <w:r w:rsidRPr="00281516">
        <w:rPr>
          <w:rFonts w:ascii="Times" w:hAnsi="Times"/>
          <w:i/>
          <w:iCs/>
        </w:rPr>
        <w:t>3</w:t>
      </w:r>
      <w:r w:rsidRPr="00281516">
        <w:rPr>
          <w:rFonts w:ascii="Times" w:hAnsi="Times"/>
        </w:rPr>
        <w:t>, 670018. https://doi.org/10.3389/fspor.2021.670018</w:t>
      </w:r>
    </w:p>
    <w:p w14:paraId="6A5FB329" w14:textId="77777777" w:rsidR="00281516" w:rsidRPr="00281516" w:rsidRDefault="00281516" w:rsidP="00281516">
      <w:pPr>
        <w:pStyle w:val="Bibliography"/>
        <w:rPr>
          <w:rFonts w:ascii="Times" w:hAnsi="Times"/>
        </w:rPr>
      </w:pPr>
      <w:r w:rsidRPr="00281516">
        <w:rPr>
          <w:rFonts w:ascii="Times" w:hAnsi="Times"/>
        </w:rPr>
        <w:t xml:space="preserve">Perri, T., Norton, K. I., Bellenger, C. R., &amp; Murphy, A. P. (2018). Training loads in typical junior-elite tennis training and competition: Implications for transition periods in a high-performance pathway. </w:t>
      </w:r>
      <w:r w:rsidRPr="00281516">
        <w:rPr>
          <w:rFonts w:ascii="Times" w:hAnsi="Times"/>
          <w:i/>
          <w:iCs/>
        </w:rPr>
        <w:t>International Journal of Performance Analysis in Sport</w:t>
      </w:r>
      <w:r w:rsidRPr="00281516">
        <w:rPr>
          <w:rFonts w:ascii="Times" w:hAnsi="Times"/>
        </w:rPr>
        <w:t xml:space="preserve">, </w:t>
      </w:r>
      <w:r w:rsidRPr="00281516">
        <w:rPr>
          <w:rFonts w:ascii="Times" w:hAnsi="Times"/>
          <w:i/>
          <w:iCs/>
        </w:rPr>
        <w:t>18</w:t>
      </w:r>
      <w:r w:rsidRPr="00281516">
        <w:rPr>
          <w:rFonts w:ascii="Times" w:hAnsi="Times"/>
        </w:rPr>
        <w:t>(2), 327–338. https://doi.org/10.1080/24748668.2018.1475198</w:t>
      </w:r>
    </w:p>
    <w:p w14:paraId="746908A7" w14:textId="77777777" w:rsidR="00281516" w:rsidRPr="00281516" w:rsidRDefault="00281516" w:rsidP="00281516">
      <w:pPr>
        <w:pStyle w:val="Bibliography"/>
        <w:rPr>
          <w:rFonts w:ascii="Times" w:hAnsi="Times"/>
        </w:rPr>
      </w:pPr>
      <w:r w:rsidRPr="00281516">
        <w:rPr>
          <w:rFonts w:ascii="Times" w:hAnsi="Times"/>
        </w:rPr>
        <w:t xml:space="preserve">Peterson, K. D., &amp; Quiggle, G. T. (2017). Tensiomyographical responses to accelerometer loads in female collegiate basketball players. </w:t>
      </w:r>
      <w:r w:rsidRPr="00281516">
        <w:rPr>
          <w:rFonts w:ascii="Times" w:hAnsi="Times"/>
          <w:i/>
          <w:iCs/>
        </w:rPr>
        <w:t>Journal of Sports Sciences</w:t>
      </w:r>
      <w:r w:rsidRPr="00281516">
        <w:rPr>
          <w:rFonts w:ascii="Times" w:hAnsi="Times"/>
        </w:rPr>
        <w:t xml:space="preserve">, </w:t>
      </w:r>
      <w:r w:rsidRPr="00281516">
        <w:rPr>
          <w:rFonts w:ascii="Times" w:hAnsi="Times"/>
          <w:i/>
          <w:iCs/>
        </w:rPr>
        <w:t>35</w:t>
      </w:r>
      <w:r w:rsidRPr="00281516">
        <w:rPr>
          <w:rFonts w:ascii="Times" w:hAnsi="Times"/>
        </w:rPr>
        <w:t>(23), 2334–2341. https://doi.org/10.1080/02640414.2016.1266378</w:t>
      </w:r>
    </w:p>
    <w:p w14:paraId="7C7DE9EC" w14:textId="77777777" w:rsidR="00281516" w:rsidRPr="00281516" w:rsidRDefault="00281516" w:rsidP="00281516">
      <w:pPr>
        <w:pStyle w:val="Bibliography"/>
        <w:rPr>
          <w:rFonts w:ascii="Times" w:hAnsi="Times"/>
        </w:rPr>
      </w:pPr>
      <w:r w:rsidRPr="00281516">
        <w:rPr>
          <w:rFonts w:ascii="Times" w:hAnsi="Times"/>
        </w:rPr>
        <w:t xml:space="preserve">Petway, A. J., Freitas, T. T., Calleja-González, J., Medina Leal, D., &amp; Alcaraz, P. E. (2020). Training load and match-play demands in basketball based on competition level: A systematic review. </w:t>
      </w:r>
      <w:r w:rsidRPr="00281516">
        <w:rPr>
          <w:rFonts w:ascii="Times" w:hAnsi="Times"/>
          <w:i/>
          <w:iCs/>
        </w:rPr>
        <w:t>PLOS ONE</w:t>
      </w:r>
      <w:r w:rsidRPr="00281516">
        <w:rPr>
          <w:rFonts w:ascii="Times" w:hAnsi="Times"/>
        </w:rPr>
        <w:t xml:space="preserve">, </w:t>
      </w:r>
      <w:r w:rsidRPr="00281516">
        <w:rPr>
          <w:rFonts w:ascii="Times" w:hAnsi="Times"/>
          <w:i/>
          <w:iCs/>
        </w:rPr>
        <w:t>15</w:t>
      </w:r>
      <w:r w:rsidRPr="00281516">
        <w:rPr>
          <w:rFonts w:ascii="Times" w:hAnsi="Times"/>
        </w:rPr>
        <w:t>(3), e0229212. https://doi.org/10.1371/journal.pone.0229212</w:t>
      </w:r>
    </w:p>
    <w:p w14:paraId="0583FB4C" w14:textId="77777777" w:rsidR="00281516" w:rsidRPr="00281516" w:rsidRDefault="00281516" w:rsidP="00281516">
      <w:pPr>
        <w:pStyle w:val="Bibliography"/>
        <w:rPr>
          <w:rFonts w:ascii="Times" w:hAnsi="Times"/>
        </w:rPr>
      </w:pPr>
      <w:r w:rsidRPr="00281516">
        <w:rPr>
          <w:rFonts w:ascii="Times" w:hAnsi="Times"/>
        </w:rPr>
        <w:lastRenderedPageBreak/>
        <w:t xml:space="preserve">Rago, V., Muschinsky, A., Deylami, K., Mohr, M., &amp; Vigh-Larsen, J. F. (2022). Weekly Training Load in Elite Male Ice Hockey: Practice Versus Competition Demands. </w:t>
      </w:r>
      <w:r w:rsidRPr="00281516">
        <w:rPr>
          <w:rFonts w:ascii="Times" w:hAnsi="Times"/>
          <w:i/>
          <w:iCs/>
        </w:rPr>
        <w:t>International Journal of Sports Physiology and Performance</w:t>
      </w:r>
      <w:r w:rsidRPr="00281516">
        <w:rPr>
          <w:rFonts w:ascii="Times" w:hAnsi="Times"/>
        </w:rPr>
        <w:t xml:space="preserve">, </w:t>
      </w:r>
      <w:r w:rsidRPr="00281516">
        <w:rPr>
          <w:rFonts w:ascii="Times" w:hAnsi="Times"/>
          <w:i/>
          <w:iCs/>
        </w:rPr>
        <w:t>17</w:t>
      </w:r>
      <w:r w:rsidRPr="00281516">
        <w:rPr>
          <w:rFonts w:ascii="Times" w:hAnsi="Times"/>
        </w:rPr>
        <w:t>(2), 270–277. https://doi.org/10.1123/ijspp.2021-0188</w:t>
      </w:r>
    </w:p>
    <w:p w14:paraId="334C5020" w14:textId="77777777" w:rsidR="00281516" w:rsidRPr="00281516" w:rsidRDefault="00281516" w:rsidP="00281516">
      <w:pPr>
        <w:pStyle w:val="Bibliography"/>
        <w:rPr>
          <w:rFonts w:ascii="Times" w:hAnsi="Times"/>
        </w:rPr>
      </w:pPr>
      <w:r w:rsidRPr="00281516">
        <w:rPr>
          <w:rFonts w:ascii="Times" w:hAnsi="Times"/>
        </w:rPr>
        <w:t xml:space="preserve">Ransdell, L. B., Murray, T., Gao, Y., Jones, P., &amp; Bycura, D. (2020). A 4-Year Profile of Game Demands in Elite Women’s Division I College Basketball. </w:t>
      </w:r>
      <w:r w:rsidRPr="00281516">
        <w:rPr>
          <w:rFonts w:ascii="Times" w:hAnsi="Times"/>
          <w:i/>
          <w:iCs/>
        </w:rPr>
        <w:t>Journal of Strength and Conditioning Research</w:t>
      </w:r>
      <w:r w:rsidRPr="00281516">
        <w:rPr>
          <w:rFonts w:ascii="Times" w:hAnsi="Times"/>
        </w:rPr>
        <w:t xml:space="preserve">, </w:t>
      </w:r>
      <w:r w:rsidRPr="00281516">
        <w:rPr>
          <w:rFonts w:ascii="Times" w:hAnsi="Times"/>
          <w:i/>
          <w:iCs/>
        </w:rPr>
        <w:t>34</w:t>
      </w:r>
      <w:r w:rsidRPr="00281516">
        <w:rPr>
          <w:rFonts w:ascii="Times" w:hAnsi="Times"/>
        </w:rPr>
        <w:t>(3), 632–638. https://doi.org/10.1519/JSC.0000000000003425</w:t>
      </w:r>
    </w:p>
    <w:p w14:paraId="11AABA56" w14:textId="77777777" w:rsidR="00281516" w:rsidRPr="00281516" w:rsidRDefault="00281516" w:rsidP="00281516">
      <w:pPr>
        <w:pStyle w:val="Bibliography"/>
        <w:rPr>
          <w:rFonts w:ascii="Times" w:hAnsi="Times"/>
        </w:rPr>
      </w:pPr>
      <w:r w:rsidRPr="00281516">
        <w:rPr>
          <w:rFonts w:ascii="Times" w:hAnsi="Times"/>
        </w:rPr>
        <w:t xml:space="preserve">Reina, M., García-Rubio, J., Esteves, P. T., &amp; Ibáñez, S. J. (2020). How external load of youth basketball players varies according to playing position, game period and playing time. </w:t>
      </w:r>
      <w:r w:rsidRPr="00281516">
        <w:rPr>
          <w:rFonts w:ascii="Times" w:hAnsi="Times"/>
          <w:i/>
          <w:iCs/>
        </w:rPr>
        <w:t>International Journal of Performance Analysis in Sport</w:t>
      </w:r>
      <w:r w:rsidRPr="00281516">
        <w:rPr>
          <w:rFonts w:ascii="Times" w:hAnsi="Times"/>
        </w:rPr>
        <w:t xml:space="preserve">, </w:t>
      </w:r>
      <w:r w:rsidRPr="00281516">
        <w:rPr>
          <w:rFonts w:ascii="Times" w:hAnsi="Times"/>
          <w:i/>
          <w:iCs/>
        </w:rPr>
        <w:t>20</w:t>
      </w:r>
      <w:r w:rsidRPr="00281516">
        <w:rPr>
          <w:rFonts w:ascii="Times" w:hAnsi="Times"/>
        </w:rPr>
        <w:t>(6), 917–930. https://doi.org/10.1080/24748668.2020.1818973</w:t>
      </w:r>
    </w:p>
    <w:p w14:paraId="5DBB3F7F" w14:textId="77777777" w:rsidR="00281516" w:rsidRPr="00281516" w:rsidRDefault="00281516" w:rsidP="00281516">
      <w:pPr>
        <w:pStyle w:val="Bibliography"/>
        <w:rPr>
          <w:rFonts w:ascii="Times" w:hAnsi="Times"/>
        </w:rPr>
      </w:pPr>
      <w:r w:rsidRPr="00281516">
        <w:rPr>
          <w:rFonts w:ascii="Times" w:hAnsi="Times"/>
        </w:rPr>
        <w:t xml:space="preserve">Rico-González, M., Los Arcos, A., Clemente, F. M., Rojas-Valverde, D., &amp; Pino-Ortega, J. (2020). Accuracy and Reliability of Local Positioning Systems for Measuring Sport Movement Patterns in Stadium-Scale: A Systematic Review. </w:t>
      </w:r>
      <w:r w:rsidRPr="00281516">
        <w:rPr>
          <w:rFonts w:ascii="Times" w:hAnsi="Times"/>
          <w:i/>
          <w:iCs/>
        </w:rPr>
        <w:t>Applied Sciences</w:t>
      </w:r>
      <w:r w:rsidRPr="00281516">
        <w:rPr>
          <w:rFonts w:ascii="Times" w:hAnsi="Times"/>
        </w:rPr>
        <w:t xml:space="preserve">, </w:t>
      </w:r>
      <w:r w:rsidRPr="00281516">
        <w:rPr>
          <w:rFonts w:ascii="Times" w:hAnsi="Times"/>
          <w:i/>
          <w:iCs/>
        </w:rPr>
        <w:t>10</w:t>
      </w:r>
      <w:r w:rsidRPr="00281516">
        <w:rPr>
          <w:rFonts w:ascii="Times" w:hAnsi="Times"/>
        </w:rPr>
        <w:t>(17), 5994. https://doi.org/10.3390/app10175994</w:t>
      </w:r>
    </w:p>
    <w:p w14:paraId="737FC533" w14:textId="77777777" w:rsidR="00281516" w:rsidRPr="00281516" w:rsidRDefault="00281516" w:rsidP="00281516">
      <w:pPr>
        <w:pStyle w:val="Bibliography"/>
        <w:rPr>
          <w:rFonts w:ascii="Times" w:hAnsi="Times"/>
        </w:rPr>
      </w:pPr>
      <w:r w:rsidRPr="00281516">
        <w:rPr>
          <w:rFonts w:ascii="Times" w:hAnsi="Times"/>
        </w:rPr>
        <w:t xml:space="preserve">Ritchie, D., Hopkins, W. G., Buchheit, M., Cordy, J., &amp; Bartlett, J. D. (2016). Quantification of training and competition load across a season in an elite Australian Football club. </w:t>
      </w:r>
      <w:r w:rsidRPr="00281516">
        <w:rPr>
          <w:rFonts w:ascii="Times" w:hAnsi="Times"/>
          <w:i/>
          <w:iCs/>
        </w:rPr>
        <w:t>International Journal of Sports Physiology and Performance</w:t>
      </w:r>
      <w:r w:rsidRPr="00281516">
        <w:rPr>
          <w:rFonts w:ascii="Times" w:hAnsi="Times"/>
        </w:rPr>
        <w:t xml:space="preserve">, </w:t>
      </w:r>
      <w:r w:rsidRPr="00281516">
        <w:rPr>
          <w:rFonts w:ascii="Times" w:hAnsi="Times"/>
          <w:i/>
          <w:iCs/>
        </w:rPr>
        <w:t>11</w:t>
      </w:r>
      <w:r w:rsidRPr="00281516">
        <w:rPr>
          <w:rFonts w:ascii="Times" w:hAnsi="Times"/>
        </w:rPr>
        <w:t>(4), 474–479. https://doi.org/10.1123/ijspp.2015-0294</w:t>
      </w:r>
    </w:p>
    <w:p w14:paraId="07BD1C1C" w14:textId="77777777" w:rsidR="00281516" w:rsidRPr="00281516" w:rsidRDefault="00281516" w:rsidP="00281516">
      <w:pPr>
        <w:pStyle w:val="Bibliography"/>
        <w:rPr>
          <w:rFonts w:ascii="Times" w:hAnsi="Times"/>
        </w:rPr>
      </w:pPr>
      <w:r w:rsidRPr="00281516">
        <w:rPr>
          <w:rFonts w:ascii="Times" w:hAnsi="Times"/>
        </w:rPr>
        <w:t xml:space="preserve">Russell, J. L., McLean, B. D., Impellizzeri, F. M., Strack, D. S., &amp; Coutts, A. J. (2021). Measuring physical demands in basketball: An explorative systematic review of practices. </w:t>
      </w:r>
      <w:r w:rsidRPr="00281516">
        <w:rPr>
          <w:rFonts w:ascii="Times" w:hAnsi="Times"/>
          <w:i/>
          <w:iCs/>
        </w:rPr>
        <w:t>Sports Medicine</w:t>
      </w:r>
      <w:r w:rsidRPr="00281516">
        <w:rPr>
          <w:rFonts w:ascii="Times" w:hAnsi="Times"/>
        </w:rPr>
        <w:t xml:space="preserve">, </w:t>
      </w:r>
      <w:r w:rsidRPr="00281516">
        <w:rPr>
          <w:rFonts w:ascii="Times" w:hAnsi="Times"/>
          <w:i/>
          <w:iCs/>
        </w:rPr>
        <w:t>51</w:t>
      </w:r>
      <w:r w:rsidRPr="00281516">
        <w:rPr>
          <w:rFonts w:ascii="Times" w:hAnsi="Times"/>
        </w:rPr>
        <w:t>(1), 81–112. https://doi.org/10.1007/s40279-020-01375-9</w:t>
      </w:r>
    </w:p>
    <w:p w14:paraId="7CEC04E8" w14:textId="77777777" w:rsidR="00281516" w:rsidRPr="00281516" w:rsidRDefault="00281516" w:rsidP="00281516">
      <w:pPr>
        <w:pStyle w:val="Bibliography"/>
        <w:rPr>
          <w:rFonts w:ascii="Times" w:hAnsi="Times"/>
        </w:rPr>
      </w:pPr>
      <w:r w:rsidRPr="00281516">
        <w:rPr>
          <w:rFonts w:ascii="Times" w:hAnsi="Times"/>
        </w:rPr>
        <w:lastRenderedPageBreak/>
        <w:t xml:space="preserve">Russell, J. L., McLean, B. D., Stolp, S., Strack, D., &amp; Coutts, A. J. (2021). Quantifying training and game demands of a National Basketball Association season. </w:t>
      </w:r>
      <w:r w:rsidRPr="00281516">
        <w:rPr>
          <w:rFonts w:ascii="Times" w:hAnsi="Times"/>
          <w:i/>
          <w:iCs/>
        </w:rPr>
        <w:t>Frontiers in Psychology</w:t>
      </w:r>
      <w:r w:rsidRPr="00281516">
        <w:rPr>
          <w:rFonts w:ascii="Times" w:hAnsi="Times"/>
        </w:rPr>
        <w:t xml:space="preserve">, </w:t>
      </w:r>
      <w:r w:rsidRPr="00281516">
        <w:rPr>
          <w:rFonts w:ascii="Times" w:hAnsi="Times"/>
          <w:i/>
          <w:iCs/>
        </w:rPr>
        <w:t>12</w:t>
      </w:r>
      <w:r w:rsidRPr="00281516">
        <w:rPr>
          <w:rFonts w:ascii="Times" w:hAnsi="Times"/>
        </w:rPr>
        <w:t>, 793216. https://doi.org/10.3389/fpsyg.2021.793216</w:t>
      </w:r>
    </w:p>
    <w:p w14:paraId="058534F7" w14:textId="77777777" w:rsidR="00281516" w:rsidRPr="00281516" w:rsidRDefault="00281516" w:rsidP="00281516">
      <w:pPr>
        <w:pStyle w:val="Bibliography"/>
        <w:rPr>
          <w:rFonts w:ascii="Times" w:hAnsi="Times"/>
        </w:rPr>
      </w:pPr>
      <w:r w:rsidRPr="00281516">
        <w:rPr>
          <w:rFonts w:ascii="Times" w:hAnsi="Times"/>
        </w:rPr>
        <w:t xml:space="preserve">Scanlan, A., Dascombe, B., &amp; Reaburn, P. (2011). A comparison of the activity demands of elite and sub-elite Australian men’s basketball competition. </w:t>
      </w:r>
      <w:r w:rsidRPr="00281516">
        <w:rPr>
          <w:rFonts w:ascii="Times" w:hAnsi="Times"/>
          <w:i/>
          <w:iCs/>
        </w:rPr>
        <w:t>Journal of Sports Sciences</w:t>
      </w:r>
      <w:r w:rsidRPr="00281516">
        <w:rPr>
          <w:rFonts w:ascii="Times" w:hAnsi="Times"/>
        </w:rPr>
        <w:t xml:space="preserve">, </w:t>
      </w:r>
      <w:r w:rsidRPr="00281516">
        <w:rPr>
          <w:rFonts w:ascii="Times" w:hAnsi="Times"/>
          <w:i/>
          <w:iCs/>
        </w:rPr>
        <w:t>29</w:t>
      </w:r>
      <w:r w:rsidRPr="00281516">
        <w:rPr>
          <w:rFonts w:ascii="Times" w:hAnsi="Times"/>
        </w:rPr>
        <w:t>(11), 1153–1160. https://doi.org/10.1080/02640414.2011.582509</w:t>
      </w:r>
    </w:p>
    <w:p w14:paraId="624DA4CC" w14:textId="77777777" w:rsidR="00281516" w:rsidRPr="00281516" w:rsidRDefault="00281516" w:rsidP="00281516">
      <w:pPr>
        <w:pStyle w:val="Bibliography"/>
        <w:rPr>
          <w:rFonts w:ascii="Times" w:hAnsi="Times"/>
        </w:rPr>
      </w:pPr>
      <w:r w:rsidRPr="00281516">
        <w:rPr>
          <w:rFonts w:ascii="Times" w:hAnsi="Times"/>
        </w:rPr>
        <w:t xml:space="preserve">Schelling, X., &amp; Torres-Ronda, L. (2013). Conditioning for Basketball: Quality and Quantity of Training. </w:t>
      </w:r>
      <w:r w:rsidRPr="00281516">
        <w:rPr>
          <w:rFonts w:ascii="Times" w:hAnsi="Times"/>
          <w:i/>
          <w:iCs/>
        </w:rPr>
        <w:t>Strength &amp; Conditioning Journal</w:t>
      </w:r>
      <w:r w:rsidRPr="00281516">
        <w:rPr>
          <w:rFonts w:ascii="Times" w:hAnsi="Times"/>
        </w:rPr>
        <w:t xml:space="preserve">, </w:t>
      </w:r>
      <w:r w:rsidRPr="00281516">
        <w:rPr>
          <w:rFonts w:ascii="Times" w:hAnsi="Times"/>
          <w:i/>
          <w:iCs/>
        </w:rPr>
        <w:t>35</w:t>
      </w:r>
      <w:r w:rsidRPr="00281516">
        <w:rPr>
          <w:rFonts w:ascii="Times" w:hAnsi="Times"/>
        </w:rPr>
        <w:t>(6), 89–94. https://doi.org/10.1519/SSC.0000000000000018</w:t>
      </w:r>
    </w:p>
    <w:p w14:paraId="57B8015F" w14:textId="77777777" w:rsidR="00281516" w:rsidRPr="00281516" w:rsidRDefault="00281516" w:rsidP="00281516">
      <w:pPr>
        <w:pStyle w:val="Bibliography"/>
        <w:rPr>
          <w:rFonts w:ascii="Times" w:hAnsi="Times"/>
        </w:rPr>
      </w:pPr>
      <w:r w:rsidRPr="00281516">
        <w:rPr>
          <w:rFonts w:ascii="Times" w:hAnsi="Times"/>
        </w:rPr>
        <w:t xml:space="preserve">Stone, J. D., Merrigan, J. J., Ramadan, J., Brown, R. S., Cheng, G. T., Hornsby, W. G., Smith, H., Galster, S. M., &amp; Hagen, J. A. (2022). Simplifying External Load Data in NCAA Division-I Men’s Basketball Competitions: A Principal Component Analysis. </w:t>
      </w:r>
      <w:r w:rsidRPr="00281516">
        <w:rPr>
          <w:rFonts w:ascii="Times" w:hAnsi="Times"/>
          <w:i/>
          <w:iCs/>
        </w:rPr>
        <w:t>Frontiers in Sports and Active Living</w:t>
      </w:r>
      <w:r w:rsidRPr="00281516">
        <w:rPr>
          <w:rFonts w:ascii="Times" w:hAnsi="Times"/>
        </w:rPr>
        <w:t xml:space="preserve">, </w:t>
      </w:r>
      <w:r w:rsidRPr="00281516">
        <w:rPr>
          <w:rFonts w:ascii="Times" w:hAnsi="Times"/>
          <w:i/>
          <w:iCs/>
        </w:rPr>
        <w:t>4</w:t>
      </w:r>
      <w:r w:rsidRPr="00281516">
        <w:rPr>
          <w:rFonts w:ascii="Times" w:hAnsi="Times"/>
        </w:rPr>
        <w:t>, 795897. https://doi.org/10.3389/fspor.2022.795897</w:t>
      </w:r>
    </w:p>
    <w:p w14:paraId="49197C7E" w14:textId="77777777" w:rsidR="00281516" w:rsidRPr="00281516" w:rsidRDefault="00281516" w:rsidP="00281516">
      <w:pPr>
        <w:pStyle w:val="Bibliography"/>
        <w:rPr>
          <w:rFonts w:ascii="Times" w:hAnsi="Times"/>
        </w:rPr>
      </w:pPr>
      <w:r w:rsidRPr="00281516">
        <w:rPr>
          <w:rFonts w:ascii="Times" w:hAnsi="Times"/>
        </w:rPr>
        <w:t xml:space="preserve">Torres-Ronda, L., Beanland, E., Whitehead, S., Sweeting, A., &amp; Clubb, J. (2022). Tracking Systems in Team Sports: A Narrative Review of Applications of the Data and Sport Specific Analysis. </w:t>
      </w:r>
      <w:r w:rsidRPr="00281516">
        <w:rPr>
          <w:rFonts w:ascii="Times" w:hAnsi="Times"/>
          <w:i/>
          <w:iCs/>
        </w:rPr>
        <w:t>Sports Medicine - Open</w:t>
      </w:r>
      <w:r w:rsidRPr="00281516">
        <w:rPr>
          <w:rFonts w:ascii="Times" w:hAnsi="Times"/>
        </w:rPr>
        <w:t xml:space="preserve">, </w:t>
      </w:r>
      <w:r w:rsidRPr="00281516">
        <w:rPr>
          <w:rFonts w:ascii="Times" w:hAnsi="Times"/>
          <w:i/>
          <w:iCs/>
        </w:rPr>
        <w:t>8</w:t>
      </w:r>
      <w:r w:rsidRPr="00281516">
        <w:rPr>
          <w:rFonts w:ascii="Times" w:hAnsi="Times"/>
        </w:rPr>
        <w:t>(1), 1–22. https://doi.org/10.1186/s40798-022-00408-z</w:t>
      </w:r>
    </w:p>
    <w:p w14:paraId="71C9C596" w14:textId="77777777" w:rsidR="00281516" w:rsidRPr="00281516" w:rsidRDefault="00281516" w:rsidP="00281516">
      <w:pPr>
        <w:pStyle w:val="Bibliography"/>
        <w:rPr>
          <w:rFonts w:ascii="Times" w:hAnsi="Times"/>
        </w:rPr>
      </w:pPr>
      <w:r w:rsidRPr="00281516">
        <w:rPr>
          <w:rFonts w:ascii="Times" w:hAnsi="Times"/>
        </w:rPr>
        <w:t xml:space="preserve">Vazquez-Guerrero, J., Reche, X., Cos, F., Casamichana, D., &amp; Sampaio, J. (2020). Changes in External Load When Modifying Rules of 5-on-5 Scrimmage Situations in Elite Basketball. </w:t>
      </w:r>
      <w:r w:rsidRPr="00281516">
        <w:rPr>
          <w:rFonts w:ascii="Times" w:hAnsi="Times"/>
          <w:i/>
          <w:iCs/>
        </w:rPr>
        <w:t>Journal of Strength and Conditioning Research</w:t>
      </w:r>
      <w:r w:rsidRPr="00281516">
        <w:rPr>
          <w:rFonts w:ascii="Times" w:hAnsi="Times"/>
        </w:rPr>
        <w:t xml:space="preserve">, </w:t>
      </w:r>
      <w:r w:rsidRPr="00281516">
        <w:rPr>
          <w:rFonts w:ascii="Times" w:hAnsi="Times"/>
          <w:i/>
          <w:iCs/>
        </w:rPr>
        <w:t>34</w:t>
      </w:r>
      <w:r w:rsidRPr="00281516">
        <w:rPr>
          <w:rFonts w:ascii="Times" w:hAnsi="Times"/>
        </w:rPr>
        <w:t>(11), 3217–3224. https://doi.org/10.1519/JSC.0000000000002761</w:t>
      </w:r>
    </w:p>
    <w:p w14:paraId="64AE0732" w14:textId="77777777" w:rsidR="00281516" w:rsidRPr="00281516" w:rsidRDefault="00281516" w:rsidP="00281516">
      <w:pPr>
        <w:pStyle w:val="Bibliography"/>
        <w:rPr>
          <w:rFonts w:ascii="Times" w:hAnsi="Times"/>
        </w:rPr>
      </w:pPr>
      <w:r w:rsidRPr="00281516">
        <w:rPr>
          <w:rFonts w:ascii="Times" w:hAnsi="Times"/>
        </w:rPr>
        <w:t xml:space="preserve">Weiss, K. J., Allen, S. V., McGuigan, M. R., &amp; Whatman, C. S. (2017). The Relationship Between Training Load and Injury in Men’s Professional Basketball. </w:t>
      </w:r>
      <w:r w:rsidRPr="00281516">
        <w:rPr>
          <w:rFonts w:ascii="Times" w:hAnsi="Times"/>
          <w:i/>
          <w:iCs/>
        </w:rPr>
        <w:t xml:space="preserve">International </w:t>
      </w:r>
      <w:r w:rsidRPr="00281516">
        <w:rPr>
          <w:rFonts w:ascii="Times" w:hAnsi="Times"/>
          <w:i/>
          <w:iCs/>
        </w:rPr>
        <w:lastRenderedPageBreak/>
        <w:t>Journal of Sports Physiology and Performance</w:t>
      </w:r>
      <w:r w:rsidRPr="00281516">
        <w:rPr>
          <w:rFonts w:ascii="Times" w:hAnsi="Times"/>
        </w:rPr>
        <w:t xml:space="preserve">, </w:t>
      </w:r>
      <w:r w:rsidRPr="00281516">
        <w:rPr>
          <w:rFonts w:ascii="Times" w:hAnsi="Times"/>
          <w:i/>
          <w:iCs/>
        </w:rPr>
        <w:t>12</w:t>
      </w:r>
      <w:r w:rsidRPr="00281516">
        <w:rPr>
          <w:rFonts w:ascii="Times" w:hAnsi="Times"/>
        </w:rPr>
        <w:t>(9), 1238–1242. https://doi.org/10.1123/ijspp.2016-0726</w:t>
      </w:r>
    </w:p>
    <w:p w14:paraId="0357052D" w14:textId="77777777" w:rsidR="00281516" w:rsidRPr="00281516" w:rsidRDefault="00281516" w:rsidP="00281516">
      <w:pPr>
        <w:pStyle w:val="Bibliography"/>
        <w:rPr>
          <w:rFonts w:ascii="Times" w:hAnsi="Times"/>
        </w:rPr>
      </w:pPr>
      <w:r w:rsidRPr="00281516">
        <w:rPr>
          <w:rFonts w:ascii="Times" w:hAnsi="Times"/>
        </w:rPr>
        <w:t xml:space="preserve">Zwerver, J., Bredeweg, S., &amp; van den Akker-Scheek, I. (2011). Prevalence of jumper’s knee among non-elite athletes from different sports; a cross-sectional survey. </w:t>
      </w:r>
      <w:r w:rsidRPr="00281516">
        <w:rPr>
          <w:rFonts w:ascii="Times" w:hAnsi="Times"/>
          <w:i/>
          <w:iCs/>
        </w:rPr>
        <w:t>British Journal of Sports Medicine</w:t>
      </w:r>
      <w:r w:rsidRPr="00281516">
        <w:rPr>
          <w:rFonts w:ascii="Times" w:hAnsi="Times"/>
        </w:rPr>
        <w:t xml:space="preserve">, </w:t>
      </w:r>
      <w:r w:rsidRPr="00281516">
        <w:rPr>
          <w:rFonts w:ascii="Times" w:hAnsi="Times"/>
          <w:i/>
          <w:iCs/>
        </w:rPr>
        <w:t>45</w:t>
      </w:r>
      <w:r w:rsidRPr="00281516">
        <w:rPr>
          <w:rFonts w:ascii="Times" w:hAnsi="Times"/>
        </w:rPr>
        <w:t>(4), 324–324. https://doi.org/10.1136/bjsm.2011.084038.40</w:t>
      </w:r>
    </w:p>
    <w:p w14:paraId="55E14944" w14:textId="0BE80655" w:rsidR="00A301DF" w:rsidRDefault="00E661DE" w:rsidP="00E661DE">
      <w:r>
        <w:rPr>
          <w:rFonts w:ascii="Times" w:hAnsi="Times"/>
          <w:noProof/>
        </w:rPr>
        <w:fldChar w:fldCharType="end"/>
      </w:r>
    </w:p>
    <w:sectPr w:rsidR="00A301DF" w:rsidSect="004B4510">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4719C" w14:textId="77777777" w:rsidR="0061111C" w:rsidRDefault="0061111C" w:rsidP="00CC5252">
      <w:r>
        <w:separator/>
      </w:r>
    </w:p>
  </w:endnote>
  <w:endnote w:type="continuationSeparator" w:id="0">
    <w:p w14:paraId="43C8F80A" w14:textId="77777777" w:rsidR="0061111C" w:rsidRDefault="0061111C" w:rsidP="00CC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altName w:val="﷽﷽﷽﷽﷽﷽﷽﷽ĝ"/>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Roman">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2232229"/>
      <w:docPartObj>
        <w:docPartGallery w:val="Page Numbers (Bottom of Page)"/>
        <w:docPartUnique/>
      </w:docPartObj>
    </w:sdtPr>
    <w:sdtContent>
      <w:p w14:paraId="05F11E57" w14:textId="566F5CF8" w:rsidR="006D2D0B" w:rsidRDefault="006D2D0B" w:rsidP="004B45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5E363" w14:textId="77777777" w:rsidR="006D2D0B" w:rsidRDefault="006D2D0B" w:rsidP="00CC52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460E9" w14:textId="119294F7" w:rsidR="006D2D0B" w:rsidRDefault="006D2D0B" w:rsidP="00CC525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49113125"/>
      <w:docPartObj>
        <w:docPartGallery w:val="Page Numbers (Bottom of Page)"/>
        <w:docPartUnique/>
      </w:docPartObj>
    </w:sdtPr>
    <w:sdtContent>
      <w:p w14:paraId="74E395D6" w14:textId="77777777" w:rsidR="006D2D0B" w:rsidRDefault="006D2D0B" w:rsidP="006D2D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9F834AB" w14:textId="77777777" w:rsidR="006D2D0B" w:rsidRDefault="006D2D0B" w:rsidP="00CC525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3501812"/>
      <w:docPartObj>
        <w:docPartGallery w:val="Page Numbers (Bottom of Page)"/>
        <w:docPartUnique/>
      </w:docPartObj>
    </w:sdtPr>
    <w:sdtContent>
      <w:p w14:paraId="0DD86B3F" w14:textId="77777777" w:rsidR="006D2D0B" w:rsidRDefault="006D2D0B" w:rsidP="006D2D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429712CC" w14:textId="77777777" w:rsidR="006D2D0B" w:rsidRDefault="006D2D0B" w:rsidP="00CC52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BD9147" w14:textId="77777777" w:rsidR="0061111C" w:rsidRDefault="0061111C" w:rsidP="00CC5252">
      <w:r>
        <w:separator/>
      </w:r>
    </w:p>
  </w:footnote>
  <w:footnote w:type="continuationSeparator" w:id="0">
    <w:p w14:paraId="6731F5D3" w14:textId="77777777" w:rsidR="0061111C" w:rsidRDefault="0061111C" w:rsidP="00CC5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62AC2"/>
    <w:multiLevelType w:val="hybridMultilevel"/>
    <w:tmpl w:val="43487C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4131E"/>
    <w:multiLevelType w:val="hybridMultilevel"/>
    <w:tmpl w:val="43487C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D1088"/>
    <w:multiLevelType w:val="hybridMultilevel"/>
    <w:tmpl w:val="D702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B2274D"/>
    <w:multiLevelType w:val="hybridMultilevel"/>
    <w:tmpl w:val="AFAE55A6"/>
    <w:lvl w:ilvl="0" w:tplc="2EAE50B8">
      <w:start w:val="1"/>
      <w:numFmt w:val="decimal"/>
      <w:lvlText w:val="%1."/>
      <w:lvlJc w:val="left"/>
      <w:pPr>
        <w:ind w:left="720" w:hanging="360"/>
      </w:pPr>
      <w:rPr>
        <w:rFonts w:ascii="Times" w:eastAsiaTheme="minorHAnsi" w:hAnsi="Times"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5672A3"/>
    <w:multiLevelType w:val="hybridMultilevel"/>
    <w:tmpl w:val="081A2E30"/>
    <w:lvl w:ilvl="0" w:tplc="476A2202">
      <w:start w:val="1"/>
      <w:numFmt w:val="decimal"/>
      <w:lvlText w:val="%1."/>
      <w:lvlJc w:val="left"/>
      <w:pPr>
        <w:ind w:left="720" w:hanging="360"/>
      </w:pPr>
      <w:rPr>
        <w:rFonts w:ascii="Times" w:eastAsiaTheme="minorHAnsi" w:hAnsi="Times" w:cstheme="minorBid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3CE610FC"/>
    <w:multiLevelType w:val="hybridMultilevel"/>
    <w:tmpl w:val="BA5273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6D1AB7"/>
    <w:multiLevelType w:val="hybridMultilevel"/>
    <w:tmpl w:val="057A633C"/>
    <w:lvl w:ilvl="0" w:tplc="7F72B84C">
      <w:start w:val="1"/>
      <w:numFmt w:val="decimal"/>
      <w:lvlText w:val="%1."/>
      <w:lvlJc w:val="left"/>
      <w:pPr>
        <w:ind w:left="720" w:hanging="360"/>
      </w:pPr>
      <w:rPr>
        <w:rFonts w:ascii="Times" w:hAnsi="Time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8B1CE7"/>
    <w:multiLevelType w:val="hybridMultilevel"/>
    <w:tmpl w:val="057A633C"/>
    <w:lvl w:ilvl="0" w:tplc="7F72B84C">
      <w:start w:val="1"/>
      <w:numFmt w:val="decimal"/>
      <w:lvlText w:val="%1."/>
      <w:lvlJc w:val="left"/>
      <w:pPr>
        <w:ind w:left="720" w:hanging="360"/>
      </w:pPr>
      <w:rPr>
        <w:rFonts w:ascii="Times" w:hAnsi="Time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9666F9"/>
    <w:multiLevelType w:val="hybridMultilevel"/>
    <w:tmpl w:val="26A63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0504FD"/>
    <w:multiLevelType w:val="hybridMultilevel"/>
    <w:tmpl w:val="0836482C"/>
    <w:lvl w:ilvl="0" w:tplc="17509CB2">
      <w:start w:val="1"/>
      <w:numFmt w:val="bullet"/>
      <w:lvlText w:val="•"/>
      <w:lvlJc w:val="left"/>
      <w:pPr>
        <w:tabs>
          <w:tab w:val="num" w:pos="720"/>
        </w:tabs>
        <w:ind w:left="720" w:hanging="360"/>
      </w:pPr>
      <w:rPr>
        <w:rFonts w:ascii="Arial" w:hAnsi="Arial" w:hint="default"/>
      </w:rPr>
    </w:lvl>
    <w:lvl w:ilvl="1" w:tplc="D21AE1F4" w:tentative="1">
      <w:start w:val="1"/>
      <w:numFmt w:val="bullet"/>
      <w:lvlText w:val="•"/>
      <w:lvlJc w:val="left"/>
      <w:pPr>
        <w:tabs>
          <w:tab w:val="num" w:pos="1440"/>
        </w:tabs>
        <w:ind w:left="1440" w:hanging="360"/>
      </w:pPr>
      <w:rPr>
        <w:rFonts w:ascii="Arial" w:hAnsi="Arial" w:hint="default"/>
      </w:rPr>
    </w:lvl>
    <w:lvl w:ilvl="2" w:tplc="F3CA0CBC" w:tentative="1">
      <w:start w:val="1"/>
      <w:numFmt w:val="bullet"/>
      <w:lvlText w:val="•"/>
      <w:lvlJc w:val="left"/>
      <w:pPr>
        <w:tabs>
          <w:tab w:val="num" w:pos="2160"/>
        </w:tabs>
        <w:ind w:left="2160" w:hanging="360"/>
      </w:pPr>
      <w:rPr>
        <w:rFonts w:ascii="Arial" w:hAnsi="Arial" w:hint="default"/>
      </w:rPr>
    </w:lvl>
    <w:lvl w:ilvl="3" w:tplc="E24C0F78" w:tentative="1">
      <w:start w:val="1"/>
      <w:numFmt w:val="bullet"/>
      <w:lvlText w:val="•"/>
      <w:lvlJc w:val="left"/>
      <w:pPr>
        <w:tabs>
          <w:tab w:val="num" w:pos="2880"/>
        </w:tabs>
        <w:ind w:left="2880" w:hanging="360"/>
      </w:pPr>
      <w:rPr>
        <w:rFonts w:ascii="Arial" w:hAnsi="Arial" w:hint="default"/>
      </w:rPr>
    </w:lvl>
    <w:lvl w:ilvl="4" w:tplc="BF8E5906" w:tentative="1">
      <w:start w:val="1"/>
      <w:numFmt w:val="bullet"/>
      <w:lvlText w:val="•"/>
      <w:lvlJc w:val="left"/>
      <w:pPr>
        <w:tabs>
          <w:tab w:val="num" w:pos="3600"/>
        </w:tabs>
        <w:ind w:left="3600" w:hanging="360"/>
      </w:pPr>
      <w:rPr>
        <w:rFonts w:ascii="Arial" w:hAnsi="Arial" w:hint="default"/>
      </w:rPr>
    </w:lvl>
    <w:lvl w:ilvl="5" w:tplc="92904634" w:tentative="1">
      <w:start w:val="1"/>
      <w:numFmt w:val="bullet"/>
      <w:lvlText w:val="•"/>
      <w:lvlJc w:val="left"/>
      <w:pPr>
        <w:tabs>
          <w:tab w:val="num" w:pos="4320"/>
        </w:tabs>
        <w:ind w:left="4320" w:hanging="360"/>
      </w:pPr>
      <w:rPr>
        <w:rFonts w:ascii="Arial" w:hAnsi="Arial" w:hint="default"/>
      </w:rPr>
    </w:lvl>
    <w:lvl w:ilvl="6" w:tplc="9A2E77CA" w:tentative="1">
      <w:start w:val="1"/>
      <w:numFmt w:val="bullet"/>
      <w:lvlText w:val="•"/>
      <w:lvlJc w:val="left"/>
      <w:pPr>
        <w:tabs>
          <w:tab w:val="num" w:pos="5040"/>
        </w:tabs>
        <w:ind w:left="5040" w:hanging="360"/>
      </w:pPr>
      <w:rPr>
        <w:rFonts w:ascii="Arial" w:hAnsi="Arial" w:hint="default"/>
      </w:rPr>
    </w:lvl>
    <w:lvl w:ilvl="7" w:tplc="FBD84020" w:tentative="1">
      <w:start w:val="1"/>
      <w:numFmt w:val="bullet"/>
      <w:lvlText w:val="•"/>
      <w:lvlJc w:val="left"/>
      <w:pPr>
        <w:tabs>
          <w:tab w:val="num" w:pos="5760"/>
        </w:tabs>
        <w:ind w:left="5760" w:hanging="360"/>
      </w:pPr>
      <w:rPr>
        <w:rFonts w:ascii="Arial" w:hAnsi="Arial" w:hint="default"/>
      </w:rPr>
    </w:lvl>
    <w:lvl w:ilvl="8" w:tplc="9BD26A2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A3002E"/>
    <w:multiLevelType w:val="hybridMultilevel"/>
    <w:tmpl w:val="0CB8428C"/>
    <w:lvl w:ilvl="0" w:tplc="7F02F670">
      <w:start w:val="1"/>
      <w:numFmt w:val="decimal"/>
      <w:lvlText w:val="%1."/>
      <w:lvlJc w:val="left"/>
      <w:pPr>
        <w:ind w:left="720" w:hanging="360"/>
      </w:pPr>
      <w:rPr>
        <w:rFonts w:ascii="Times" w:eastAsiaTheme="minorHAnsi" w:hAnsi="Times" w:cstheme="minorBid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6FC477DE"/>
    <w:multiLevelType w:val="hybridMultilevel"/>
    <w:tmpl w:val="B282B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
  </w:num>
  <w:num w:numId="4">
    <w:abstractNumId w:val="6"/>
  </w:num>
  <w:num w:numId="5">
    <w:abstractNumId w:val="1"/>
  </w:num>
  <w:num w:numId="6">
    <w:abstractNumId w:val="3"/>
  </w:num>
  <w:num w:numId="7">
    <w:abstractNumId w:val="4"/>
  </w:num>
  <w:num w:numId="8">
    <w:abstractNumId w:val="10"/>
  </w:num>
  <w:num w:numId="9">
    <w:abstractNumId w:val="9"/>
  </w:num>
  <w:num w:numId="10">
    <w:abstractNumId w:val="8"/>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DE"/>
    <w:rsid w:val="00002145"/>
    <w:rsid w:val="0001115C"/>
    <w:rsid w:val="00016767"/>
    <w:rsid w:val="000334DE"/>
    <w:rsid w:val="00035DD3"/>
    <w:rsid w:val="000466F5"/>
    <w:rsid w:val="00050C3D"/>
    <w:rsid w:val="000531F6"/>
    <w:rsid w:val="000571CE"/>
    <w:rsid w:val="00061062"/>
    <w:rsid w:val="0007213F"/>
    <w:rsid w:val="00082ACA"/>
    <w:rsid w:val="000839A1"/>
    <w:rsid w:val="00090CC4"/>
    <w:rsid w:val="000A0DFB"/>
    <w:rsid w:val="000A5EAF"/>
    <w:rsid w:val="000A7836"/>
    <w:rsid w:val="000B1E7C"/>
    <w:rsid w:val="000B226D"/>
    <w:rsid w:val="000B2B5F"/>
    <w:rsid w:val="000B3BC5"/>
    <w:rsid w:val="000B4010"/>
    <w:rsid w:val="000D3B13"/>
    <w:rsid w:val="000D7194"/>
    <w:rsid w:val="000E43DB"/>
    <w:rsid w:val="000F4B47"/>
    <w:rsid w:val="001006DC"/>
    <w:rsid w:val="00126240"/>
    <w:rsid w:val="0012636B"/>
    <w:rsid w:val="001373D1"/>
    <w:rsid w:val="00155642"/>
    <w:rsid w:val="0016054A"/>
    <w:rsid w:val="00163A8D"/>
    <w:rsid w:val="0016428E"/>
    <w:rsid w:val="001656D2"/>
    <w:rsid w:val="00177BC1"/>
    <w:rsid w:val="00185222"/>
    <w:rsid w:val="0019154B"/>
    <w:rsid w:val="001A4782"/>
    <w:rsid w:val="001A76FB"/>
    <w:rsid w:val="001C597F"/>
    <w:rsid w:val="001E59D2"/>
    <w:rsid w:val="001F557D"/>
    <w:rsid w:val="0020527D"/>
    <w:rsid w:val="002118ED"/>
    <w:rsid w:val="00214302"/>
    <w:rsid w:val="0021661E"/>
    <w:rsid w:val="00220C5E"/>
    <w:rsid w:val="00223133"/>
    <w:rsid w:val="002311CB"/>
    <w:rsid w:val="00241EF6"/>
    <w:rsid w:val="002520FE"/>
    <w:rsid w:val="00253DFD"/>
    <w:rsid w:val="0026146B"/>
    <w:rsid w:val="00277EA7"/>
    <w:rsid w:val="00281516"/>
    <w:rsid w:val="00287499"/>
    <w:rsid w:val="002A06A7"/>
    <w:rsid w:val="002A155D"/>
    <w:rsid w:val="002A21F6"/>
    <w:rsid w:val="002C0A18"/>
    <w:rsid w:val="002C3502"/>
    <w:rsid w:val="002D060B"/>
    <w:rsid w:val="002E77A2"/>
    <w:rsid w:val="002E7F1F"/>
    <w:rsid w:val="0030680E"/>
    <w:rsid w:val="003108FC"/>
    <w:rsid w:val="00311636"/>
    <w:rsid w:val="00316301"/>
    <w:rsid w:val="003314AC"/>
    <w:rsid w:val="00353AB8"/>
    <w:rsid w:val="0037202E"/>
    <w:rsid w:val="003749DE"/>
    <w:rsid w:val="00376116"/>
    <w:rsid w:val="003B3A14"/>
    <w:rsid w:val="003C1458"/>
    <w:rsid w:val="003F26BE"/>
    <w:rsid w:val="004020C2"/>
    <w:rsid w:val="0040283E"/>
    <w:rsid w:val="00421C1B"/>
    <w:rsid w:val="00450618"/>
    <w:rsid w:val="00452A73"/>
    <w:rsid w:val="00456241"/>
    <w:rsid w:val="004722F3"/>
    <w:rsid w:val="00472D10"/>
    <w:rsid w:val="00480417"/>
    <w:rsid w:val="004822F0"/>
    <w:rsid w:val="00495D19"/>
    <w:rsid w:val="004A28EB"/>
    <w:rsid w:val="004B4510"/>
    <w:rsid w:val="004C0C81"/>
    <w:rsid w:val="004C1CDD"/>
    <w:rsid w:val="004C7C9D"/>
    <w:rsid w:val="004E07A9"/>
    <w:rsid w:val="00507878"/>
    <w:rsid w:val="00516426"/>
    <w:rsid w:val="00520FC5"/>
    <w:rsid w:val="00526513"/>
    <w:rsid w:val="00527350"/>
    <w:rsid w:val="0054246F"/>
    <w:rsid w:val="0056026D"/>
    <w:rsid w:val="00580D3D"/>
    <w:rsid w:val="00582219"/>
    <w:rsid w:val="00585ECA"/>
    <w:rsid w:val="005869A9"/>
    <w:rsid w:val="0059317D"/>
    <w:rsid w:val="00594B2A"/>
    <w:rsid w:val="00595FE8"/>
    <w:rsid w:val="005C6CF3"/>
    <w:rsid w:val="005D230B"/>
    <w:rsid w:val="005E0516"/>
    <w:rsid w:val="005E6C22"/>
    <w:rsid w:val="006034AB"/>
    <w:rsid w:val="0061111C"/>
    <w:rsid w:val="0061740C"/>
    <w:rsid w:val="00640254"/>
    <w:rsid w:val="006405D8"/>
    <w:rsid w:val="00640F98"/>
    <w:rsid w:val="00643A43"/>
    <w:rsid w:val="00666CE8"/>
    <w:rsid w:val="0067661D"/>
    <w:rsid w:val="006813C2"/>
    <w:rsid w:val="00693D01"/>
    <w:rsid w:val="006955D5"/>
    <w:rsid w:val="006A5EE9"/>
    <w:rsid w:val="006C06F3"/>
    <w:rsid w:val="006C1590"/>
    <w:rsid w:val="006C459E"/>
    <w:rsid w:val="006C75CA"/>
    <w:rsid w:val="006C7C4D"/>
    <w:rsid w:val="006D1DCD"/>
    <w:rsid w:val="006D2D0B"/>
    <w:rsid w:val="006D3A18"/>
    <w:rsid w:val="006E2C8A"/>
    <w:rsid w:val="006E470B"/>
    <w:rsid w:val="006F1E57"/>
    <w:rsid w:val="0070082A"/>
    <w:rsid w:val="00706F5C"/>
    <w:rsid w:val="0071483B"/>
    <w:rsid w:val="00714C39"/>
    <w:rsid w:val="00715FC0"/>
    <w:rsid w:val="0075133C"/>
    <w:rsid w:val="00790F1E"/>
    <w:rsid w:val="007912F9"/>
    <w:rsid w:val="007B394B"/>
    <w:rsid w:val="007C2217"/>
    <w:rsid w:val="007C6783"/>
    <w:rsid w:val="007C6CE6"/>
    <w:rsid w:val="007C7126"/>
    <w:rsid w:val="007D62D2"/>
    <w:rsid w:val="007E75C8"/>
    <w:rsid w:val="007F5F86"/>
    <w:rsid w:val="008004BF"/>
    <w:rsid w:val="00810251"/>
    <w:rsid w:val="00811B84"/>
    <w:rsid w:val="00820291"/>
    <w:rsid w:val="00850B91"/>
    <w:rsid w:val="008764C6"/>
    <w:rsid w:val="008802DF"/>
    <w:rsid w:val="008A249B"/>
    <w:rsid w:val="008B23C7"/>
    <w:rsid w:val="008B76D6"/>
    <w:rsid w:val="008C6013"/>
    <w:rsid w:val="008D00D1"/>
    <w:rsid w:val="008D14EE"/>
    <w:rsid w:val="008D1B3E"/>
    <w:rsid w:val="008D24FB"/>
    <w:rsid w:val="008E7F85"/>
    <w:rsid w:val="008F00E1"/>
    <w:rsid w:val="008F4545"/>
    <w:rsid w:val="008F4CCE"/>
    <w:rsid w:val="009007B0"/>
    <w:rsid w:val="00911FF7"/>
    <w:rsid w:val="00916992"/>
    <w:rsid w:val="00936660"/>
    <w:rsid w:val="009376F5"/>
    <w:rsid w:val="009436C2"/>
    <w:rsid w:val="00943A45"/>
    <w:rsid w:val="00953542"/>
    <w:rsid w:val="00956623"/>
    <w:rsid w:val="0096028C"/>
    <w:rsid w:val="009647B1"/>
    <w:rsid w:val="00966B90"/>
    <w:rsid w:val="009824CF"/>
    <w:rsid w:val="00984226"/>
    <w:rsid w:val="00984B07"/>
    <w:rsid w:val="00984DC2"/>
    <w:rsid w:val="00994C6F"/>
    <w:rsid w:val="009A23FB"/>
    <w:rsid w:val="009A6326"/>
    <w:rsid w:val="009B339E"/>
    <w:rsid w:val="009C461B"/>
    <w:rsid w:val="009D4639"/>
    <w:rsid w:val="009D6742"/>
    <w:rsid w:val="009E46AB"/>
    <w:rsid w:val="009E4936"/>
    <w:rsid w:val="009E4FB8"/>
    <w:rsid w:val="009E6D37"/>
    <w:rsid w:val="00A012FF"/>
    <w:rsid w:val="00A018FA"/>
    <w:rsid w:val="00A02B33"/>
    <w:rsid w:val="00A301DF"/>
    <w:rsid w:val="00A446ED"/>
    <w:rsid w:val="00A45B8E"/>
    <w:rsid w:val="00A52485"/>
    <w:rsid w:val="00A52C11"/>
    <w:rsid w:val="00A56C35"/>
    <w:rsid w:val="00A64259"/>
    <w:rsid w:val="00A81800"/>
    <w:rsid w:val="00A86338"/>
    <w:rsid w:val="00A874C5"/>
    <w:rsid w:val="00A92F86"/>
    <w:rsid w:val="00AB17CE"/>
    <w:rsid w:val="00AC16EC"/>
    <w:rsid w:val="00AD1304"/>
    <w:rsid w:val="00AD1645"/>
    <w:rsid w:val="00AD65CB"/>
    <w:rsid w:val="00AF1572"/>
    <w:rsid w:val="00AF2C73"/>
    <w:rsid w:val="00AF5718"/>
    <w:rsid w:val="00AF66C9"/>
    <w:rsid w:val="00B13798"/>
    <w:rsid w:val="00B22F68"/>
    <w:rsid w:val="00B27847"/>
    <w:rsid w:val="00B43E74"/>
    <w:rsid w:val="00B52029"/>
    <w:rsid w:val="00B54A40"/>
    <w:rsid w:val="00B60CB7"/>
    <w:rsid w:val="00B77B9D"/>
    <w:rsid w:val="00B83F69"/>
    <w:rsid w:val="00B91F54"/>
    <w:rsid w:val="00B92839"/>
    <w:rsid w:val="00BC63F9"/>
    <w:rsid w:val="00BD48C2"/>
    <w:rsid w:val="00BE6377"/>
    <w:rsid w:val="00BF5EAB"/>
    <w:rsid w:val="00C13EF3"/>
    <w:rsid w:val="00C42339"/>
    <w:rsid w:val="00C5405B"/>
    <w:rsid w:val="00C720E5"/>
    <w:rsid w:val="00C80ABF"/>
    <w:rsid w:val="00C9600C"/>
    <w:rsid w:val="00CA164A"/>
    <w:rsid w:val="00CA56DF"/>
    <w:rsid w:val="00CC5252"/>
    <w:rsid w:val="00CE1AD6"/>
    <w:rsid w:val="00CE2135"/>
    <w:rsid w:val="00CE5A3F"/>
    <w:rsid w:val="00CF40C0"/>
    <w:rsid w:val="00CF72B6"/>
    <w:rsid w:val="00D00B6D"/>
    <w:rsid w:val="00D06E0C"/>
    <w:rsid w:val="00D10511"/>
    <w:rsid w:val="00D211C8"/>
    <w:rsid w:val="00D31282"/>
    <w:rsid w:val="00D3205A"/>
    <w:rsid w:val="00D35165"/>
    <w:rsid w:val="00D35BFE"/>
    <w:rsid w:val="00D45A90"/>
    <w:rsid w:val="00D47E90"/>
    <w:rsid w:val="00D6116F"/>
    <w:rsid w:val="00D624DE"/>
    <w:rsid w:val="00D63B18"/>
    <w:rsid w:val="00D643B8"/>
    <w:rsid w:val="00D70D4D"/>
    <w:rsid w:val="00D836F3"/>
    <w:rsid w:val="00D9027A"/>
    <w:rsid w:val="00D91C0C"/>
    <w:rsid w:val="00D927DE"/>
    <w:rsid w:val="00DB11A3"/>
    <w:rsid w:val="00DB44DD"/>
    <w:rsid w:val="00DC65E6"/>
    <w:rsid w:val="00DD0C09"/>
    <w:rsid w:val="00DD1788"/>
    <w:rsid w:val="00DD521A"/>
    <w:rsid w:val="00DE0A3F"/>
    <w:rsid w:val="00DE1754"/>
    <w:rsid w:val="00DE499B"/>
    <w:rsid w:val="00DE662D"/>
    <w:rsid w:val="00E0121B"/>
    <w:rsid w:val="00E15A81"/>
    <w:rsid w:val="00E200FE"/>
    <w:rsid w:val="00E22BAC"/>
    <w:rsid w:val="00E371D2"/>
    <w:rsid w:val="00E62A3F"/>
    <w:rsid w:val="00E661DE"/>
    <w:rsid w:val="00E7100B"/>
    <w:rsid w:val="00E71143"/>
    <w:rsid w:val="00E77026"/>
    <w:rsid w:val="00E773E9"/>
    <w:rsid w:val="00E8079A"/>
    <w:rsid w:val="00EC4CCB"/>
    <w:rsid w:val="00ED7A04"/>
    <w:rsid w:val="00EE0B76"/>
    <w:rsid w:val="00EF1D62"/>
    <w:rsid w:val="00EF316F"/>
    <w:rsid w:val="00F17B0D"/>
    <w:rsid w:val="00F25979"/>
    <w:rsid w:val="00F3089D"/>
    <w:rsid w:val="00F32051"/>
    <w:rsid w:val="00F325A3"/>
    <w:rsid w:val="00F547F5"/>
    <w:rsid w:val="00F568B4"/>
    <w:rsid w:val="00F60BA8"/>
    <w:rsid w:val="00F711A6"/>
    <w:rsid w:val="00F87342"/>
    <w:rsid w:val="00F91A19"/>
    <w:rsid w:val="00F9413E"/>
    <w:rsid w:val="00FA2986"/>
    <w:rsid w:val="00FB1E13"/>
    <w:rsid w:val="00FB39A7"/>
    <w:rsid w:val="00FC4B74"/>
    <w:rsid w:val="00FD49BC"/>
    <w:rsid w:val="00FD537E"/>
    <w:rsid w:val="00FE4295"/>
    <w:rsid w:val="00FE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63CFA"/>
  <w15:chartTrackingRefBased/>
  <w15:docId w15:val="{48AA7527-BCD8-D145-BCF9-3B262523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EAF"/>
    <w:rPr>
      <w:rFonts w:ascii="Times New Roman" w:eastAsia="Times New Roman" w:hAnsi="Times New Roman" w:cs="Times New Roman"/>
    </w:rPr>
  </w:style>
  <w:style w:type="paragraph" w:styleId="Heading1">
    <w:name w:val="heading 1"/>
    <w:basedOn w:val="Normal"/>
    <w:next w:val="Normal"/>
    <w:link w:val="Heading1Char"/>
    <w:uiPriority w:val="9"/>
    <w:qFormat/>
    <w:rsid w:val="00E661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661D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1D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661DE"/>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E661DE"/>
    <w:rPr>
      <w:b/>
      <w:bCs/>
    </w:rPr>
  </w:style>
  <w:style w:type="paragraph" w:styleId="Bibliography">
    <w:name w:val="Bibliography"/>
    <w:basedOn w:val="Normal"/>
    <w:next w:val="Normal"/>
    <w:uiPriority w:val="37"/>
    <w:unhideWhenUsed/>
    <w:rsid w:val="00E661DE"/>
    <w:pPr>
      <w:spacing w:line="480" w:lineRule="auto"/>
      <w:ind w:left="720" w:hanging="720"/>
    </w:pPr>
    <w:rPr>
      <w:rFonts w:asciiTheme="minorHAnsi" w:eastAsiaTheme="minorHAnsi" w:hAnsiTheme="minorHAnsi" w:cstheme="minorBidi"/>
    </w:rPr>
  </w:style>
  <w:style w:type="paragraph" w:styleId="Title">
    <w:name w:val="Title"/>
    <w:basedOn w:val="Normal"/>
    <w:next w:val="Normal"/>
    <w:link w:val="TitleChar"/>
    <w:uiPriority w:val="10"/>
    <w:qFormat/>
    <w:rsid w:val="00E661D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1DE"/>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661DE"/>
    <w:pPr>
      <w:ind w:left="720"/>
      <w:contextualSpacing/>
    </w:pPr>
    <w:rPr>
      <w:rFonts w:asciiTheme="minorHAnsi" w:eastAsiaTheme="minorHAnsi" w:hAnsiTheme="minorHAnsi" w:cstheme="minorBidi"/>
    </w:rPr>
  </w:style>
  <w:style w:type="paragraph" w:styleId="Revision">
    <w:name w:val="Revision"/>
    <w:hidden/>
    <w:uiPriority w:val="99"/>
    <w:semiHidden/>
    <w:rsid w:val="00E661DE"/>
  </w:style>
  <w:style w:type="character" w:styleId="CommentReference">
    <w:name w:val="annotation reference"/>
    <w:basedOn w:val="DefaultParagraphFont"/>
    <w:uiPriority w:val="99"/>
    <w:semiHidden/>
    <w:unhideWhenUsed/>
    <w:rsid w:val="00E661DE"/>
    <w:rPr>
      <w:sz w:val="16"/>
      <w:szCs w:val="16"/>
    </w:rPr>
  </w:style>
  <w:style w:type="paragraph" w:styleId="CommentText">
    <w:name w:val="annotation text"/>
    <w:basedOn w:val="Normal"/>
    <w:link w:val="CommentTextChar"/>
    <w:uiPriority w:val="99"/>
    <w:unhideWhenUsed/>
    <w:rsid w:val="00E661D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661DE"/>
    <w:rPr>
      <w:sz w:val="20"/>
      <w:szCs w:val="20"/>
    </w:rPr>
  </w:style>
  <w:style w:type="paragraph" w:styleId="CommentSubject">
    <w:name w:val="annotation subject"/>
    <w:basedOn w:val="CommentText"/>
    <w:next w:val="CommentText"/>
    <w:link w:val="CommentSubjectChar"/>
    <w:uiPriority w:val="99"/>
    <w:semiHidden/>
    <w:unhideWhenUsed/>
    <w:rsid w:val="00E661DE"/>
    <w:rPr>
      <w:b/>
      <w:bCs/>
    </w:rPr>
  </w:style>
  <w:style w:type="character" w:customStyle="1" w:styleId="CommentSubjectChar">
    <w:name w:val="Comment Subject Char"/>
    <w:basedOn w:val="CommentTextChar"/>
    <w:link w:val="CommentSubject"/>
    <w:uiPriority w:val="99"/>
    <w:semiHidden/>
    <w:rsid w:val="00E661DE"/>
    <w:rPr>
      <w:b/>
      <w:bCs/>
      <w:sz w:val="20"/>
      <w:szCs w:val="20"/>
    </w:rPr>
  </w:style>
  <w:style w:type="paragraph" w:styleId="Footer">
    <w:name w:val="footer"/>
    <w:basedOn w:val="Normal"/>
    <w:link w:val="FooterChar"/>
    <w:uiPriority w:val="99"/>
    <w:unhideWhenUsed/>
    <w:rsid w:val="00E661DE"/>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661DE"/>
  </w:style>
  <w:style w:type="character" w:styleId="PageNumber">
    <w:name w:val="page number"/>
    <w:basedOn w:val="DefaultParagraphFont"/>
    <w:uiPriority w:val="99"/>
    <w:semiHidden/>
    <w:unhideWhenUsed/>
    <w:rsid w:val="00E661DE"/>
  </w:style>
  <w:style w:type="character" w:styleId="PlaceholderText">
    <w:name w:val="Placeholder Text"/>
    <w:basedOn w:val="DefaultParagraphFont"/>
    <w:uiPriority w:val="99"/>
    <w:semiHidden/>
    <w:rsid w:val="00163A8D"/>
    <w:rPr>
      <w:color w:val="808080"/>
    </w:rPr>
  </w:style>
  <w:style w:type="table" w:styleId="TableGrid">
    <w:name w:val="Table Grid"/>
    <w:basedOn w:val="TableNormal"/>
    <w:uiPriority w:val="59"/>
    <w:rsid w:val="00035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E59D2"/>
    <w:pPr>
      <w:spacing w:after="200"/>
    </w:pPr>
    <w:rPr>
      <w:rFonts w:asciiTheme="minorHAnsi" w:eastAsiaTheme="minorHAnsi" w:hAnsiTheme="minorHAnsi" w:cstheme="minorBidi"/>
      <w:i/>
      <w:iCs/>
      <w:color w:val="44546A" w:themeColor="text2"/>
      <w:sz w:val="18"/>
      <w:szCs w:val="18"/>
    </w:rPr>
  </w:style>
  <w:style w:type="paragraph" w:styleId="NormalWeb">
    <w:name w:val="Normal (Web)"/>
    <w:basedOn w:val="Normal"/>
    <w:uiPriority w:val="99"/>
    <w:semiHidden/>
    <w:unhideWhenUsed/>
    <w:rsid w:val="007912F9"/>
    <w:pPr>
      <w:spacing w:before="100" w:beforeAutospacing="1" w:after="100" w:afterAutospacing="1"/>
    </w:pPr>
  </w:style>
  <w:style w:type="character" w:styleId="LineNumber">
    <w:name w:val="line number"/>
    <w:basedOn w:val="DefaultParagraphFont"/>
    <w:uiPriority w:val="99"/>
    <w:semiHidden/>
    <w:unhideWhenUsed/>
    <w:rsid w:val="00CC5252"/>
  </w:style>
  <w:style w:type="paragraph" w:customStyle="1" w:styleId="paragraph">
    <w:name w:val="paragraph"/>
    <w:basedOn w:val="Normal"/>
    <w:rsid w:val="00CA56DF"/>
    <w:pPr>
      <w:spacing w:before="100" w:beforeAutospacing="1" w:after="100" w:afterAutospacing="1"/>
    </w:pPr>
  </w:style>
  <w:style w:type="character" w:customStyle="1" w:styleId="normaltextrun">
    <w:name w:val="normaltextrun"/>
    <w:basedOn w:val="DefaultParagraphFont"/>
    <w:rsid w:val="00CA56DF"/>
  </w:style>
  <w:style w:type="character" w:customStyle="1" w:styleId="eop">
    <w:name w:val="eop"/>
    <w:basedOn w:val="DefaultParagraphFont"/>
    <w:rsid w:val="00CA56DF"/>
  </w:style>
  <w:style w:type="character" w:customStyle="1" w:styleId="pagebreaktextspan">
    <w:name w:val="pagebreaktextspan"/>
    <w:basedOn w:val="DefaultParagraphFont"/>
    <w:rsid w:val="00CA56DF"/>
  </w:style>
  <w:style w:type="paragraph" w:styleId="TOCHeading">
    <w:name w:val="TOC Heading"/>
    <w:basedOn w:val="Heading1"/>
    <w:next w:val="Normal"/>
    <w:uiPriority w:val="39"/>
    <w:unhideWhenUsed/>
    <w:qFormat/>
    <w:rsid w:val="00E371D2"/>
    <w:pPr>
      <w:spacing w:before="480" w:line="276" w:lineRule="auto"/>
      <w:outlineLvl w:val="9"/>
    </w:pPr>
    <w:rPr>
      <w:b/>
      <w:bCs/>
      <w:sz w:val="28"/>
      <w:szCs w:val="28"/>
    </w:rPr>
  </w:style>
  <w:style w:type="paragraph" w:styleId="TOC1">
    <w:name w:val="toc 1"/>
    <w:basedOn w:val="Normal"/>
    <w:next w:val="Normal"/>
    <w:autoRedefine/>
    <w:uiPriority w:val="39"/>
    <w:unhideWhenUsed/>
    <w:rsid w:val="00E371D2"/>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E371D2"/>
    <w:pPr>
      <w:spacing w:before="120"/>
      <w:ind w:left="240"/>
    </w:pPr>
    <w:rPr>
      <w:rFonts w:asciiTheme="minorHAnsi" w:hAnsiTheme="minorHAnsi"/>
      <w:i/>
      <w:iCs/>
      <w:sz w:val="20"/>
      <w:szCs w:val="20"/>
    </w:rPr>
  </w:style>
  <w:style w:type="character" w:styleId="Hyperlink">
    <w:name w:val="Hyperlink"/>
    <w:basedOn w:val="DefaultParagraphFont"/>
    <w:uiPriority w:val="99"/>
    <w:unhideWhenUsed/>
    <w:rsid w:val="00E371D2"/>
    <w:rPr>
      <w:color w:val="0563C1" w:themeColor="hyperlink"/>
      <w:u w:val="single"/>
    </w:rPr>
  </w:style>
  <w:style w:type="paragraph" w:styleId="TOC3">
    <w:name w:val="toc 3"/>
    <w:basedOn w:val="Normal"/>
    <w:next w:val="Normal"/>
    <w:autoRedefine/>
    <w:uiPriority w:val="39"/>
    <w:unhideWhenUsed/>
    <w:rsid w:val="00E371D2"/>
    <w:pPr>
      <w:ind w:left="480"/>
    </w:pPr>
    <w:rPr>
      <w:rFonts w:asciiTheme="minorHAnsi" w:hAnsiTheme="minorHAnsi"/>
      <w:sz w:val="20"/>
      <w:szCs w:val="20"/>
    </w:rPr>
  </w:style>
  <w:style w:type="paragraph" w:styleId="TOC4">
    <w:name w:val="toc 4"/>
    <w:basedOn w:val="Normal"/>
    <w:next w:val="Normal"/>
    <w:autoRedefine/>
    <w:uiPriority w:val="39"/>
    <w:semiHidden/>
    <w:unhideWhenUsed/>
    <w:rsid w:val="00E371D2"/>
    <w:pPr>
      <w:ind w:left="720"/>
    </w:pPr>
    <w:rPr>
      <w:rFonts w:asciiTheme="minorHAnsi" w:hAnsiTheme="minorHAnsi"/>
      <w:sz w:val="20"/>
      <w:szCs w:val="20"/>
    </w:rPr>
  </w:style>
  <w:style w:type="paragraph" w:styleId="TOC5">
    <w:name w:val="toc 5"/>
    <w:basedOn w:val="Normal"/>
    <w:next w:val="Normal"/>
    <w:autoRedefine/>
    <w:uiPriority w:val="39"/>
    <w:semiHidden/>
    <w:unhideWhenUsed/>
    <w:rsid w:val="00E371D2"/>
    <w:pPr>
      <w:ind w:left="960"/>
    </w:pPr>
    <w:rPr>
      <w:rFonts w:asciiTheme="minorHAnsi" w:hAnsiTheme="minorHAnsi"/>
      <w:sz w:val="20"/>
      <w:szCs w:val="20"/>
    </w:rPr>
  </w:style>
  <w:style w:type="paragraph" w:styleId="TOC6">
    <w:name w:val="toc 6"/>
    <w:basedOn w:val="Normal"/>
    <w:next w:val="Normal"/>
    <w:autoRedefine/>
    <w:uiPriority w:val="39"/>
    <w:semiHidden/>
    <w:unhideWhenUsed/>
    <w:rsid w:val="00E371D2"/>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E371D2"/>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E371D2"/>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E371D2"/>
    <w:pPr>
      <w:ind w:left="1920"/>
    </w:pPr>
    <w:rPr>
      <w:rFonts w:asciiTheme="minorHAnsi" w:hAnsiTheme="minorHAnsi"/>
      <w:sz w:val="20"/>
      <w:szCs w:val="20"/>
    </w:rPr>
  </w:style>
  <w:style w:type="paragraph" w:styleId="Header">
    <w:name w:val="header"/>
    <w:basedOn w:val="Normal"/>
    <w:link w:val="HeaderChar"/>
    <w:uiPriority w:val="99"/>
    <w:unhideWhenUsed/>
    <w:rsid w:val="00E371D2"/>
    <w:pPr>
      <w:tabs>
        <w:tab w:val="center" w:pos="4680"/>
        <w:tab w:val="right" w:pos="9360"/>
      </w:tabs>
    </w:pPr>
  </w:style>
  <w:style w:type="character" w:customStyle="1" w:styleId="HeaderChar">
    <w:name w:val="Header Char"/>
    <w:basedOn w:val="DefaultParagraphFont"/>
    <w:link w:val="Header"/>
    <w:uiPriority w:val="99"/>
    <w:rsid w:val="00E371D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96773">
      <w:bodyDiv w:val="1"/>
      <w:marLeft w:val="0"/>
      <w:marRight w:val="0"/>
      <w:marTop w:val="0"/>
      <w:marBottom w:val="0"/>
      <w:divBdr>
        <w:top w:val="none" w:sz="0" w:space="0" w:color="auto"/>
        <w:left w:val="none" w:sz="0" w:space="0" w:color="auto"/>
        <w:bottom w:val="none" w:sz="0" w:space="0" w:color="auto"/>
        <w:right w:val="none" w:sz="0" w:space="0" w:color="auto"/>
      </w:divBdr>
    </w:div>
    <w:div w:id="52240989">
      <w:bodyDiv w:val="1"/>
      <w:marLeft w:val="0"/>
      <w:marRight w:val="0"/>
      <w:marTop w:val="0"/>
      <w:marBottom w:val="0"/>
      <w:divBdr>
        <w:top w:val="none" w:sz="0" w:space="0" w:color="auto"/>
        <w:left w:val="none" w:sz="0" w:space="0" w:color="auto"/>
        <w:bottom w:val="none" w:sz="0" w:space="0" w:color="auto"/>
        <w:right w:val="none" w:sz="0" w:space="0" w:color="auto"/>
      </w:divBdr>
    </w:div>
    <w:div w:id="173813594">
      <w:bodyDiv w:val="1"/>
      <w:marLeft w:val="0"/>
      <w:marRight w:val="0"/>
      <w:marTop w:val="0"/>
      <w:marBottom w:val="0"/>
      <w:divBdr>
        <w:top w:val="none" w:sz="0" w:space="0" w:color="auto"/>
        <w:left w:val="none" w:sz="0" w:space="0" w:color="auto"/>
        <w:bottom w:val="none" w:sz="0" w:space="0" w:color="auto"/>
        <w:right w:val="none" w:sz="0" w:space="0" w:color="auto"/>
      </w:divBdr>
      <w:divsChild>
        <w:div w:id="456949606">
          <w:marLeft w:val="0"/>
          <w:marRight w:val="0"/>
          <w:marTop w:val="0"/>
          <w:marBottom w:val="0"/>
          <w:divBdr>
            <w:top w:val="none" w:sz="0" w:space="0" w:color="auto"/>
            <w:left w:val="none" w:sz="0" w:space="0" w:color="auto"/>
            <w:bottom w:val="none" w:sz="0" w:space="0" w:color="auto"/>
            <w:right w:val="none" w:sz="0" w:space="0" w:color="auto"/>
          </w:divBdr>
          <w:divsChild>
            <w:div w:id="949703396">
              <w:marLeft w:val="0"/>
              <w:marRight w:val="0"/>
              <w:marTop w:val="0"/>
              <w:marBottom w:val="0"/>
              <w:divBdr>
                <w:top w:val="none" w:sz="0" w:space="0" w:color="auto"/>
                <w:left w:val="none" w:sz="0" w:space="0" w:color="auto"/>
                <w:bottom w:val="none" w:sz="0" w:space="0" w:color="auto"/>
                <w:right w:val="none" w:sz="0" w:space="0" w:color="auto"/>
              </w:divBdr>
              <w:divsChild>
                <w:div w:id="188305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55916">
      <w:bodyDiv w:val="1"/>
      <w:marLeft w:val="0"/>
      <w:marRight w:val="0"/>
      <w:marTop w:val="0"/>
      <w:marBottom w:val="0"/>
      <w:divBdr>
        <w:top w:val="none" w:sz="0" w:space="0" w:color="auto"/>
        <w:left w:val="none" w:sz="0" w:space="0" w:color="auto"/>
        <w:bottom w:val="none" w:sz="0" w:space="0" w:color="auto"/>
        <w:right w:val="none" w:sz="0" w:space="0" w:color="auto"/>
      </w:divBdr>
    </w:div>
    <w:div w:id="622662212">
      <w:bodyDiv w:val="1"/>
      <w:marLeft w:val="0"/>
      <w:marRight w:val="0"/>
      <w:marTop w:val="0"/>
      <w:marBottom w:val="0"/>
      <w:divBdr>
        <w:top w:val="none" w:sz="0" w:space="0" w:color="auto"/>
        <w:left w:val="none" w:sz="0" w:space="0" w:color="auto"/>
        <w:bottom w:val="none" w:sz="0" w:space="0" w:color="auto"/>
        <w:right w:val="none" w:sz="0" w:space="0" w:color="auto"/>
      </w:divBdr>
    </w:div>
    <w:div w:id="916285713">
      <w:bodyDiv w:val="1"/>
      <w:marLeft w:val="0"/>
      <w:marRight w:val="0"/>
      <w:marTop w:val="0"/>
      <w:marBottom w:val="0"/>
      <w:divBdr>
        <w:top w:val="none" w:sz="0" w:space="0" w:color="auto"/>
        <w:left w:val="none" w:sz="0" w:space="0" w:color="auto"/>
        <w:bottom w:val="none" w:sz="0" w:space="0" w:color="auto"/>
        <w:right w:val="none" w:sz="0" w:space="0" w:color="auto"/>
      </w:divBdr>
    </w:div>
    <w:div w:id="1056851183">
      <w:bodyDiv w:val="1"/>
      <w:marLeft w:val="0"/>
      <w:marRight w:val="0"/>
      <w:marTop w:val="0"/>
      <w:marBottom w:val="0"/>
      <w:divBdr>
        <w:top w:val="none" w:sz="0" w:space="0" w:color="auto"/>
        <w:left w:val="none" w:sz="0" w:space="0" w:color="auto"/>
        <w:bottom w:val="none" w:sz="0" w:space="0" w:color="auto"/>
        <w:right w:val="none" w:sz="0" w:space="0" w:color="auto"/>
      </w:divBdr>
    </w:div>
    <w:div w:id="1224101937">
      <w:bodyDiv w:val="1"/>
      <w:marLeft w:val="0"/>
      <w:marRight w:val="0"/>
      <w:marTop w:val="0"/>
      <w:marBottom w:val="0"/>
      <w:divBdr>
        <w:top w:val="none" w:sz="0" w:space="0" w:color="auto"/>
        <w:left w:val="none" w:sz="0" w:space="0" w:color="auto"/>
        <w:bottom w:val="none" w:sz="0" w:space="0" w:color="auto"/>
        <w:right w:val="none" w:sz="0" w:space="0" w:color="auto"/>
      </w:divBdr>
    </w:div>
    <w:div w:id="1275986708">
      <w:bodyDiv w:val="1"/>
      <w:marLeft w:val="0"/>
      <w:marRight w:val="0"/>
      <w:marTop w:val="0"/>
      <w:marBottom w:val="0"/>
      <w:divBdr>
        <w:top w:val="none" w:sz="0" w:space="0" w:color="auto"/>
        <w:left w:val="none" w:sz="0" w:space="0" w:color="auto"/>
        <w:bottom w:val="none" w:sz="0" w:space="0" w:color="auto"/>
        <w:right w:val="none" w:sz="0" w:space="0" w:color="auto"/>
      </w:divBdr>
      <w:divsChild>
        <w:div w:id="918565372">
          <w:marLeft w:val="0"/>
          <w:marRight w:val="0"/>
          <w:marTop w:val="0"/>
          <w:marBottom w:val="0"/>
          <w:divBdr>
            <w:top w:val="none" w:sz="0" w:space="0" w:color="auto"/>
            <w:left w:val="none" w:sz="0" w:space="0" w:color="auto"/>
            <w:bottom w:val="none" w:sz="0" w:space="0" w:color="auto"/>
            <w:right w:val="none" w:sz="0" w:space="0" w:color="auto"/>
          </w:divBdr>
        </w:div>
        <w:div w:id="510877164">
          <w:marLeft w:val="0"/>
          <w:marRight w:val="0"/>
          <w:marTop w:val="0"/>
          <w:marBottom w:val="0"/>
          <w:divBdr>
            <w:top w:val="none" w:sz="0" w:space="0" w:color="auto"/>
            <w:left w:val="none" w:sz="0" w:space="0" w:color="auto"/>
            <w:bottom w:val="none" w:sz="0" w:space="0" w:color="auto"/>
            <w:right w:val="none" w:sz="0" w:space="0" w:color="auto"/>
          </w:divBdr>
        </w:div>
        <w:div w:id="1312254552">
          <w:marLeft w:val="0"/>
          <w:marRight w:val="0"/>
          <w:marTop w:val="0"/>
          <w:marBottom w:val="0"/>
          <w:divBdr>
            <w:top w:val="none" w:sz="0" w:space="0" w:color="auto"/>
            <w:left w:val="none" w:sz="0" w:space="0" w:color="auto"/>
            <w:bottom w:val="none" w:sz="0" w:space="0" w:color="auto"/>
            <w:right w:val="none" w:sz="0" w:space="0" w:color="auto"/>
          </w:divBdr>
        </w:div>
        <w:div w:id="1341852550">
          <w:marLeft w:val="0"/>
          <w:marRight w:val="0"/>
          <w:marTop w:val="0"/>
          <w:marBottom w:val="0"/>
          <w:divBdr>
            <w:top w:val="none" w:sz="0" w:space="0" w:color="auto"/>
            <w:left w:val="none" w:sz="0" w:space="0" w:color="auto"/>
            <w:bottom w:val="none" w:sz="0" w:space="0" w:color="auto"/>
            <w:right w:val="none" w:sz="0" w:space="0" w:color="auto"/>
          </w:divBdr>
        </w:div>
        <w:div w:id="691146222">
          <w:marLeft w:val="0"/>
          <w:marRight w:val="0"/>
          <w:marTop w:val="0"/>
          <w:marBottom w:val="0"/>
          <w:divBdr>
            <w:top w:val="none" w:sz="0" w:space="0" w:color="auto"/>
            <w:left w:val="none" w:sz="0" w:space="0" w:color="auto"/>
            <w:bottom w:val="none" w:sz="0" w:space="0" w:color="auto"/>
            <w:right w:val="none" w:sz="0" w:space="0" w:color="auto"/>
          </w:divBdr>
        </w:div>
        <w:div w:id="1730689211">
          <w:marLeft w:val="0"/>
          <w:marRight w:val="0"/>
          <w:marTop w:val="0"/>
          <w:marBottom w:val="0"/>
          <w:divBdr>
            <w:top w:val="none" w:sz="0" w:space="0" w:color="auto"/>
            <w:left w:val="none" w:sz="0" w:space="0" w:color="auto"/>
            <w:bottom w:val="none" w:sz="0" w:space="0" w:color="auto"/>
            <w:right w:val="none" w:sz="0" w:space="0" w:color="auto"/>
          </w:divBdr>
        </w:div>
        <w:div w:id="1703245522">
          <w:marLeft w:val="0"/>
          <w:marRight w:val="0"/>
          <w:marTop w:val="0"/>
          <w:marBottom w:val="0"/>
          <w:divBdr>
            <w:top w:val="none" w:sz="0" w:space="0" w:color="auto"/>
            <w:left w:val="none" w:sz="0" w:space="0" w:color="auto"/>
            <w:bottom w:val="none" w:sz="0" w:space="0" w:color="auto"/>
            <w:right w:val="none" w:sz="0" w:space="0" w:color="auto"/>
          </w:divBdr>
        </w:div>
        <w:div w:id="254482512">
          <w:marLeft w:val="0"/>
          <w:marRight w:val="0"/>
          <w:marTop w:val="0"/>
          <w:marBottom w:val="0"/>
          <w:divBdr>
            <w:top w:val="none" w:sz="0" w:space="0" w:color="auto"/>
            <w:left w:val="none" w:sz="0" w:space="0" w:color="auto"/>
            <w:bottom w:val="none" w:sz="0" w:space="0" w:color="auto"/>
            <w:right w:val="none" w:sz="0" w:space="0" w:color="auto"/>
          </w:divBdr>
        </w:div>
        <w:div w:id="1218125521">
          <w:marLeft w:val="0"/>
          <w:marRight w:val="0"/>
          <w:marTop w:val="0"/>
          <w:marBottom w:val="0"/>
          <w:divBdr>
            <w:top w:val="none" w:sz="0" w:space="0" w:color="auto"/>
            <w:left w:val="none" w:sz="0" w:space="0" w:color="auto"/>
            <w:bottom w:val="none" w:sz="0" w:space="0" w:color="auto"/>
            <w:right w:val="none" w:sz="0" w:space="0" w:color="auto"/>
          </w:divBdr>
        </w:div>
        <w:div w:id="1131829003">
          <w:marLeft w:val="0"/>
          <w:marRight w:val="0"/>
          <w:marTop w:val="0"/>
          <w:marBottom w:val="0"/>
          <w:divBdr>
            <w:top w:val="none" w:sz="0" w:space="0" w:color="auto"/>
            <w:left w:val="none" w:sz="0" w:space="0" w:color="auto"/>
            <w:bottom w:val="none" w:sz="0" w:space="0" w:color="auto"/>
            <w:right w:val="none" w:sz="0" w:space="0" w:color="auto"/>
          </w:divBdr>
        </w:div>
        <w:div w:id="1355182833">
          <w:marLeft w:val="0"/>
          <w:marRight w:val="0"/>
          <w:marTop w:val="0"/>
          <w:marBottom w:val="0"/>
          <w:divBdr>
            <w:top w:val="none" w:sz="0" w:space="0" w:color="auto"/>
            <w:left w:val="none" w:sz="0" w:space="0" w:color="auto"/>
            <w:bottom w:val="none" w:sz="0" w:space="0" w:color="auto"/>
            <w:right w:val="none" w:sz="0" w:space="0" w:color="auto"/>
          </w:divBdr>
        </w:div>
        <w:div w:id="710760921">
          <w:marLeft w:val="0"/>
          <w:marRight w:val="0"/>
          <w:marTop w:val="0"/>
          <w:marBottom w:val="0"/>
          <w:divBdr>
            <w:top w:val="none" w:sz="0" w:space="0" w:color="auto"/>
            <w:left w:val="none" w:sz="0" w:space="0" w:color="auto"/>
            <w:bottom w:val="none" w:sz="0" w:space="0" w:color="auto"/>
            <w:right w:val="none" w:sz="0" w:space="0" w:color="auto"/>
          </w:divBdr>
        </w:div>
        <w:div w:id="1864242803">
          <w:marLeft w:val="0"/>
          <w:marRight w:val="0"/>
          <w:marTop w:val="0"/>
          <w:marBottom w:val="0"/>
          <w:divBdr>
            <w:top w:val="none" w:sz="0" w:space="0" w:color="auto"/>
            <w:left w:val="none" w:sz="0" w:space="0" w:color="auto"/>
            <w:bottom w:val="none" w:sz="0" w:space="0" w:color="auto"/>
            <w:right w:val="none" w:sz="0" w:space="0" w:color="auto"/>
          </w:divBdr>
        </w:div>
        <w:div w:id="1062676603">
          <w:marLeft w:val="0"/>
          <w:marRight w:val="0"/>
          <w:marTop w:val="0"/>
          <w:marBottom w:val="0"/>
          <w:divBdr>
            <w:top w:val="none" w:sz="0" w:space="0" w:color="auto"/>
            <w:left w:val="none" w:sz="0" w:space="0" w:color="auto"/>
            <w:bottom w:val="none" w:sz="0" w:space="0" w:color="auto"/>
            <w:right w:val="none" w:sz="0" w:space="0" w:color="auto"/>
          </w:divBdr>
        </w:div>
        <w:div w:id="31343349">
          <w:marLeft w:val="0"/>
          <w:marRight w:val="0"/>
          <w:marTop w:val="0"/>
          <w:marBottom w:val="0"/>
          <w:divBdr>
            <w:top w:val="none" w:sz="0" w:space="0" w:color="auto"/>
            <w:left w:val="none" w:sz="0" w:space="0" w:color="auto"/>
            <w:bottom w:val="none" w:sz="0" w:space="0" w:color="auto"/>
            <w:right w:val="none" w:sz="0" w:space="0" w:color="auto"/>
          </w:divBdr>
        </w:div>
        <w:div w:id="1162891096">
          <w:marLeft w:val="0"/>
          <w:marRight w:val="0"/>
          <w:marTop w:val="0"/>
          <w:marBottom w:val="0"/>
          <w:divBdr>
            <w:top w:val="none" w:sz="0" w:space="0" w:color="auto"/>
            <w:left w:val="none" w:sz="0" w:space="0" w:color="auto"/>
            <w:bottom w:val="none" w:sz="0" w:space="0" w:color="auto"/>
            <w:right w:val="none" w:sz="0" w:space="0" w:color="auto"/>
          </w:divBdr>
        </w:div>
        <w:div w:id="160238576">
          <w:marLeft w:val="0"/>
          <w:marRight w:val="0"/>
          <w:marTop w:val="0"/>
          <w:marBottom w:val="0"/>
          <w:divBdr>
            <w:top w:val="none" w:sz="0" w:space="0" w:color="auto"/>
            <w:left w:val="none" w:sz="0" w:space="0" w:color="auto"/>
            <w:bottom w:val="none" w:sz="0" w:space="0" w:color="auto"/>
            <w:right w:val="none" w:sz="0" w:space="0" w:color="auto"/>
          </w:divBdr>
        </w:div>
        <w:div w:id="1870294177">
          <w:marLeft w:val="0"/>
          <w:marRight w:val="0"/>
          <w:marTop w:val="0"/>
          <w:marBottom w:val="0"/>
          <w:divBdr>
            <w:top w:val="none" w:sz="0" w:space="0" w:color="auto"/>
            <w:left w:val="none" w:sz="0" w:space="0" w:color="auto"/>
            <w:bottom w:val="none" w:sz="0" w:space="0" w:color="auto"/>
            <w:right w:val="none" w:sz="0" w:space="0" w:color="auto"/>
          </w:divBdr>
        </w:div>
        <w:div w:id="388462853">
          <w:marLeft w:val="0"/>
          <w:marRight w:val="0"/>
          <w:marTop w:val="0"/>
          <w:marBottom w:val="0"/>
          <w:divBdr>
            <w:top w:val="none" w:sz="0" w:space="0" w:color="auto"/>
            <w:left w:val="none" w:sz="0" w:space="0" w:color="auto"/>
            <w:bottom w:val="none" w:sz="0" w:space="0" w:color="auto"/>
            <w:right w:val="none" w:sz="0" w:space="0" w:color="auto"/>
          </w:divBdr>
        </w:div>
        <w:div w:id="1795101549">
          <w:marLeft w:val="0"/>
          <w:marRight w:val="0"/>
          <w:marTop w:val="0"/>
          <w:marBottom w:val="0"/>
          <w:divBdr>
            <w:top w:val="none" w:sz="0" w:space="0" w:color="auto"/>
            <w:left w:val="none" w:sz="0" w:space="0" w:color="auto"/>
            <w:bottom w:val="none" w:sz="0" w:space="0" w:color="auto"/>
            <w:right w:val="none" w:sz="0" w:space="0" w:color="auto"/>
          </w:divBdr>
        </w:div>
        <w:div w:id="1041442794">
          <w:marLeft w:val="0"/>
          <w:marRight w:val="0"/>
          <w:marTop w:val="0"/>
          <w:marBottom w:val="0"/>
          <w:divBdr>
            <w:top w:val="none" w:sz="0" w:space="0" w:color="auto"/>
            <w:left w:val="none" w:sz="0" w:space="0" w:color="auto"/>
            <w:bottom w:val="none" w:sz="0" w:space="0" w:color="auto"/>
            <w:right w:val="none" w:sz="0" w:space="0" w:color="auto"/>
          </w:divBdr>
        </w:div>
        <w:div w:id="1226600725">
          <w:marLeft w:val="0"/>
          <w:marRight w:val="0"/>
          <w:marTop w:val="0"/>
          <w:marBottom w:val="0"/>
          <w:divBdr>
            <w:top w:val="none" w:sz="0" w:space="0" w:color="auto"/>
            <w:left w:val="none" w:sz="0" w:space="0" w:color="auto"/>
            <w:bottom w:val="none" w:sz="0" w:space="0" w:color="auto"/>
            <w:right w:val="none" w:sz="0" w:space="0" w:color="auto"/>
          </w:divBdr>
        </w:div>
        <w:div w:id="1627354377">
          <w:marLeft w:val="0"/>
          <w:marRight w:val="0"/>
          <w:marTop w:val="0"/>
          <w:marBottom w:val="0"/>
          <w:divBdr>
            <w:top w:val="none" w:sz="0" w:space="0" w:color="auto"/>
            <w:left w:val="none" w:sz="0" w:space="0" w:color="auto"/>
            <w:bottom w:val="none" w:sz="0" w:space="0" w:color="auto"/>
            <w:right w:val="none" w:sz="0" w:space="0" w:color="auto"/>
          </w:divBdr>
        </w:div>
        <w:div w:id="1991596205">
          <w:marLeft w:val="0"/>
          <w:marRight w:val="0"/>
          <w:marTop w:val="0"/>
          <w:marBottom w:val="0"/>
          <w:divBdr>
            <w:top w:val="none" w:sz="0" w:space="0" w:color="auto"/>
            <w:left w:val="none" w:sz="0" w:space="0" w:color="auto"/>
            <w:bottom w:val="none" w:sz="0" w:space="0" w:color="auto"/>
            <w:right w:val="none" w:sz="0" w:space="0" w:color="auto"/>
          </w:divBdr>
        </w:div>
        <w:div w:id="407919178">
          <w:marLeft w:val="0"/>
          <w:marRight w:val="0"/>
          <w:marTop w:val="0"/>
          <w:marBottom w:val="0"/>
          <w:divBdr>
            <w:top w:val="none" w:sz="0" w:space="0" w:color="auto"/>
            <w:left w:val="none" w:sz="0" w:space="0" w:color="auto"/>
            <w:bottom w:val="none" w:sz="0" w:space="0" w:color="auto"/>
            <w:right w:val="none" w:sz="0" w:space="0" w:color="auto"/>
          </w:divBdr>
        </w:div>
        <w:div w:id="2116904436">
          <w:marLeft w:val="0"/>
          <w:marRight w:val="0"/>
          <w:marTop w:val="0"/>
          <w:marBottom w:val="0"/>
          <w:divBdr>
            <w:top w:val="none" w:sz="0" w:space="0" w:color="auto"/>
            <w:left w:val="none" w:sz="0" w:space="0" w:color="auto"/>
            <w:bottom w:val="none" w:sz="0" w:space="0" w:color="auto"/>
            <w:right w:val="none" w:sz="0" w:space="0" w:color="auto"/>
          </w:divBdr>
        </w:div>
        <w:div w:id="1524202941">
          <w:marLeft w:val="0"/>
          <w:marRight w:val="0"/>
          <w:marTop w:val="0"/>
          <w:marBottom w:val="0"/>
          <w:divBdr>
            <w:top w:val="none" w:sz="0" w:space="0" w:color="auto"/>
            <w:left w:val="none" w:sz="0" w:space="0" w:color="auto"/>
            <w:bottom w:val="none" w:sz="0" w:space="0" w:color="auto"/>
            <w:right w:val="none" w:sz="0" w:space="0" w:color="auto"/>
          </w:divBdr>
        </w:div>
        <w:div w:id="1975675796">
          <w:marLeft w:val="0"/>
          <w:marRight w:val="0"/>
          <w:marTop w:val="0"/>
          <w:marBottom w:val="0"/>
          <w:divBdr>
            <w:top w:val="none" w:sz="0" w:space="0" w:color="auto"/>
            <w:left w:val="none" w:sz="0" w:space="0" w:color="auto"/>
            <w:bottom w:val="none" w:sz="0" w:space="0" w:color="auto"/>
            <w:right w:val="none" w:sz="0" w:space="0" w:color="auto"/>
          </w:divBdr>
        </w:div>
        <w:div w:id="607277433">
          <w:marLeft w:val="0"/>
          <w:marRight w:val="0"/>
          <w:marTop w:val="0"/>
          <w:marBottom w:val="0"/>
          <w:divBdr>
            <w:top w:val="none" w:sz="0" w:space="0" w:color="auto"/>
            <w:left w:val="none" w:sz="0" w:space="0" w:color="auto"/>
            <w:bottom w:val="none" w:sz="0" w:space="0" w:color="auto"/>
            <w:right w:val="none" w:sz="0" w:space="0" w:color="auto"/>
          </w:divBdr>
        </w:div>
        <w:div w:id="852458313">
          <w:marLeft w:val="0"/>
          <w:marRight w:val="0"/>
          <w:marTop w:val="0"/>
          <w:marBottom w:val="0"/>
          <w:divBdr>
            <w:top w:val="none" w:sz="0" w:space="0" w:color="auto"/>
            <w:left w:val="none" w:sz="0" w:space="0" w:color="auto"/>
            <w:bottom w:val="none" w:sz="0" w:space="0" w:color="auto"/>
            <w:right w:val="none" w:sz="0" w:space="0" w:color="auto"/>
          </w:divBdr>
        </w:div>
        <w:div w:id="1056195772">
          <w:marLeft w:val="0"/>
          <w:marRight w:val="0"/>
          <w:marTop w:val="0"/>
          <w:marBottom w:val="0"/>
          <w:divBdr>
            <w:top w:val="none" w:sz="0" w:space="0" w:color="auto"/>
            <w:left w:val="none" w:sz="0" w:space="0" w:color="auto"/>
            <w:bottom w:val="none" w:sz="0" w:space="0" w:color="auto"/>
            <w:right w:val="none" w:sz="0" w:space="0" w:color="auto"/>
          </w:divBdr>
        </w:div>
        <w:div w:id="124591093">
          <w:marLeft w:val="0"/>
          <w:marRight w:val="0"/>
          <w:marTop w:val="0"/>
          <w:marBottom w:val="0"/>
          <w:divBdr>
            <w:top w:val="none" w:sz="0" w:space="0" w:color="auto"/>
            <w:left w:val="none" w:sz="0" w:space="0" w:color="auto"/>
            <w:bottom w:val="none" w:sz="0" w:space="0" w:color="auto"/>
            <w:right w:val="none" w:sz="0" w:space="0" w:color="auto"/>
          </w:divBdr>
        </w:div>
        <w:div w:id="558902737">
          <w:marLeft w:val="0"/>
          <w:marRight w:val="0"/>
          <w:marTop w:val="0"/>
          <w:marBottom w:val="0"/>
          <w:divBdr>
            <w:top w:val="none" w:sz="0" w:space="0" w:color="auto"/>
            <w:left w:val="none" w:sz="0" w:space="0" w:color="auto"/>
            <w:bottom w:val="none" w:sz="0" w:space="0" w:color="auto"/>
            <w:right w:val="none" w:sz="0" w:space="0" w:color="auto"/>
          </w:divBdr>
        </w:div>
        <w:div w:id="1148743802">
          <w:marLeft w:val="0"/>
          <w:marRight w:val="0"/>
          <w:marTop w:val="0"/>
          <w:marBottom w:val="0"/>
          <w:divBdr>
            <w:top w:val="none" w:sz="0" w:space="0" w:color="auto"/>
            <w:left w:val="none" w:sz="0" w:space="0" w:color="auto"/>
            <w:bottom w:val="none" w:sz="0" w:space="0" w:color="auto"/>
            <w:right w:val="none" w:sz="0" w:space="0" w:color="auto"/>
          </w:divBdr>
        </w:div>
        <w:div w:id="498665651">
          <w:marLeft w:val="0"/>
          <w:marRight w:val="0"/>
          <w:marTop w:val="0"/>
          <w:marBottom w:val="0"/>
          <w:divBdr>
            <w:top w:val="none" w:sz="0" w:space="0" w:color="auto"/>
            <w:left w:val="none" w:sz="0" w:space="0" w:color="auto"/>
            <w:bottom w:val="none" w:sz="0" w:space="0" w:color="auto"/>
            <w:right w:val="none" w:sz="0" w:space="0" w:color="auto"/>
          </w:divBdr>
        </w:div>
        <w:div w:id="1216165204">
          <w:marLeft w:val="0"/>
          <w:marRight w:val="0"/>
          <w:marTop w:val="0"/>
          <w:marBottom w:val="0"/>
          <w:divBdr>
            <w:top w:val="none" w:sz="0" w:space="0" w:color="auto"/>
            <w:left w:val="none" w:sz="0" w:space="0" w:color="auto"/>
            <w:bottom w:val="none" w:sz="0" w:space="0" w:color="auto"/>
            <w:right w:val="none" w:sz="0" w:space="0" w:color="auto"/>
          </w:divBdr>
        </w:div>
        <w:div w:id="1604873464">
          <w:marLeft w:val="0"/>
          <w:marRight w:val="0"/>
          <w:marTop w:val="0"/>
          <w:marBottom w:val="0"/>
          <w:divBdr>
            <w:top w:val="none" w:sz="0" w:space="0" w:color="auto"/>
            <w:left w:val="none" w:sz="0" w:space="0" w:color="auto"/>
            <w:bottom w:val="none" w:sz="0" w:space="0" w:color="auto"/>
            <w:right w:val="none" w:sz="0" w:space="0" w:color="auto"/>
          </w:divBdr>
        </w:div>
        <w:div w:id="23479459">
          <w:marLeft w:val="0"/>
          <w:marRight w:val="0"/>
          <w:marTop w:val="0"/>
          <w:marBottom w:val="0"/>
          <w:divBdr>
            <w:top w:val="none" w:sz="0" w:space="0" w:color="auto"/>
            <w:left w:val="none" w:sz="0" w:space="0" w:color="auto"/>
            <w:bottom w:val="none" w:sz="0" w:space="0" w:color="auto"/>
            <w:right w:val="none" w:sz="0" w:space="0" w:color="auto"/>
          </w:divBdr>
        </w:div>
        <w:div w:id="1261983477">
          <w:marLeft w:val="0"/>
          <w:marRight w:val="0"/>
          <w:marTop w:val="0"/>
          <w:marBottom w:val="0"/>
          <w:divBdr>
            <w:top w:val="none" w:sz="0" w:space="0" w:color="auto"/>
            <w:left w:val="none" w:sz="0" w:space="0" w:color="auto"/>
            <w:bottom w:val="none" w:sz="0" w:space="0" w:color="auto"/>
            <w:right w:val="none" w:sz="0" w:space="0" w:color="auto"/>
          </w:divBdr>
        </w:div>
        <w:div w:id="312762727">
          <w:marLeft w:val="0"/>
          <w:marRight w:val="0"/>
          <w:marTop w:val="0"/>
          <w:marBottom w:val="0"/>
          <w:divBdr>
            <w:top w:val="none" w:sz="0" w:space="0" w:color="auto"/>
            <w:left w:val="none" w:sz="0" w:space="0" w:color="auto"/>
            <w:bottom w:val="none" w:sz="0" w:space="0" w:color="auto"/>
            <w:right w:val="none" w:sz="0" w:space="0" w:color="auto"/>
          </w:divBdr>
        </w:div>
        <w:div w:id="1147209178">
          <w:marLeft w:val="0"/>
          <w:marRight w:val="0"/>
          <w:marTop w:val="0"/>
          <w:marBottom w:val="0"/>
          <w:divBdr>
            <w:top w:val="none" w:sz="0" w:space="0" w:color="auto"/>
            <w:left w:val="none" w:sz="0" w:space="0" w:color="auto"/>
            <w:bottom w:val="none" w:sz="0" w:space="0" w:color="auto"/>
            <w:right w:val="none" w:sz="0" w:space="0" w:color="auto"/>
          </w:divBdr>
        </w:div>
        <w:div w:id="2103186967">
          <w:marLeft w:val="0"/>
          <w:marRight w:val="0"/>
          <w:marTop w:val="0"/>
          <w:marBottom w:val="0"/>
          <w:divBdr>
            <w:top w:val="none" w:sz="0" w:space="0" w:color="auto"/>
            <w:left w:val="none" w:sz="0" w:space="0" w:color="auto"/>
            <w:bottom w:val="none" w:sz="0" w:space="0" w:color="auto"/>
            <w:right w:val="none" w:sz="0" w:space="0" w:color="auto"/>
          </w:divBdr>
        </w:div>
        <w:div w:id="41252354">
          <w:marLeft w:val="0"/>
          <w:marRight w:val="0"/>
          <w:marTop w:val="0"/>
          <w:marBottom w:val="0"/>
          <w:divBdr>
            <w:top w:val="none" w:sz="0" w:space="0" w:color="auto"/>
            <w:left w:val="none" w:sz="0" w:space="0" w:color="auto"/>
            <w:bottom w:val="none" w:sz="0" w:space="0" w:color="auto"/>
            <w:right w:val="none" w:sz="0" w:space="0" w:color="auto"/>
          </w:divBdr>
        </w:div>
        <w:div w:id="1664816852">
          <w:marLeft w:val="0"/>
          <w:marRight w:val="0"/>
          <w:marTop w:val="0"/>
          <w:marBottom w:val="0"/>
          <w:divBdr>
            <w:top w:val="none" w:sz="0" w:space="0" w:color="auto"/>
            <w:left w:val="none" w:sz="0" w:space="0" w:color="auto"/>
            <w:bottom w:val="none" w:sz="0" w:space="0" w:color="auto"/>
            <w:right w:val="none" w:sz="0" w:space="0" w:color="auto"/>
          </w:divBdr>
        </w:div>
        <w:div w:id="1197161023">
          <w:marLeft w:val="0"/>
          <w:marRight w:val="0"/>
          <w:marTop w:val="0"/>
          <w:marBottom w:val="0"/>
          <w:divBdr>
            <w:top w:val="none" w:sz="0" w:space="0" w:color="auto"/>
            <w:left w:val="none" w:sz="0" w:space="0" w:color="auto"/>
            <w:bottom w:val="none" w:sz="0" w:space="0" w:color="auto"/>
            <w:right w:val="none" w:sz="0" w:space="0" w:color="auto"/>
          </w:divBdr>
        </w:div>
      </w:divsChild>
    </w:div>
    <w:div w:id="1776704872">
      <w:bodyDiv w:val="1"/>
      <w:marLeft w:val="0"/>
      <w:marRight w:val="0"/>
      <w:marTop w:val="0"/>
      <w:marBottom w:val="0"/>
      <w:divBdr>
        <w:top w:val="none" w:sz="0" w:space="0" w:color="auto"/>
        <w:left w:val="none" w:sz="0" w:space="0" w:color="auto"/>
        <w:bottom w:val="none" w:sz="0" w:space="0" w:color="auto"/>
        <w:right w:val="none" w:sz="0" w:space="0" w:color="auto"/>
      </w:divBdr>
    </w:div>
    <w:div w:id="1906793207">
      <w:bodyDiv w:val="1"/>
      <w:marLeft w:val="0"/>
      <w:marRight w:val="0"/>
      <w:marTop w:val="0"/>
      <w:marBottom w:val="0"/>
      <w:divBdr>
        <w:top w:val="none" w:sz="0" w:space="0" w:color="auto"/>
        <w:left w:val="none" w:sz="0" w:space="0" w:color="auto"/>
        <w:bottom w:val="none" w:sz="0" w:space="0" w:color="auto"/>
        <w:right w:val="none" w:sz="0" w:space="0" w:color="auto"/>
      </w:divBdr>
      <w:divsChild>
        <w:div w:id="1188639388">
          <w:marLeft w:val="0"/>
          <w:marRight w:val="0"/>
          <w:marTop w:val="0"/>
          <w:marBottom w:val="0"/>
          <w:divBdr>
            <w:top w:val="none" w:sz="0" w:space="0" w:color="auto"/>
            <w:left w:val="none" w:sz="0" w:space="0" w:color="auto"/>
            <w:bottom w:val="none" w:sz="0" w:space="0" w:color="auto"/>
            <w:right w:val="none" w:sz="0" w:space="0" w:color="auto"/>
          </w:divBdr>
        </w:div>
        <w:div w:id="361439281">
          <w:marLeft w:val="0"/>
          <w:marRight w:val="0"/>
          <w:marTop w:val="0"/>
          <w:marBottom w:val="0"/>
          <w:divBdr>
            <w:top w:val="none" w:sz="0" w:space="0" w:color="auto"/>
            <w:left w:val="none" w:sz="0" w:space="0" w:color="auto"/>
            <w:bottom w:val="none" w:sz="0" w:space="0" w:color="auto"/>
            <w:right w:val="none" w:sz="0" w:space="0" w:color="auto"/>
          </w:divBdr>
        </w:div>
        <w:div w:id="304433600">
          <w:marLeft w:val="0"/>
          <w:marRight w:val="0"/>
          <w:marTop w:val="0"/>
          <w:marBottom w:val="0"/>
          <w:divBdr>
            <w:top w:val="none" w:sz="0" w:space="0" w:color="auto"/>
            <w:left w:val="none" w:sz="0" w:space="0" w:color="auto"/>
            <w:bottom w:val="none" w:sz="0" w:space="0" w:color="auto"/>
            <w:right w:val="none" w:sz="0" w:space="0" w:color="auto"/>
          </w:divBdr>
        </w:div>
        <w:div w:id="1470826879">
          <w:marLeft w:val="0"/>
          <w:marRight w:val="0"/>
          <w:marTop w:val="0"/>
          <w:marBottom w:val="0"/>
          <w:divBdr>
            <w:top w:val="none" w:sz="0" w:space="0" w:color="auto"/>
            <w:left w:val="none" w:sz="0" w:space="0" w:color="auto"/>
            <w:bottom w:val="none" w:sz="0" w:space="0" w:color="auto"/>
            <w:right w:val="none" w:sz="0" w:space="0" w:color="auto"/>
          </w:divBdr>
        </w:div>
        <w:div w:id="1397120813">
          <w:marLeft w:val="0"/>
          <w:marRight w:val="0"/>
          <w:marTop w:val="0"/>
          <w:marBottom w:val="0"/>
          <w:divBdr>
            <w:top w:val="none" w:sz="0" w:space="0" w:color="auto"/>
            <w:left w:val="none" w:sz="0" w:space="0" w:color="auto"/>
            <w:bottom w:val="none" w:sz="0" w:space="0" w:color="auto"/>
            <w:right w:val="none" w:sz="0" w:space="0" w:color="auto"/>
          </w:divBdr>
        </w:div>
        <w:div w:id="1817718549">
          <w:marLeft w:val="0"/>
          <w:marRight w:val="0"/>
          <w:marTop w:val="0"/>
          <w:marBottom w:val="0"/>
          <w:divBdr>
            <w:top w:val="none" w:sz="0" w:space="0" w:color="auto"/>
            <w:left w:val="none" w:sz="0" w:space="0" w:color="auto"/>
            <w:bottom w:val="none" w:sz="0" w:space="0" w:color="auto"/>
            <w:right w:val="none" w:sz="0" w:space="0" w:color="auto"/>
          </w:divBdr>
        </w:div>
        <w:div w:id="1595356054">
          <w:marLeft w:val="0"/>
          <w:marRight w:val="0"/>
          <w:marTop w:val="0"/>
          <w:marBottom w:val="0"/>
          <w:divBdr>
            <w:top w:val="none" w:sz="0" w:space="0" w:color="auto"/>
            <w:left w:val="none" w:sz="0" w:space="0" w:color="auto"/>
            <w:bottom w:val="none" w:sz="0" w:space="0" w:color="auto"/>
            <w:right w:val="none" w:sz="0" w:space="0" w:color="auto"/>
          </w:divBdr>
        </w:div>
        <w:div w:id="413089241">
          <w:marLeft w:val="0"/>
          <w:marRight w:val="0"/>
          <w:marTop w:val="0"/>
          <w:marBottom w:val="0"/>
          <w:divBdr>
            <w:top w:val="none" w:sz="0" w:space="0" w:color="auto"/>
            <w:left w:val="none" w:sz="0" w:space="0" w:color="auto"/>
            <w:bottom w:val="none" w:sz="0" w:space="0" w:color="auto"/>
            <w:right w:val="none" w:sz="0" w:space="0" w:color="auto"/>
          </w:divBdr>
        </w:div>
        <w:div w:id="1046294080">
          <w:marLeft w:val="0"/>
          <w:marRight w:val="0"/>
          <w:marTop w:val="0"/>
          <w:marBottom w:val="0"/>
          <w:divBdr>
            <w:top w:val="none" w:sz="0" w:space="0" w:color="auto"/>
            <w:left w:val="none" w:sz="0" w:space="0" w:color="auto"/>
            <w:bottom w:val="none" w:sz="0" w:space="0" w:color="auto"/>
            <w:right w:val="none" w:sz="0" w:space="0" w:color="auto"/>
          </w:divBdr>
        </w:div>
        <w:div w:id="1360400134">
          <w:marLeft w:val="0"/>
          <w:marRight w:val="0"/>
          <w:marTop w:val="0"/>
          <w:marBottom w:val="0"/>
          <w:divBdr>
            <w:top w:val="none" w:sz="0" w:space="0" w:color="auto"/>
            <w:left w:val="none" w:sz="0" w:space="0" w:color="auto"/>
            <w:bottom w:val="none" w:sz="0" w:space="0" w:color="auto"/>
            <w:right w:val="none" w:sz="0" w:space="0" w:color="auto"/>
          </w:divBdr>
        </w:div>
        <w:div w:id="1499154577">
          <w:marLeft w:val="0"/>
          <w:marRight w:val="0"/>
          <w:marTop w:val="0"/>
          <w:marBottom w:val="0"/>
          <w:divBdr>
            <w:top w:val="none" w:sz="0" w:space="0" w:color="auto"/>
            <w:left w:val="none" w:sz="0" w:space="0" w:color="auto"/>
            <w:bottom w:val="none" w:sz="0" w:space="0" w:color="auto"/>
            <w:right w:val="none" w:sz="0" w:space="0" w:color="auto"/>
          </w:divBdr>
        </w:div>
        <w:div w:id="319385542">
          <w:marLeft w:val="0"/>
          <w:marRight w:val="0"/>
          <w:marTop w:val="0"/>
          <w:marBottom w:val="0"/>
          <w:divBdr>
            <w:top w:val="none" w:sz="0" w:space="0" w:color="auto"/>
            <w:left w:val="none" w:sz="0" w:space="0" w:color="auto"/>
            <w:bottom w:val="none" w:sz="0" w:space="0" w:color="auto"/>
            <w:right w:val="none" w:sz="0" w:space="0" w:color="auto"/>
          </w:divBdr>
        </w:div>
        <w:div w:id="846558923">
          <w:marLeft w:val="0"/>
          <w:marRight w:val="0"/>
          <w:marTop w:val="0"/>
          <w:marBottom w:val="0"/>
          <w:divBdr>
            <w:top w:val="none" w:sz="0" w:space="0" w:color="auto"/>
            <w:left w:val="none" w:sz="0" w:space="0" w:color="auto"/>
            <w:bottom w:val="none" w:sz="0" w:space="0" w:color="auto"/>
            <w:right w:val="none" w:sz="0" w:space="0" w:color="auto"/>
          </w:divBdr>
        </w:div>
        <w:div w:id="2122917645">
          <w:marLeft w:val="0"/>
          <w:marRight w:val="0"/>
          <w:marTop w:val="0"/>
          <w:marBottom w:val="0"/>
          <w:divBdr>
            <w:top w:val="none" w:sz="0" w:space="0" w:color="auto"/>
            <w:left w:val="none" w:sz="0" w:space="0" w:color="auto"/>
            <w:bottom w:val="none" w:sz="0" w:space="0" w:color="auto"/>
            <w:right w:val="none" w:sz="0" w:space="0" w:color="auto"/>
          </w:divBdr>
        </w:div>
        <w:div w:id="537743377">
          <w:marLeft w:val="0"/>
          <w:marRight w:val="0"/>
          <w:marTop w:val="0"/>
          <w:marBottom w:val="0"/>
          <w:divBdr>
            <w:top w:val="none" w:sz="0" w:space="0" w:color="auto"/>
            <w:left w:val="none" w:sz="0" w:space="0" w:color="auto"/>
            <w:bottom w:val="none" w:sz="0" w:space="0" w:color="auto"/>
            <w:right w:val="none" w:sz="0" w:space="0" w:color="auto"/>
          </w:divBdr>
        </w:div>
        <w:div w:id="1180244642">
          <w:marLeft w:val="0"/>
          <w:marRight w:val="0"/>
          <w:marTop w:val="0"/>
          <w:marBottom w:val="0"/>
          <w:divBdr>
            <w:top w:val="none" w:sz="0" w:space="0" w:color="auto"/>
            <w:left w:val="none" w:sz="0" w:space="0" w:color="auto"/>
            <w:bottom w:val="none" w:sz="0" w:space="0" w:color="auto"/>
            <w:right w:val="none" w:sz="0" w:space="0" w:color="auto"/>
          </w:divBdr>
        </w:div>
        <w:div w:id="1323504855">
          <w:marLeft w:val="0"/>
          <w:marRight w:val="0"/>
          <w:marTop w:val="0"/>
          <w:marBottom w:val="0"/>
          <w:divBdr>
            <w:top w:val="none" w:sz="0" w:space="0" w:color="auto"/>
            <w:left w:val="none" w:sz="0" w:space="0" w:color="auto"/>
            <w:bottom w:val="none" w:sz="0" w:space="0" w:color="auto"/>
            <w:right w:val="none" w:sz="0" w:space="0" w:color="auto"/>
          </w:divBdr>
        </w:div>
        <w:div w:id="2137945452">
          <w:marLeft w:val="0"/>
          <w:marRight w:val="0"/>
          <w:marTop w:val="0"/>
          <w:marBottom w:val="0"/>
          <w:divBdr>
            <w:top w:val="none" w:sz="0" w:space="0" w:color="auto"/>
            <w:left w:val="none" w:sz="0" w:space="0" w:color="auto"/>
            <w:bottom w:val="none" w:sz="0" w:space="0" w:color="auto"/>
            <w:right w:val="none" w:sz="0" w:space="0" w:color="auto"/>
          </w:divBdr>
        </w:div>
        <w:div w:id="1511069927">
          <w:marLeft w:val="0"/>
          <w:marRight w:val="0"/>
          <w:marTop w:val="0"/>
          <w:marBottom w:val="0"/>
          <w:divBdr>
            <w:top w:val="none" w:sz="0" w:space="0" w:color="auto"/>
            <w:left w:val="none" w:sz="0" w:space="0" w:color="auto"/>
            <w:bottom w:val="none" w:sz="0" w:space="0" w:color="auto"/>
            <w:right w:val="none" w:sz="0" w:space="0" w:color="auto"/>
          </w:divBdr>
        </w:div>
        <w:div w:id="1948073671">
          <w:marLeft w:val="0"/>
          <w:marRight w:val="0"/>
          <w:marTop w:val="0"/>
          <w:marBottom w:val="0"/>
          <w:divBdr>
            <w:top w:val="none" w:sz="0" w:space="0" w:color="auto"/>
            <w:left w:val="none" w:sz="0" w:space="0" w:color="auto"/>
            <w:bottom w:val="none" w:sz="0" w:space="0" w:color="auto"/>
            <w:right w:val="none" w:sz="0" w:space="0" w:color="auto"/>
          </w:divBdr>
        </w:div>
        <w:div w:id="1966231224">
          <w:marLeft w:val="0"/>
          <w:marRight w:val="0"/>
          <w:marTop w:val="0"/>
          <w:marBottom w:val="0"/>
          <w:divBdr>
            <w:top w:val="none" w:sz="0" w:space="0" w:color="auto"/>
            <w:left w:val="none" w:sz="0" w:space="0" w:color="auto"/>
            <w:bottom w:val="none" w:sz="0" w:space="0" w:color="auto"/>
            <w:right w:val="none" w:sz="0" w:space="0" w:color="auto"/>
          </w:divBdr>
        </w:div>
        <w:div w:id="309139121">
          <w:marLeft w:val="0"/>
          <w:marRight w:val="0"/>
          <w:marTop w:val="0"/>
          <w:marBottom w:val="0"/>
          <w:divBdr>
            <w:top w:val="none" w:sz="0" w:space="0" w:color="auto"/>
            <w:left w:val="none" w:sz="0" w:space="0" w:color="auto"/>
            <w:bottom w:val="none" w:sz="0" w:space="0" w:color="auto"/>
            <w:right w:val="none" w:sz="0" w:space="0" w:color="auto"/>
          </w:divBdr>
        </w:div>
        <w:div w:id="299849345">
          <w:marLeft w:val="0"/>
          <w:marRight w:val="0"/>
          <w:marTop w:val="0"/>
          <w:marBottom w:val="0"/>
          <w:divBdr>
            <w:top w:val="none" w:sz="0" w:space="0" w:color="auto"/>
            <w:left w:val="none" w:sz="0" w:space="0" w:color="auto"/>
            <w:bottom w:val="none" w:sz="0" w:space="0" w:color="auto"/>
            <w:right w:val="none" w:sz="0" w:space="0" w:color="auto"/>
          </w:divBdr>
        </w:div>
        <w:div w:id="884947519">
          <w:marLeft w:val="0"/>
          <w:marRight w:val="0"/>
          <w:marTop w:val="0"/>
          <w:marBottom w:val="0"/>
          <w:divBdr>
            <w:top w:val="none" w:sz="0" w:space="0" w:color="auto"/>
            <w:left w:val="none" w:sz="0" w:space="0" w:color="auto"/>
            <w:bottom w:val="none" w:sz="0" w:space="0" w:color="auto"/>
            <w:right w:val="none" w:sz="0" w:space="0" w:color="auto"/>
          </w:divBdr>
        </w:div>
        <w:div w:id="563957138">
          <w:marLeft w:val="0"/>
          <w:marRight w:val="0"/>
          <w:marTop w:val="0"/>
          <w:marBottom w:val="0"/>
          <w:divBdr>
            <w:top w:val="none" w:sz="0" w:space="0" w:color="auto"/>
            <w:left w:val="none" w:sz="0" w:space="0" w:color="auto"/>
            <w:bottom w:val="none" w:sz="0" w:space="0" w:color="auto"/>
            <w:right w:val="none" w:sz="0" w:space="0" w:color="auto"/>
          </w:divBdr>
        </w:div>
        <w:div w:id="1713378307">
          <w:marLeft w:val="0"/>
          <w:marRight w:val="0"/>
          <w:marTop w:val="0"/>
          <w:marBottom w:val="0"/>
          <w:divBdr>
            <w:top w:val="none" w:sz="0" w:space="0" w:color="auto"/>
            <w:left w:val="none" w:sz="0" w:space="0" w:color="auto"/>
            <w:bottom w:val="none" w:sz="0" w:space="0" w:color="auto"/>
            <w:right w:val="none" w:sz="0" w:space="0" w:color="auto"/>
          </w:divBdr>
        </w:div>
        <w:div w:id="1050573767">
          <w:marLeft w:val="0"/>
          <w:marRight w:val="0"/>
          <w:marTop w:val="0"/>
          <w:marBottom w:val="0"/>
          <w:divBdr>
            <w:top w:val="none" w:sz="0" w:space="0" w:color="auto"/>
            <w:left w:val="none" w:sz="0" w:space="0" w:color="auto"/>
            <w:bottom w:val="none" w:sz="0" w:space="0" w:color="auto"/>
            <w:right w:val="none" w:sz="0" w:space="0" w:color="auto"/>
          </w:divBdr>
        </w:div>
        <w:div w:id="1021279049">
          <w:marLeft w:val="0"/>
          <w:marRight w:val="0"/>
          <w:marTop w:val="0"/>
          <w:marBottom w:val="0"/>
          <w:divBdr>
            <w:top w:val="none" w:sz="0" w:space="0" w:color="auto"/>
            <w:left w:val="none" w:sz="0" w:space="0" w:color="auto"/>
            <w:bottom w:val="none" w:sz="0" w:space="0" w:color="auto"/>
            <w:right w:val="none" w:sz="0" w:space="0" w:color="auto"/>
          </w:divBdr>
        </w:div>
        <w:div w:id="1558861550">
          <w:marLeft w:val="0"/>
          <w:marRight w:val="0"/>
          <w:marTop w:val="0"/>
          <w:marBottom w:val="0"/>
          <w:divBdr>
            <w:top w:val="none" w:sz="0" w:space="0" w:color="auto"/>
            <w:left w:val="none" w:sz="0" w:space="0" w:color="auto"/>
            <w:bottom w:val="none" w:sz="0" w:space="0" w:color="auto"/>
            <w:right w:val="none" w:sz="0" w:space="0" w:color="auto"/>
          </w:divBdr>
        </w:div>
        <w:div w:id="354306892">
          <w:marLeft w:val="0"/>
          <w:marRight w:val="0"/>
          <w:marTop w:val="0"/>
          <w:marBottom w:val="0"/>
          <w:divBdr>
            <w:top w:val="none" w:sz="0" w:space="0" w:color="auto"/>
            <w:left w:val="none" w:sz="0" w:space="0" w:color="auto"/>
            <w:bottom w:val="none" w:sz="0" w:space="0" w:color="auto"/>
            <w:right w:val="none" w:sz="0" w:space="0" w:color="auto"/>
          </w:divBdr>
        </w:div>
        <w:div w:id="996804197">
          <w:marLeft w:val="0"/>
          <w:marRight w:val="0"/>
          <w:marTop w:val="0"/>
          <w:marBottom w:val="0"/>
          <w:divBdr>
            <w:top w:val="none" w:sz="0" w:space="0" w:color="auto"/>
            <w:left w:val="none" w:sz="0" w:space="0" w:color="auto"/>
            <w:bottom w:val="none" w:sz="0" w:space="0" w:color="auto"/>
            <w:right w:val="none" w:sz="0" w:space="0" w:color="auto"/>
          </w:divBdr>
        </w:div>
        <w:div w:id="1661348103">
          <w:marLeft w:val="0"/>
          <w:marRight w:val="0"/>
          <w:marTop w:val="0"/>
          <w:marBottom w:val="0"/>
          <w:divBdr>
            <w:top w:val="none" w:sz="0" w:space="0" w:color="auto"/>
            <w:left w:val="none" w:sz="0" w:space="0" w:color="auto"/>
            <w:bottom w:val="none" w:sz="0" w:space="0" w:color="auto"/>
            <w:right w:val="none" w:sz="0" w:space="0" w:color="auto"/>
          </w:divBdr>
        </w:div>
        <w:div w:id="2013794878">
          <w:marLeft w:val="0"/>
          <w:marRight w:val="0"/>
          <w:marTop w:val="0"/>
          <w:marBottom w:val="0"/>
          <w:divBdr>
            <w:top w:val="none" w:sz="0" w:space="0" w:color="auto"/>
            <w:left w:val="none" w:sz="0" w:space="0" w:color="auto"/>
            <w:bottom w:val="none" w:sz="0" w:space="0" w:color="auto"/>
            <w:right w:val="none" w:sz="0" w:space="0" w:color="auto"/>
          </w:divBdr>
        </w:div>
        <w:div w:id="1636833251">
          <w:marLeft w:val="0"/>
          <w:marRight w:val="0"/>
          <w:marTop w:val="0"/>
          <w:marBottom w:val="0"/>
          <w:divBdr>
            <w:top w:val="none" w:sz="0" w:space="0" w:color="auto"/>
            <w:left w:val="none" w:sz="0" w:space="0" w:color="auto"/>
            <w:bottom w:val="none" w:sz="0" w:space="0" w:color="auto"/>
            <w:right w:val="none" w:sz="0" w:space="0" w:color="auto"/>
          </w:divBdr>
        </w:div>
        <w:div w:id="1926648320">
          <w:marLeft w:val="0"/>
          <w:marRight w:val="0"/>
          <w:marTop w:val="0"/>
          <w:marBottom w:val="0"/>
          <w:divBdr>
            <w:top w:val="none" w:sz="0" w:space="0" w:color="auto"/>
            <w:left w:val="none" w:sz="0" w:space="0" w:color="auto"/>
            <w:bottom w:val="none" w:sz="0" w:space="0" w:color="auto"/>
            <w:right w:val="none" w:sz="0" w:space="0" w:color="auto"/>
          </w:divBdr>
        </w:div>
        <w:div w:id="1699115622">
          <w:marLeft w:val="0"/>
          <w:marRight w:val="0"/>
          <w:marTop w:val="0"/>
          <w:marBottom w:val="0"/>
          <w:divBdr>
            <w:top w:val="none" w:sz="0" w:space="0" w:color="auto"/>
            <w:left w:val="none" w:sz="0" w:space="0" w:color="auto"/>
            <w:bottom w:val="none" w:sz="0" w:space="0" w:color="auto"/>
            <w:right w:val="none" w:sz="0" w:space="0" w:color="auto"/>
          </w:divBdr>
        </w:div>
        <w:div w:id="1883206060">
          <w:marLeft w:val="0"/>
          <w:marRight w:val="0"/>
          <w:marTop w:val="0"/>
          <w:marBottom w:val="0"/>
          <w:divBdr>
            <w:top w:val="none" w:sz="0" w:space="0" w:color="auto"/>
            <w:left w:val="none" w:sz="0" w:space="0" w:color="auto"/>
            <w:bottom w:val="none" w:sz="0" w:space="0" w:color="auto"/>
            <w:right w:val="none" w:sz="0" w:space="0" w:color="auto"/>
          </w:divBdr>
        </w:div>
        <w:div w:id="2013096942">
          <w:marLeft w:val="0"/>
          <w:marRight w:val="0"/>
          <w:marTop w:val="0"/>
          <w:marBottom w:val="0"/>
          <w:divBdr>
            <w:top w:val="none" w:sz="0" w:space="0" w:color="auto"/>
            <w:left w:val="none" w:sz="0" w:space="0" w:color="auto"/>
            <w:bottom w:val="none" w:sz="0" w:space="0" w:color="auto"/>
            <w:right w:val="none" w:sz="0" w:space="0" w:color="auto"/>
          </w:divBdr>
        </w:div>
        <w:div w:id="597327115">
          <w:marLeft w:val="0"/>
          <w:marRight w:val="0"/>
          <w:marTop w:val="0"/>
          <w:marBottom w:val="0"/>
          <w:divBdr>
            <w:top w:val="none" w:sz="0" w:space="0" w:color="auto"/>
            <w:left w:val="none" w:sz="0" w:space="0" w:color="auto"/>
            <w:bottom w:val="none" w:sz="0" w:space="0" w:color="auto"/>
            <w:right w:val="none" w:sz="0" w:space="0" w:color="auto"/>
          </w:divBdr>
        </w:div>
        <w:div w:id="694579255">
          <w:marLeft w:val="0"/>
          <w:marRight w:val="0"/>
          <w:marTop w:val="0"/>
          <w:marBottom w:val="0"/>
          <w:divBdr>
            <w:top w:val="none" w:sz="0" w:space="0" w:color="auto"/>
            <w:left w:val="none" w:sz="0" w:space="0" w:color="auto"/>
            <w:bottom w:val="none" w:sz="0" w:space="0" w:color="auto"/>
            <w:right w:val="none" w:sz="0" w:space="0" w:color="auto"/>
          </w:divBdr>
        </w:div>
        <w:div w:id="629945239">
          <w:marLeft w:val="0"/>
          <w:marRight w:val="0"/>
          <w:marTop w:val="0"/>
          <w:marBottom w:val="0"/>
          <w:divBdr>
            <w:top w:val="none" w:sz="0" w:space="0" w:color="auto"/>
            <w:left w:val="none" w:sz="0" w:space="0" w:color="auto"/>
            <w:bottom w:val="none" w:sz="0" w:space="0" w:color="auto"/>
            <w:right w:val="none" w:sz="0" w:space="0" w:color="auto"/>
          </w:divBdr>
        </w:div>
        <w:div w:id="1098328523">
          <w:marLeft w:val="0"/>
          <w:marRight w:val="0"/>
          <w:marTop w:val="0"/>
          <w:marBottom w:val="0"/>
          <w:divBdr>
            <w:top w:val="none" w:sz="0" w:space="0" w:color="auto"/>
            <w:left w:val="none" w:sz="0" w:space="0" w:color="auto"/>
            <w:bottom w:val="none" w:sz="0" w:space="0" w:color="auto"/>
            <w:right w:val="none" w:sz="0" w:space="0" w:color="auto"/>
          </w:divBdr>
        </w:div>
        <w:div w:id="1710227482">
          <w:marLeft w:val="0"/>
          <w:marRight w:val="0"/>
          <w:marTop w:val="0"/>
          <w:marBottom w:val="0"/>
          <w:divBdr>
            <w:top w:val="none" w:sz="0" w:space="0" w:color="auto"/>
            <w:left w:val="none" w:sz="0" w:space="0" w:color="auto"/>
            <w:bottom w:val="none" w:sz="0" w:space="0" w:color="auto"/>
            <w:right w:val="none" w:sz="0" w:space="0" w:color="auto"/>
          </w:divBdr>
        </w:div>
        <w:div w:id="1668291445">
          <w:marLeft w:val="0"/>
          <w:marRight w:val="0"/>
          <w:marTop w:val="0"/>
          <w:marBottom w:val="0"/>
          <w:divBdr>
            <w:top w:val="none" w:sz="0" w:space="0" w:color="auto"/>
            <w:left w:val="none" w:sz="0" w:space="0" w:color="auto"/>
            <w:bottom w:val="none" w:sz="0" w:space="0" w:color="auto"/>
            <w:right w:val="none" w:sz="0" w:space="0" w:color="auto"/>
          </w:divBdr>
        </w:div>
        <w:div w:id="1603493430">
          <w:marLeft w:val="0"/>
          <w:marRight w:val="0"/>
          <w:marTop w:val="0"/>
          <w:marBottom w:val="0"/>
          <w:divBdr>
            <w:top w:val="none" w:sz="0" w:space="0" w:color="auto"/>
            <w:left w:val="none" w:sz="0" w:space="0" w:color="auto"/>
            <w:bottom w:val="none" w:sz="0" w:space="0" w:color="auto"/>
            <w:right w:val="none" w:sz="0" w:space="0" w:color="auto"/>
          </w:divBdr>
        </w:div>
      </w:divsChild>
    </w:div>
    <w:div w:id="213524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03EDA-59E4-3444-A18C-43442D717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53</Pages>
  <Words>44978</Words>
  <Characters>256381</Characters>
  <Application>Microsoft Office Word</Application>
  <DocSecurity>0</DocSecurity>
  <Lines>2136</Lines>
  <Paragraphs>601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Constantine Kutson</dc:creator>
  <cp:keywords/>
  <dc:description/>
  <cp:lastModifiedBy>Constantine Kutson</cp:lastModifiedBy>
  <cp:revision>3</cp:revision>
  <cp:lastPrinted>2023-07-28T07:26:00Z</cp:lastPrinted>
  <dcterms:created xsi:type="dcterms:W3CDTF">2023-07-28T07:26:00Z</dcterms:created>
  <dcterms:modified xsi:type="dcterms:W3CDTF">2023-07-28T16:26:00Z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id="EicxuIVT"/&gt;&lt;style id="http://www.zotero.org/styles/apa" locale="en-US" hasBibliography="1" bibliographyStyleHasBeenSet="1"/&gt;&lt;prefs&gt;&lt;pref name="fieldType" value="Field"/&gt;&lt;/prefs&gt;&lt;/data&gt;</vt:lpwstr>
  </property>
</Properties>
</file>