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61964A19" w:rsidR="004E2FD8" w:rsidRDefault="00647EC0" w:rsidP="00647EC0">
      <w:pPr>
        <w:pStyle w:val="Heading3"/>
        <w:spacing w:before="0" w:after="0" w:line="240" w:lineRule="auto"/>
        <w:jc w:val="center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Open Initiatives &amp; Scholarly Communications (OISC)</w:t>
      </w:r>
      <w:r w:rsidR="00410E1D">
        <w:rPr>
          <w:rFonts w:ascii="Open Sans" w:eastAsia="Open Sans" w:hAnsi="Open Sans" w:cs="Open Sans"/>
        </w:rPr>
        <w:t xml:space="preserve"> Internship</w:t>
      </w:r>
      <w:r w:rsidR="00F83A53">
        <w:rPr>
          <w:rFonts w:ascii="Open Sans" w:eastAsia="Open Sans" w:hAnsi="Open Sans" w:cs="Open Sans"/>
        </w:rPr>
        <w:t xml:space="preserve"> Syllabus</w:t>
      </w:r>
      <w:r w:rsidR="00410E1D">
        <w:rPr>
          <w:rFonts w:ascii="Open Sans" w:eastAsia="Open Sans" w:hAnsi="Open Sans" w:cs="Open Sans"/>
        </w:rPr>
        <w:t xml:space="preserve"> Fall 2021</w:t>
      </w:r>
    </w:p>
    <w:p w14:paraId="00000003" w14:textId="77777777" w:rsidR="004E2FD8" w:rsidRDefault="00410E1D">
      <w:pPr>
        <w:pStyle w:val="Heading4"/>
        <w:spacing w:line="240" w:lineRule="auto"/>
        <w:rPr>
          <w:rFonts w:ascii="Open Sans" w:eastAsia="Open Sans" w:hAnsi="Open Sans" w:cs="Open Sans"/>
        </w:rPr>
      </w:pPr>
      <w:bookmarkStart w:id="0" w:name="_7bink2m2xxso" w:colFirst="0" w:colLast="0"/>
      <w:bookmarkEnd w:id="0"/>
      <w:r>
        <w:rPr>
          <w:rFonts w:ascii="Open Sans" w:eastAsia="Open Sans" w:hAnsi="Open Sans" w:cs="Open Sans"/>
        </w:rPr>
        <w:t>Team Members:</w:t>
      </w:r>
    </w:p>
    <w:p w14:paraId="00000004" w14:textId="6974C7B1" w:rsidR="004E2FD8" w:rsidRDefault="00410E1D">
      <w:pPr>
        <w:numPr>
          <w:ilvl w:val="0"/>
          <w:numId w:val="2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Intern</w:t>
      </w:r>
    </w:p>
    <w:p w14:paraId="00000005" w14:textId="621BE682" w:rsidR="004E2FD8" w:rsidRDefault="00410E1D">
      <w:pPr>
        <w:numPr>
          <w:ilvl w:val="0"/>
          <w:numId w:val="2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 xml:space="preserve">OU Libraries Supervisors: </w:t>
      </w:r>
      <w:r w:rsidR="00925DD7">
        <w:rPr>
          <w:rFonts w:ascii="Open Sans" w:eastAsia="Open Sans" w:hAnsi="Open Sans" w:cs="Open Sans"/>
          <w:sz w:val="20"/>
          <w:szCs w:val="20"/>
        </w:rPr>
        <w:t>Director of Open Initiatives &amp; Scholarly Communication Librarian, and Associate Dean for Scholarly Communication &amp; Resources</w:t>
      </w:r>
    </w:p>
    <w:p w14:paraId="00000006" w14:textId="589ED166" w:rsidR="004E2FD8" w:rsidRDefault="00410E1D">
      <w:pPr>
        <w:numPr>
          <w:ilvl w:val="0"/>
          <w:numId w:val="2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OU School of Library &amp; Information Studies Advisor</w:t>
      </w:r>
    </w:p>
    <w:p w14:paraId="00000007" w14:textId="77777777" w:rsidR="004E2FD8" w:rsidRDefault="00410E1D">
      <w:pPr>
        <w:pStyle w:val="Heading4"/>
        <w:spacing w:line="240" w:lineRule="auto"/>
        <w:rPr>
          <w:rFonts w:ascii="Open Sans" w:eastAsia="Open Sans" w:hAnsi="Open Sans" w:cs="Open Sans"/>
        </w:rPr>
      </w:pPr>
      <w:bookmarkStart w:id="1" w:name="_folek5f2huuk" w:colFirst="0" w:colLast="0"/>
      <w:bookmarkEnd w:id="1"/>
      <w:r>
        <w:rPr>
          <w:rFonts w:ascii="Open Sans" w:eastAsia="Open Sans" w:hAnsi="Open Sans" w:cs="Open Sans"/>
        </w:rPr>
        <w:t>Learning Goals and Objectives</w:t>
      </w:r>
    </w:p>
    <w:p w14:paraId="00000008" w14:textId="77777777" w:rsidR="004E2FD8" w:rsidRDefault="00410E1D">
      <w:pPr>
        <w:spacing w:line="240" w:lineRule="auto"/>
        <w:rPr>
          <w:rFonts w:ascii="Open Sans" w:eastAsia="Open Sans" w:hAnsi="Open Sans" w:cs="Open Sans"/>
          <w:sz w:val="20"/>
          <w:szCs w:val="20"/>
          <w:u w:val="single"/>
        </w:rPr>
      </w:pPr>
      <w:r>
        <w:rPr>
          <w:rFonts w:ascii="Open Sans" w:eastAsia="Open Sans" w:hAnsi="Open Sans" w:cs="Open Sans"/>
          <w:sz w:val="20"/>
          <w:szCs w:val="20"/>
          <w:u w:val="single"/>
        </w:rPr>
        <w:t>Learning Goal 1</w:t>
      </w:r>
    </w:p>
    <w:p w14:paraId="00000009" w14:textId="77777777" w:rsidR="004E2FD8" w:rsidRDefault="00410E1D">
      <w:pPr>
        <w:numPr>
          <w:ilvl w:val="0"/>
          <w:numId w:val="2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 xml:space="preserve">Understand principles of open access </w:t>
      </w:r>
    </w:p>
    <w:p w14:paraId="0000000A" w14:textId="77777777" w:rsidR="004E2FD8" w:rsidRDefault="00410E1D">
      <w:pPr>
        <w:numPr>
          <w:ilvl w:val="1"/>
          <w:numId w:val="2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Objectives:</w:t>
      </w:r>
    </w:p>
    <w:p w14:paraId="0000000B" w14:textId="77777777" w:rsidR="004E2FD8" w:rsidRDefault="00410E1D">
      <w:pPr>
        <w:numPr>
          <w:ilvl w:val="2"/>
          <w:numId w:val="2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Articulate how open access fits into the scholarly communication landscape</w:t>
      </w:r>
    </w:p>
    <w:p w14:paraId="0000000C" w14:textId="77777777" w:rsidR="004E2FD8" w:rsidRDefault="00410E1D">
      <w:pPr>
        <w:numPr>
          <w:ilvl w:val="2"/>
          <w:numId w:val="2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Summarize major principles, goals, and ways in which open access is achieved</w:t>
      </w:r>
    </w:p>
    <w:p w14:paraId="0000000D" w14:textId="77777777" w:rsidR="004E2FD8" w:rsidRDefault="00410E1D">
      <w:pPr>
        <w:spacing w:line="240" w:lineRule="auto"/>
        <w:rPr>
          <w:rFonts w:ascii="Open Sans" w:eastAsia="Open Sans" w:hAnsi="Open Sans" w:cs="Open Sans"/>
          <w:sz w:val="20"/>
          <w:szCs w:val="20"/>
          <w:u w:val="single"/>
        </w:rPr>
      </w:pPr>
      <w:r>
        <w:rPr>
          <w:rFonts w:ascii="Open Sans" w:eastAsia="Open Sans" w:hAnsi="Open Sans" w:cs="Open Sans"/>
          <w:sz w:val="20"/>
          <w:szCs w:val="20"/>
          <w:u w:val="single"/>
        </w:rPr>
        <w:t>Learning Goal 2</w:t>
      </w:r>
    </w:p>
    <w:p w14:paraId="0000000E" w14:textId="77777777" w:rsidR="004E2FD8" w:rsidRDefault="00410E1D">
      <w:pPr>
        <w:numPr>
          <w:ilvl w:val="0"/>
          <w:numId w:val="2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Understand the role of open access policies at academic institutions and how open access policies are implemented and assessed</w:t>
      </w:r>
    </w:p>
    <w:p w14:paraId="0000000F" w14:textId="77777777" w:rsidR="004E2FD8" w:rsidRDefault="00410E1D">
      <w:pPr>
        <w:numPr>
          <w:ilvl w:val="1"/>
          <w:numId w:val="2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Objectives:</w:t>
      </w:r>
    </w:p>
    <w:p w14:paraId="00000010" w14:textId="77777777" w:rsidR="004E2FD8" w:rsidRDefault="00410E1D">
      <w:pPr>
        <w:numPr>
          <w:ilvl w:val="2"/>
          <w:numId w:val="2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Analyze open access policy language and implementation at peer, aspirational, and select other academic institutions</w:t>
      </w:r>
    </w:p>
    <w:p w14:paraId="00000011" w14:textId="77777777" w:rsidR="004E2FD8" w:rsidRDefault="00410E1D">
      <w:pPr>
        <w:numPr>
          <w:ilvl w:val="2"/>
          <w:numId w:val="2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Summarize relevant open access policy language</w:t>
      </w:r>
    </w:p>
    <w:p w14:paraId="00000012" w14:textId="77777777" w:rsidR="004E2FD8" w:rsidRDefault="00410E1D">
      <w:pPr>
        <w:numPr>
          <w:ilvl w:val="2"/>
          <w:numId w:val="2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Identify open access policy assessment methods and criteria used at academic institutions with open access policy initiatives</w:t>
      </w:r>
    </w:p>
    <w:p w14:paraId="00000013" w14:textId="77777777" w:rsidR="004E2FD8" w:rsidRDefault="00410E1D">
      <w:pPr>
        <w:spacing w:line="240" w:lineRule="auto"/>
        <w:rPr>
          <w:rFonts w:ascii="Open Sans" w:eastAsia="Open Sans" w:hAnsi="Open Sans" w:cs="Open Sans"/>
          <w:sz w:val="20"/>
          <w:szCs w:val="20"/>
          <w:u w:val="single"/>
        </w:rPr>
      </w:pPr>
      <w:r>
        <w:rPr>
          <w:rFonts w:ascii="Open Sans" w:eastAsia="Open Sans" w:hAnsi="Open Sans" w:cs="Open Sans"/>
          <w:sz w:val="20"/>
          <w:szCs w:val="20"/>
          <w:u w:val="single"/>
        </w:rPr>
        <w:t>Learning Goal 3</w:t>
      </w:r>
    </w:p>
    <w:p w14:paraId="00000014" w14:textId="2C02FDAD" w:rsidR="004E2FD8" w:rsidRDefault="00410E1D">
      <w:pPr>
        <w:numPr>
          <w:ilvl w:val="0"/>
          <w:numId w:val="3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 xml:space="preserve">Synthesize </w:t>
      </w:r>
      <w:r w:rsidR="00C03A1E">
        <w:rPr>
          <w:rFonts w:ascii="Open Sans" w:eastAsia="Open Sans" w:hAnsi="Open Sans" w:cs="Open Sans"/>
          <w:sz w:val="20"/>
          <w:szCs w:val="20"/>
        </w:rPr>
        <w:t xml:space="preserve">the </w:t>
      </w:r>
      <w:r>
        <w:rPr>
          <w:rFonts w:ascii="Open Sans" w:eastAsia="Open Sans" w:hAnsi="Open Sans" w:cs="Open Sans"/>
          <w:sz w:val="20"/>
          <w:szCs w:val="20"/>
        </w:rPr>
        <w:t>understanding of open access and open access policies, including language, implementation, and assessment of such policies</w:t>
      </w:r>
    </w:p>
    <w:p w14:paraId="00000015" w14:textId="77777777" w:rsidR="004E2FD8" w:rsidRDefault="00410E1D">
      <w:pPr>
        <w:numPr>
          <w:ilvl w:val="1"/>
          <w:numId w:val="3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Objective:</w:t>
      </w:r>
    </w:p>
    <w:p w14:paraId="00000016" w14:textId="77777777" w:rsidR="004E2FD8" w:rsidRDefault="00410E1D">
      <w:pPr>
        <w:numPr>
          <w:ilvl w:val="2"/>
          <w:numId w:val="3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 xml:space="preserve">Create a report / white paper which will include: </w:t>
      </w:r>
    </w:p>
    <w:p w14:paraId="00000017" w14:textId="77777777" w:rsidR="004E2FD8" w:rsidRDefault="00410E1D">
      <w:pPr>
        <w:numPr>
          <w:ilvl w:val="3"/>
          <w:numId w:val="3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Recommendations and best practices and actions OU Libraries and the ULC Scholarly Communication Task Force can take prior to help ensure the passage of an open access policy (advocacy)</w:t>
      </w:r>
    </w:p>
    <w:p w14:paraId="00000018" w14:textId="77777777" w:rsidR="004E2FD8" w:rsidRDefault="00410E1D">
      <w:pPr>
        <w:numPr>
          <w:ilvl w:val="3"/>
          <w:numId w:val="3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 xml:space="preserve"> Recommendations and best practices OU Libraries can take to support an open access policy once one has been passed (implementation, assessment)</w:t>
      </w:r>
    </w:p>
    <w:p w14:paraId="00000019" w14:textId="77777777" w:rsidR="004E2FD8" w:rsidRDefault="00410E1D">
      <w:pPr>
        <w:pStyle w:val="Heading4"/>
        <w:spacing w:line="240" w:lineRule="auto"/>
        <w:rPr>
          <w:rFonts w:ascii="Open Sans" w:eastAsia="Open Sans" w:hAnsi="Open Sans" w:cs="Open Sans"/>
        </w:rPr>
      </w:pPr>
      <w:bookmarkStart w:id="2" w:name="_ypcvffcejmd7" w:colFirst="0" w:colLast="0"/>
      <w:bookmarkEnd w:id="2"/>
      <w:r>
        <w:rPr>
          <w:rFonts w:ascii="Open Sans" w:eastAsia="Open Sans" w:hAnsi="Open Sans" w:cs="Open Sans"/>
        </w:rPr>
        <w:t>Schedule for the internship:</w:t>
      </w:r>
    </w:p>
    <w:p w14:paraId="0000001A" w14:textId="77777777" w:rsidR="004E2FD8" w:rsidRDefault="00410E1D">
      <w:pPr>
        <w:numPr>
          <w:ilvl w:val="0"/>
          <w:numId w:val="1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 xml:space="preserve">Start date: </w:t>
      </w:r>
      <w:r>
        <w:rPr>
          <w:rFonts w:ascii="Open Sans" w:eastAsia="Open Sans" w:hAnsi="Open Sans" w:cs="Open Sans"/>
          <w:color w:val="000000"/>
          <w:sz w:val="20"/>
          <w:szCs w:val="20"/>
        </w:rPr>
        <w:t>August 23, 2021</w:t>
      </w:r>
    </w:p>
    <w:p w14:paraId="0000001B" w14:textId="77777777" w:rsidR="004E2FD8" w:rsidRDefault="00410E1D">
      <w:pPr>
        <w:numPr>
          <w:ilvl w:val="0"/>
          <w:numId w:val="1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End date: December 17, 2021</w:t>
      </w:r>
    </w:p>
    <w:p w14:paraId="0000001C" w14:textId="520670A4" w:rsidR="004E2FD8" w:rsidRDefault="00410E1D">
      <w:pPr>
        <w:numPr>
          <w:ilvl w:val="0"/>
          <w:numId w:val="1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Schedule: 8.5 hours/week, specifics TBD based on student’s work and course commitments. There will be one re</w:t>
      </w:r>
      <w:r w:rsidR="00C85C64">
        <w:rPr>
          <w:rFonts w:ascii="Open Sans" w:eastAsia="Open Sans" w:hAnsi="Open Sans" w:cs="Open Sans"/>
          <w:sz w:val="20"/>
          <w:szCs w:val="20"/>
        </w:rPr>
        <w:t>curring</w:t>
      </w:r>
      <w:r>
        <w:rPr>
          <w:rFonts w:ascii="Open Sans" w:eastAsia="Open Sans" w:hAnsi="Open Sans" w:cs="Open Sans"/>
          <w:sz w:val="20"/>
          <w:szCs w:val="20"/>
        </w:rPr>
        <w:t xml:space="preserve"> 30-minute check-in meeting each week.</w:t>
      </w:r>
    </w:p>
    <w:p w14:paraId="0000001D" w14:textId="77777777" w:rsidR="004E2FD8" w:rsidRDefault="00410E1D">
      <w:pPr>
        <w:pStyle w:val="Heading5"/>
        <w:spacing w:line="240" w:lineRule="auto"/>
        <w:rPr>
          <w:rFonts w:ascii="Open Sans" w:eastAsia="Open Sans" w:hAnsi="Open Sans" w:cs="Open Sans"/>
        </w:rPr>
      </w:pPr>
      <w:bookmarkStart w:id="3" w:name="_1lyy2xxvbhi7" w:colFirst="0" w:colLast="0"/>
      <w:bookmarkEnd w:id="3"/>
      <w:r>
        <w:rPr>
          <w:rFonts w:ascii="Open Sans" w:eastAsia="Open Sans" w:hAnsi="Open Sans" w:cs="Open Sans"/>
        </w:rPr>
        <w:lastRenderedPageBreak/>
        <w:t>Activities:</w:t>
      </w:r>
    </w:p>
    <w:p w14:paraId="0000001E" w14:textId="77777777" w:rsidR="004E2FD8" w:rsidRDefault="00410E1D">
      <w:pPr>
        <w:numPr>
          <w:ilvl w:val="0"/>
          <w:numId w:val="4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  <w:u w:val="single"/>
        </w:rPr>
        <w:t>Week 1: August 22 – 28</w:t>
      </w:r>
    </w:p>
    <w:p w14:paraId="0000001F" w14:textId="77777777" w:rsidR="004E2FD8" w:rsidRDefault="00410E1D">
      <w:pPr>
        <w:numPr>
          <w:ilvl w:val="1"/>
          <w:numId w:val="4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 xml:space="preserve">Read </w:t>
      </w:r>
      <w:hyperlink r:id="rId5">
        <w:r>
          <w:rPr>
            <w:rFonts w:ascii="Open Sans" w:eastAsia="Open Sans" w:hAnsi="Open Sans" w:cs="Open Sans"/>
            <w:i/>
            <w:color w:val="1155CC"/>
            <w:sz w:val="20"/>
            <w:szCs w:val="20"/>
            <w:u w:val="single"/>
          </w:rPr>
          <w:t>Open Access</w:t>
        </w:r>
      </w:hyperlink>
      <w:r>
        <w:rPr>
          <w:rFonts w:ascii="Open Sans" w:eastAsia="Open Sans" w:hAnsi="Open Sans" w:cs="Open Sans"/>
          <w:sz w:val="20"/>
          <w:szCs w:val="20"/>
        </w:rPr>
        <w:t xml:space="preserve"> by Peter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Suber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(available open access. See available open formats under “Resources” heading)</w:t>
      </w:r>
    </w:p>
    <w:p w14:paraId="00000020" w14:textId="77777777" w:rsidR="004E2FD8" w:rsidRDefault="00410E1D">
      <w:pPr>
        <w:numPr>
          <w:ilvl w:val="1"/>
          <w:numId w:val="4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 xml:space="preserve">Listen to </w:t>
      </w:r>
      <w:hyperlink r:id="rId6">
        <w:r>
          <w:rPr>
            <w:rFonts w:ascii="Open Sans" w:eastAsia="Open Sans" w:hAnsi="Open Sans" w:cs="Open Sans"/>
            <w:i/>
            <w:color w:val="1155CC"/>
            <w:sz w:val="20"/>
            <w:szCs w:val="20"/>
            <w:u w:val="single"/>
          </w:rPr>
          <w:t>Discussions on Open Access: Open Access Models and Experimentation</w:t>
        </w:r>
      </w:hyperlink>
    </w:p>
    <w:p w14:paraId="00000021" w14:textId="77777777" w:rsidR="004E2FD8" w:rsidRDefault="004E2FD8">
      <w:pPr>
        <w:spacing w:line="240" w:lineRule="auto"/>
        <w:ind w:left="720"/>
        <w:rPr>
          <w:rFonts w:ascii="Open Sans" w:eastAsia="Open Sans" w:hAnsi="Open Sans" w:cs="Open Sans"/>
          <w:sz w:val="20"/>
          <w:szCs w:val="20"/>
        </w:rPr>
      </w:pPr>
    </w:p>
    <w:p w14:paraId="00000022" w14:textId="77777777" w:rsidR="004E2FD8" w:rsidRDefault="00410E1D">
      <w:pPr>
        <w:numPr>
          <w:ilvl w:val="0"/>
          <w:numId w:val="4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  <w:u w:val="single"/>
        </w:rPr>
        <w:t>Week 2: August 29 – September 4</w:t>
      </w:r>
    </w:p>
    <w:p w14:paraId="00000023" w14:textId="77777777" w:rsidR="004E2FD8" w:rsidRDefault="00410E1D">
      <w:pPr>
        <w:numPr>
          <w:ilvl w:val="1"/>
          <w:numId w:val="4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 xml:space="preserve">Become familiar with the </w:t>
      </w:r>
      <w:hyperlink r:id="rId7">
        <w:r>
          <w:rPr>
            <w:rFonts w:ascii="Open Sans" w:eastAsia="Open Sans" w:hAnsi="Open Sans" w:cs="Open Sans"/>
            <w:color w:val="1155CC"/>
            <w:sz w:val="20"/>
            <w:szCs w:val="20"/>
            <w:u w:val="single"/>
          </w:rPr>
          <w:t>ULC Scholarly Communication Taskforce</w:t>
        </w:r>
      </w:hyperlink>
      <w:r>
        <w:rPr>
          <w:rFonts w:ascii="Open Sans" w:eastAsia="Open Sans" w:hAnsi="Open Sans" w:cs="Open Sans"/>
          <w:sz w:val="20"/>
          <w:szCs w:val="20"/>
        </w:rPr>
        <w:t xml:space="preserve"> website, including close reading of the Taskforce’s report, “</w:t>
      </w:r>
      <w:hyperlink r:id="rId8">
        <w:r>
          <w:rPr>
            <w:rFonts w:ascii="Open Sans" w:eastAsia="Open Sans" w:hAnsi="Open Sans" w:cs="Open Sans"/>
            <w:i/>
            <w:color w:val="1155CC"/>
            <w:sz w:val="20"/>
            <w:szCs w:val="20"/>
            <w:u w:val="single"/>
          </w:rPr>
          <w:t>Finding the Balance: Creating an Open, Sustainable Future for OU</w:t>
        </w:r>
      </w:hyperlink>
      <w:r>
        <w:rPr>
          <w:rFonts w:ascii="Open Sans" w:eastAsia="Open Sans" w:hAnsi="Open Sans" w:cs="Open Sans"/>
          <w:sz w:val="20"/>
          <w:szCs w:val="20"/>
        </w:rPr>
        <w:t xml:space="preserve">” and viewing the associated </w:t>
      </w:r>
      <w:hyperlink r:id="rId9">
        <w:r>
          <w:rPr>
            <w:rFonts w:ascii="Open Sans" w:eastAsia="Open Sans" w:hAnsi="Open Sans" w:cs="Open Sans"/>
            <w:color w:val="1155CC"/>
            <w:sz w:val="20"/>
            <w:szCs w:val="20"/>
            <w:u w:val="single"/>
          </w:rPr>
          <w:t>presentation video</w:t>
        </w:r>
      </w:hyperlink>
      <w:r>
        <w:rPr>
          <w:rFonts w:ascii="Open Sans" w:eastAsia="Open Sans" w:hAnsi="Open Sans" w:cs="Open Sans"/>
          <w:sz w:val="20"/>
          <w:szCs w:val="20"/>
        </w:rPr>
        <w:t>.</w:t>
      </w:r>
    </w:p>
    <w:p w14:paraId="00000024" w14:textId="77777777" w:rsidR="004E2FD8" w:rsidRDefault="00410E1D">
      <w:pPr>
        <w:numPr>
          <w:ilvl w:val="1"/>
          <w:numId w:val="4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 xml:space="preserve">Read the “required” and “optional” articles and resources under the </w:t>
      </w:r>
      <w:hyperlink r:id="rId10" w:anchor="Open%20Access%20Policies">
        <w:r>
          <w:rPr>
            <w:rFonts w:ascii="Open Sans" w:eastAsia="Open Sans" w:hAnsi="Open Sans" w:cs="Open Sans"/>
            <w:color w:val="1155CC"/>
            <w:sz w:val="20"/>
            <w:szCs w:val="20"/>
            <w:u w:val="single"/>
          </w:rPr>
          <w:t>Open Access Policy heading</w:t>
        </w:r>
      </w:hyperlink>
      <w:r>
        <w:rPr>
          <w:rFonts w:ascii="Open Sans" w:eastAsia="Open Sans" w:hAnsi="Open Sans" w:cs="Open Sans"/>
          <w:sz w:val="20"/>
          <w:szCs w:val="20"/>
        </w:rPr>
        <w:t xml:space="preserve"> on the ULC Scholarly Communication Taskforce’s </w:t>
      </w:r>
      <w:hyperlink r:id="rId11">
        <w:r>
          <w:rPr>
            <w:rFonts w:ascii="Open Sans" w:eastAsia="Open Sans" w:hAnsi="Open Sans" w:cs="Open Sans"/>
            <w:color w:val="1155CC"/>
            <w:sz w:val="20"/>
            <w:szCs w:val="20"/>
            <w:u w:val="single"/>
          </w:rPr>
          <w:t>Readings and Resources</w:t>
        </w:r>
      </w:hyperlink>
      <w:r>
        <w:rPr>
          <w:rFonts w:ascii="Open Sans" w:eastAsia="Open Sans" w:hAnsi="Open Sans" w:cs="Open Sans"/>
          <w:sz w:val="20"/>
          <w:szCs w:val="20"/>
        </w:rPr>
        <w:t xml:space="preserve"> web page.</w:t>
      </w:r>
    </w:p>
    <w:p w14:paraId="00000025" w14:textId="77777777" w:rsidR="004E2FD8" w:rsidRDefault="004E2FD8">
      <w:pPr>
        <w:spacing w:line="240" w:lineRule="auto"/>
        <w:ind w:left="720"/>
        <w:rPr>
          <w:rFonts w:ascii="Open Sans" w:eastAsia="Open Sans" w:hAnsi="Open Sans" w:cs="Open Sans"/>
          <w:sz w:val="20"/>
          <w:szCs w:val="20"/>
        </w:rPr>
      </w:pPr>
    </w:p>
    <w:p w14:paraId="00000026" w14:textId="77777777" w:rsidR="004E2FD8" w:rsidRDefault="00410E1D">
      <w:pPr>
        <w:numPr>
          <w:ilvl w:val="0"/>
          <w:numId w:val="4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  <w:u w:val="single"/>
        </w:rPr>
        <w:t>Week 3: September 5 – 11</w:t>
      </w:r>
    </w:p>
    <w:p w14:paraId="00000027" w14:textId="77777777" w:rsidR="004E2FD8" w:rsidRDefault="00410E1D">
      <w:pPr>
        <w:numPr>
          <w:ilvl w:val="1"/>
          <w:numId w:val="4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Continue readings from Week 2</w:t>
      </w:r>
    </w:p>
    <w:p w14:paraId="00000028" w14:textId="77777777" w:rsidR="004E2FD8" w:rsidRDefault="004E2FD8">
      <w:pPr>
        <w:spacing w:line="240" w:lineRule="auto"/>
        <w:rPr>
          <w:rFonts w:ascii="Open Sans" w:eastAsia="Open Sans" w:hAnsi="Open Sans" w:cs="Open Sans"/>
          <w:sz w:val="20"/>
          <w:szCs w:val="20"/>
        </w:rPr>
      </w:pPr>
    </w:p>
    <w:p w14:paraId="00000029" w14:textId="77777777" w:rsidR="004E2FD8" w:rsidRDefault="00410E1D">
      <w:pPr>
        <w:numPr>
          <w:ilvl w:val="0"/>
          <w:numId w:val="4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  <w:u w:val="single"/>
        </w:rPr>
        <w:t>Week 4: September 12 – 18</w:t>
      </w:r>
    </w:p>
    <w:p w14:paraId="0000002A" w14:textId="77777777" w:rsidR="004E2FD8" w:rsidRDefault="00410E1D">
      <w:pPr>
        <w:numPr>
          <w:ilvl w:val="1"/>
          <w:numId w:val="4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 xml:space="preserve">Research the existence and language of open access policies, where they </w:t>
      </w:r>
      <w:proofErr w:type="gramStart"/>
      <w:r>
        <w:rPr>
          <w:rFonts w:ascii="Open Sans" w:eastAsia="Open Sans" w:hAnsi="Open Sans" w:cs="Open Sans"/>
          <w:sz w:val="20"/>
          <w:szCs w:val="20"/>
        </w:rPr>
        <w:t>exist,  at</w:t>
      </w:r>
      <w:proofErr w:type="gramEnd"/>
      <w:r>
        <w:rPr>
          <w:rFonts w:ascii="Open Sans" w:eastAsia="Open Sans" w:hAnsi="Open Sans" w:cs="Open Sans"/>
          <w:sz w:val="20"/>
          <w:szCs w:val="20"/>
        </w:rPr>
        <w:t xml:space="preserve"> OU’s peer and aspirational institutions (specific institutions subject to change):</w:t>
      </w:r>
    </w:p>
    <w:p w14:paraId="0000002B" w14:textId="77777777" w:rsidR="004E2FD8" w:rsidRDefault="004E2FD8">
      <w:pPr>
        <w:spacing w:line="240" w:lineRule="auto"/>
        <w:ind w:left="1440" w:hanging="360"/>
        <w:rPr>
          <w:rFonts w:ascii="Open Sans" w:eastAsia="Open Sans" w:hAnsi="Open Sans" w:cs="Open Sans"/>
          <w:sz w:val="20"/>
          <w:szCs w:val="20"/>
        </w:rPr>
        <w:sectPr w:rsidR="004E2FD8">
          <w:pgSz w:w="12240" w:h="15840"/>
          <w:pgMar w:top="1440" w:right="1440" w:bottom="1440" w:left="1440" w:header="720" w:footer="720" w:gutter="0"/>
          <w:pgNumType w:start="1"/>
          <w:cols w:space="720"/>
        </w:sectPr>
      </w:pPr>
    </w:p>
    <w:p w14:paraId="0000002C" w14:textId="77777777" w:rsidR="004E2FD8" w:rsidRDefault="00410E1D">
      <w:pPr>
        <w:numPr>
          <w:ilvl w:val="1"/>
          <w:numId w:val="4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University of Arizona</w:t>
      </w:r>
    </w:p>
    <w:p w14:paraId="0000002D" w14:textId="77777777" w:rsidR="004E2FD8" w:rsidRDefault="00410E1D">
      <w:pPr>
        <w:numPr>
          <w:ilvl w:val="1"/>
          <w:numId w:val="4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University of Colorado</w:t>
      </w:r>
    </w:p>
    <w:p w14:paraId="0000002E" w14:textId="77777777" w:rsidR="004E2FD8" w:rsidRDefault="00410E1D">
      <w:pPr>
        <w:numPr>
          <w:ilvl w:val="1"/>
          <w:numId w:val="4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Columbia University</w:t>
      </w:r>
    </w:p>
    <w:p w14:paraId="0000002F" w14:textId="77777777" w:rsidR="004E2FD8" w:rsidRDefault="00410E1D">
      <w:pPr>
        <w:numPr>
          <w:ilvl w:val="1"/>
          <w:numId w:val="4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Cornell University</w:t>
      </w:r>
    </w:p>
    <w:p w14:paraId="00000030" w14:textId="77777777" w:rsidR="004E2FD8" w:rsidRDefault="00410E1D">
      <w:pPr>
        <w:numPr>
          <w:ilvl w:val="1"/>
          <w:numId w:val="4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University of Florida</w:t>
      </w:r>
    </w:p>
    <w:p w14:paraId="00000031" w14:textId="77777777" w:rsidR="004E2FD8" w:rsidRDefault="00410E1D">
      <w:pPr>
        <w:numPr>
          <w:ilvl w:val="1"/>
          <w:numId w:val="4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Indiana University</w:t>
      </w:r>
    </w:p>
    <w:p w14:paraId="00000032" w14:textId="77777777" w:rsidR="004E2FD8" w:rsidRDefault="00410E1D">
      <w:pPr>
        <w:numPr>
          <w:ilvl w:val="1"/>
          <w:numId w:val="4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Iowa State University</w:t>
      </w:r>
    </w:p>
    <w:p w14:paraId="00000033" w14:textId="77777777" w:rsidR="004E2FD8" w:rsidRDefault="00410E1D">
      <w:pPr>
        <w:numPr>
          <w:ilvl w:val="1"/>
          <w:numId w:val="4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University of Kansas</w:t>
      </w:r>
    </w:p>
    <w:p w14:paraId="00000034" w14:textId="77777777" w:rsidR="004E2FD8" w:rsidRDefault="00410E1D">
      <w:pPr>
        <w:numPr>
          <w:ilvl w:val="1"/>
          <w:numId w:val="4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University of Minnesota</w:t>
      </w:r>
    </w:p>
    <w:p w14:paraId="00000035" w14:textId="77777777" w:rsidR="004E2FD8" w:rsidRDefault="00410E1D">
      <w:pPr>
        <w:numPr>
          <w:ilvl w:val="1"/>
          <w:numId w:val="4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University of Missouri</w:t>
      </w:r>
    </w:p>
    <w:p w14:paraId="00000036" w14:textId="77777777" w:rsidR="004E2FD8" w:rsidRDefault="00410E1D">
      <w:pPr>
        <w:numPr>
          <w:ilvl w:val="1"/>
          <w:numId w:val="4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University of Nebraska</w:t>
      </w:r>
    </w:p>
    <w:p w14:paraId="00000037" w14:textId="77777777" w:rsidR="004E2FD8" w:rsidRDefault="00410E1D">
      <w:pPr>
        <w:numPr>
          <w:ilvl w:val="1"/>
          <w:numId w:val="4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North Carolina State University</w:t>
      </w:r>
    </w:p>
    <w:p w14:paraId="00000038" w14:textId="77777777" w:rsidR="004E2FD8" w:rsidRDefault="00410E1D">
      <w:pPr>
        <w:numPr>
          <w:ilvl w:val="1"/>
          <w:numId w:val="4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Ohio State University</w:t>
      </w:r>
    </w:p>
    <w:p w14:paraId="00000039" w14:textId="77777777" w:rsidR="004E2FD8" w:rsidRDefault="00410E1D">
      <w:pPr>
        <w:numPr>
          <w:ilvl w:val="1"/>
          <w:numId w:val="4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Oklahoma State University</w:t>
      </w:r>
    </w:p>
    <w:p w14:paraId="0000003A" w14:textId="77777777" w:rsidR="004E2FD8" w:rsidRDefault="00410E1D">
      <w:pPr>
        <w:numPr>
          <w:ilvl w:val="1"/>
          <w:numId w:val="4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University of Texas</w:t>
      </w:r>
    </w:p>
    <w:p w14:paraId="0000003B" w14:textId="77777777" w:rsidR="004E2FD8" w:rsidRDefault="00410E1D">
      <w:pPr>
        <w:numPr>
          <w:ilvl w:val="1"/>
          <w:numId w:val="4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Texas A&amp;M</w:t>
      </w:r>
    </w:p>
    <w:p w14:paraId="0000003C" w14:textId="77777777" w:rsidR="004E2FD8" w:rsidRDefault="00410E1D">
      <w:pPr>
        <w:numPr>
          <w:ilvl w:val="1"/>
          <w:numId w:val="4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Texas Tech University</w:t>
      </w:r>
    </w:p>
    <w:p w14:paraId="0000003D" w14:textId="77777777" w:rsidR="004E2FD8" w:rsidRDefault="00410E1D">
      <w:pPr>
        <w:numPr>
          <w:ilvl w:val="1"/>
          <w:numId w:val="4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University of Virginia</w:t>
      </w:r>
    </w:p>
    <w:p w14:paraId="0000003E" w14:textId="77777777" w:rsidR="004E2FD8" w:rsidRDefault="00410E1D">
      <w:pPr>
        <w:numPr>
          <w:ilvl w:val="1"/>
          <w:numId w:val="4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Virginia Tech University</w:t>
      </w:r>
    </w:p>
    <w:p w14:paraId="0000003F" w14:textId="77777777" w:rsidR="004E2FD8" w:rsidRDefault="00410E1D">
      <w:pPr>
        <w:numPr>
          <w:ilvl w:val="1"/>
          <w:numId w:val="4"/>
        </w:numPr>
        <w:spacing w:line="240" w:lineRule="auto"/>
        <w:rPr>
          <w:rFonts w:ascii="Open Sans" w:eastAsia="Open Sans" w:hAnsi="Open Sans" w:cs="Open Sans"/>
          <w:sz w:val="20"/>
          <w:szCs w:val="20"/>
        </w:rPr>
        <w:sectPr w:rsidR="004E2FD8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4320" w:space="720"/>
            <w:col w:w="4320" w:space="0"/>
          </w:cols>
        </w:sectPr>
      </w:pPr>
      <w:r>
        <w:rPr>
          <w:rFonts w:ascii="Open Sans" w:eastAsia="Open Sans" w:hAnsi="Open Sans" w:cs="Open Sans"/>
          <w:sz w:val="20"/>
          <w:szCs w:val="20"/>
        </w:rPr>
        <w:t>University of Washington</w:t>
      </w:r>
    </w:p>
    <w:p w14:paraId="00000040" w14:textId="77777777" w:rsidR="004E2FD8" w:rsidRDefault="004E2FD8">
      <w:pPr>
        <w:spacing w:line="240" w:lineRule="auto"/>
        <w:rPr>
          <w:rFonts w:ascii="Open Sans" w:eastAsia="Open Sans" w:hAnsi="Open Sans" w:cs="Open Sans"/>
          <w:sz w:val="20"/>
          <w:szCs w:val="20"/>
        </w:rPr>
      </w:pPr>
    </w:p>
    <w:p w14:paraId="00000041" w14:textId="77777777" w:rsidR="004E2FD8" w:rsidRDefault="00410E1D">
      <w:pPr>
        <w:numPr>
          <w:ilvl w:val="0"/>
          <w:numId w:val="4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  <w:u w:val="single"/>
        </w:rPr>
        <w:t>Week 5: September 19 – 25</w:t>
      </w:r>
    </w:p>
    <w:p w14:paraId="00000042" w14:textId="77777777" w:rsidR="004E2FD8" w:rsidRDefault="00410E1D">
      <w:pPr>
        <w:numPr>
          <w:ilvl w:val="1"/>
          <w:numId w:val="4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Continue research from Week 4</w:t>
      </w:r>
    </w:p>
    <w:p w14:paraId="00000043" w14:textId="77777777" w:rsidR="004E2FD8" w:rsidRDefault="004E2FD8">
      <w:pPr>
        <w:spacing w:line="240" w:lineRule="auto"/>
        <w:rPr>
          <w:rFonts w:ascii="Open Sans" w:eastAsia="Open Sans" w:hAnsi="Open Sans" w:cs="Open Sans"/>
          <w:sz w:val="20"/>
          <w:szCs w:val="20"/>
        </w:rPr>
      </w:pPr>
    </w:p>
    <w:p w14:paraId="00000044" w14:textId="77777777" w:rsidR="004E2FD8" w:rsidRDefault="00410E1D">
      <w:pPr>
        <w:numPr>
          <w:ilvl w:val="0"/>
          <w:numId w:val="4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  <w:u w:val="single"/>
        </w:rPr>
        <w:t>Week 6: September 26 – October 2</w:t>
      </w:r>
    </w:p>
    <w:p w14:paraId="00000045" w14:textId="77777777" w:rsidR="004E2FD8" w:rsidRDefault="00410E1D">
      <w:pPr>
        <w:numPr>
          <w:ilvl w:val="1"/>
          <w:numId w:val="4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 xml:space="preserve">Become familiar with the </w:t>
      </w:r>
      <w:hyperlink r:id="rId12">
        <w:r>
          <w:rPr>
            <w:rFonts w:ascii="Open Sans" w:eastAsia="Open Sans" w:hAnsi="Open Sans" w:cs="Open Sans"/>
            <w:color w:val="1155CC"/>
            <w:sz w:val="20"/>
            <w:szCs w:val="20"/>
            <w:u w:val="single"/>
          </w:rPr>
          <w:t>Coalition of Open Access Policy Institutions</w:t>
        </w:r>
      </w:hyperlink>
      <w:r>
        <w:rPr>
          <w:rFonts w:ascii="Open Sans" w:eastAsia="Open Sans" w:hAnsi="Open Sans" w:cs="Open Sans"/>
          <w:sz w:val="20"/>
          <w:szCs w:val="20"/>
        </w:rPr>
        <w:t xml:space="preserve"> (COAPI) and the resources available in </w:t>
      </w:r>
      <w:hyperlink r:id="rId13">
        <w:r>
          <w:rPr>
            <w:rFonts w:ascii="Open Sans" w:eastAsia="Open Sans" w:hAnsi="Open Sans" w:cs="Open Sans"/>
            <w:color w:val="1155CC"/>
            <w:sz w:val="20"/>
            <w:szCs w:val="20"/>
            <w:u w:val="single"/>
          </w:rPr>
          <w:t>COAPI’s OA Policy Toolkit</w:t>
        </w:r>
      </w:hyperlink>
      <w:r>
        <w:rPr>
          <w:rFonts w:ascii="Open Sans" w:eastAsia="Open Sans" w:hAnsi="Open Sans" w:cs="Open Sans"/>
          <w:sz w:val="20"/>
          <w:szCs w:val="20"/>
        </w:rPr>
        <w:t>.</w:t>
      </w:r>
    </w:p>
    <w:p w14:paraId="00000046" w14:textId="77777777" w:rsidR="004E2FD8" w:rsidRDefault="004E2FD8">
      <w:pPr>
        <w:spacing w:line="240" w:lineRule="auto"/>
        <w:rPr>
          <w:rFonts w:ascii="Open Sans" w:eastAsia="Open Sans" w:hAnsi="Open Sans" w:cs="Open Sans"/>
          <w:sz w:val="20"/>
          <w:szCs w:val="20"/>
        </w:rPr>
      </w:pPr>
    </w:p>
    <w:p w14:paraId="00000047" w14:textId="77777777" w:rsidR="004E2FD8" w:rsidRDefault="00410E1D">
      <w:pPr>
        <w:numPr>
          <w:ilvl w:val="0"/>
          <w:numId w:val="4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  <w:u w:val="single"/>
        </w:rPr>
        <w:t>Week 7: October 3 – 9</w:t>
      </w:r>
    </w:p>
    <w:p w14:paraId="00000048" w14:textId="77777777" w:rsidR="004E2FD8" w:rsidRDefault="00410E1D">
      <w:pPr>
        <w:numPr>
          <w:ilvl w:val="1"/>
          <w:numId w:val="4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Summarize OA policies at OU’s peer and aspirational institutions (</w:t>
      </w:r>
      <w:proofErr w:type="gramStart"/>
      <w:r>
        <w:rPr>
          <w:rFonts w:ascii="Open Sans" w:eastAsia="Open Sans" w:hAnsi="Open Sans" w:cs="Open Sans"/>
          <w:sz w:val="20"/>
          <w:szCs w:val="20"/>
        </w:rPr>
        <w:t>e.g.</w:t>
      </w:r>
      <w:proofErr w:type="gramEnd"/>
      <w:r>
        <w:rPr>
          <w:rFonts w:ascii="Open Sans" w:eastAsia="Open Sans" w:hAnsi="Open Sans" w:cs="Open Sans"/>
          <w:sz w:val="20"/>
          <w:szCs w:val="20"/>
        </w:rPr>
        <w:t xml:space="preserve"> in a chart, graph, information visualization, etc.) </w:t>
      </w:r>
      <w:r>
        <w:rPr>
          <w:rFonts w:ascii="Open Sans" w:eastAsia="Open Sans" w:hAnsi="Open Sans" w:cs="Open Sans"/>
          <w:b/>
          <w:sz w:val="20"/>
          <w:szCs w:val="20"/>
        </w:rPr>
        <w:t>DUE: 10/11/2021</w:t>
      </w:r>
    </w:p>
    <w:p w14:paraId="00000049" w14:textId="77777777" w:rsidR="004E2FD8" w:rsidRDefault="00410E1D">
      <w:pPr>
        <w:numPr>
          <w:ilvl w:val="1"/>
          <w:numId w:val="4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Begin reading SHAREOK documentation and to better understand IR workflow (requires permissions).</w:t>
      </w:r>
    </w:p>
    <w:p w14:paraId="0000004A" w14:textId="77777777" w:rsidR="004E2FD8" w:rsidRDefault="004E2FD8">
      <w:pPr>
        <w:spacing w:line="240" w:lineRule="auto"/>
        <w:rPr>
          <w:rFonts w:ascii="Open Sans" w:eastAsia="Open Sans" w:hAnsi="Open Sans" w:cs="Open Sans"/>
          <w:sz w:val="20"/>
          <w:szCs w:val="20"/>
        </w:rPr>
      </w:pPr>
    </w:p>
    <w:p w14:paraId="0000004B" w14:textId="77777777" w:rsidR="004E2FD8" w:rsidRDefault="00410E1D">
      <w:pPr>
        <w:numPr>
          <w:ilvl w:val="0"/>
          <w:numId w:val="4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  <w:u w:val="single"/>
        </w:rPr>
        <w:t>Week 8: October 10 – 16</w:t>
      </w:r>
    </w:p>
    <w:p w14:paraId="0000004C" w14:textId="77777777" w:rsidR="004E2FD8" w:rsidRDefault="00410E1D">
      <w:pPr>
        <w:numPr>
          <w:ilvl w:val="1"/>
          <w:numId w:val="4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lastRenderedPageBreak/>
        <w:t>Conduct a literature review and create an annotated bibliography about OA Policy implementation at OU’s peer and aspirational institutions, including:</w:t>
      </w:r>
    </w:p>
    <w:p w14:paraId="0000004D" w14:textId="77777777" w:rsidR="004E2FD8" w:rsidRDefault="00410E1D">
      <w:pPr>
        <w:numPr>
          <w:ilvl w:val="2"/>
          <w:numId w:val="4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Advocacy and passage efforts</w:t>
      </w:r>
    </w:p>
    <w:p w14:paraId="0000004E" w14:textId="77777777" w:rsidR="004E2FD8" w:rsidRDefault="00410E1D">
      <w:pPr>
        <w:numPr>
          <w:ilvl w:val="2"/>
          <w:numId w:val="4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Policy language, including verbiage modifications</w:t>
      </w:r>
    </w:p>
    <w:p w14:paraId="0000004F" w14:textId="77777777" w:rsidR="004E2FD8" w:rsidRDefault="00410E1D">
      <w:pPr>
        <w:numPr>
          <w:ilvl w:val="2"/>
          <w:numId w:val="4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Technological infrastructure and workflows used after policy implementation (</w:t>
      </w:r>
      <w:proofErr w:type="gramStart"/>
      <w:r>
        <w:rPr>
          <w:rFonts w:ascii="Open Sans" w:eastAsia="Open Sans" w:hAnsi="Open Sans" w:cs="Open Sans"/>
          <w:sz w:val="20"/>
          <w:szCs w:val="20"/>
        </w:rPr>
        <w:t>i.e.</w:t>
      </w:r>
      <w:proofErr w:type="gramEnd"/>
      <w:r>
        <w:rPr>
          <w:rFonts w:ascii="Open Sans" w:eastAsia="Open Sans" w:hAnsi="Open Sans" w:cs="Open Sans"/>
          <w:sz w:val="20"/>
          <w:szCs w:val="20"/>
        </w:rPr>
        <w:t xml:space="preserve"> how institutions collect faculty manuscripts; how policy waivers are addressed)</w:t>
      </w:r>
    </w:p>
    <w:p w14:paraId="00000050" w14:textId="77777777" w:rsidR="004E2FD8" w:rsidRDefault="00410E1D">
      <w:pPr>
        <w:numPr>
          <w:ilvl w:val="1"/>
          <w:numId w:val="4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Continue reading SHAREOK documentation (requires permissions)</w:t>
      </w:r>
    </w:p>
    <w:p w14:paraId="00000051" w14:textId="77777777" w:rsidR="004E2FD8" w:rsidRDefault="004E2FD8">
      <w:pPr>
        <w:spacing w:line="240" w:lineRule="auto"/>
        <w:rPr>
          <w:rFonts w:ascii="Open Sans" w:eastAsia="Open Sans" w:hAnsi="Open Sans" w:cs="Open Sans"/>
          <w:sz w:val="20"/>
          <w:szCs w:val="20"/>
        </w:rPr>
      </w:pPr>
    </w:p>
    <w:p w14:paraId="00000052" w14:textId="77777777" w:rsidR="004E2FD8" w:rsidRDefault="00410E1D">
      <w:pPr>
        <w:numPr>
          <w:ilvl w:val="0"/>
          <w:numId w:val="4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  <w:u w:val="single"/>
        </w:rPr>
        <w:t>Week 9: October 17 – 23</w:t>
      </w:r>
    </w:p>
    <w:p w14:paraId="00000053" w14:textId="77777777" w:rsidR="004E2FD8" w:rsidRDefault="00410E1D">
      <w:pPr>
        <w:numPr>
          <w:ilvl w:val="1"/>
          <w:numId w:val="4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Continue literature review and annotated bibliography from Week 8</w:t>
      </w:r>
    </w:p>
    <w:p w14:paraId="00000054" w14:textId="77777777" w:rsidR="004E2FD8" w:rsidRDefault="00410E1D">
      <w:pPr>
        <w:numPr>
          <w:ilvl w:val="1"/>
          <w:numId w:val="4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Continue reading SHAREOK documentation and conduct practice uploads in SHAREOK Test (requires permissions).</w:t>
      </w:r>
    </w:p>
    <w:p w14:paraId="00000055" w14:textId="77777777" w:rsidR="004E2FD8" w:rsidRDefault="004E2FD8">
      <w:pPr>
        <w:spacing w:line="240" w:lineRule="auto"/>
        <w:rPr>
          <w:rFonts w:ascii="Open Sans" w:eastAsia="Open Sans" w:hAnsi="Open Sans" w:cs="Open Sans"/>
          <w:sz w:val="20"/>
          <w:szCs w:val="20"/>
        </w:rPr>
      </w:pPr>
    </w:p>
    <w:p w14:paraId="00000056" w14:textId="77777777" w:rsidR="004E2FD8" w:rsidRDefault="00410E1D">
      <w:pPr>
        <w:numPr>
          <w:ilvl w:val="0"/>
          <w:numId w:val="4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  <w:u w:val="single"/>
        </w:rPr>
        <w:t>Week 10: October 24 – 30</w:t>
      </w:r>
    </w:p>
    <w:p w14:paraId="00000057" w14:textId="77777777" w:rsidR="004E2FD8" w:rsidRDefault="00410E1D">
      <w:pPr>
        <w:numPr>
          <w:ilvl w:val="1"/>
          <w:numId w:val="4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 xml:space="preserve">Continue literature review and annotated bibliography from Weeks 8 and 9. Annotated bibliography </w:t>
      </w:r>
      <w:r>
        <w:rPr>
          <w:rFonts w:ascii="Open Sans" w:eastAsia="Open Sans" w:hAnsi="Open Sans" w:cs="Open Sans"/>
          <w:b/>
          <w:sz w:val="20"/>
          <w:szCs w:val="20"/>
        </w:rPr>
        <w:t>DUE 11/1/2021</w:t>
      </w:r>
    </w:p>
    <w:p w14:paraId="00000058" w14:textId="77777777" w:rsidR="004E2FD8" w:rsidRDefault="004E2FD8">
      <w:pPr>
        <w:spacing w:line="240" w:lineRule="auto"/>
        <w:rPr>
          <w:rFonts w:ascii="Open Sans" w:eastAsia="Open Sans" w:hAnsi="Open Sans" w:cs="Open Sans"/>
          <w:sz w:val="20"/>
          <w:szCs w:val="20"/>
        </w:rPr>
      </w:pPr>
    </w:p>
    <w:p w14:paraId="00000059" w14:textId="77777777" w:rsidR="004E2FD8" w:rsidRDefault="00410E1D">
      <w:pPr>
        <w:numPr>
          <w:ilvl w:val="0"/>
          <w:numId w:val="4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  <w:u w:val="single"/>
        </w:rPr>
        <w:t>Week 11: October 31 – November 6</w:t>
      </w:r>
    </w:p>
    <w:p w14:paraId="0000005A" w14:textId="29599C66" w:rsidR="004E2FD8" w:rsidRDefault="00410E1D">
      <w:pPr>
        <w:numPr>
          <w:ilvl w:val="1"/>
          <w:numId w:val="4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Understand, at a basic level, the ways in which OU Libraries institutional repository workflows operate. This can be accomplished through meetings with 1-3 OU Libraries staff members.</w:t>
      </w:r>
    </w:p>
    <w:p w14:paraId="6DD1BD95" w14:textId="63983AF7" w:rsidR="00410E1D" w:rsidRDefault="00410E1D">
      <w:pPr>
        <w:numPr>
          <w:ilvl w:val="1"/>
          <w:numId w:val="4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Attend and observe a Scholarly Communication Taskforce presentation to an academic department.</w:t>
      </w:r>
    </w:p>
    <w:p w14:paraId="621AEF0B" w14:textId="057B46AB" w:rsidR="006503AA" w:rsidRDefault="006503AA">
      <w:pPr>
        <w:numPr>
          <w:ilvl w:val="1"/>
          <w:numId w:val="4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hAnsi="Open Sans" w:cs="Open Sans"/>
          <w:color w:val="000000"/>
          <w:sz w:val="20"/>
          <w:szCs w:val="20"/>
        </w:rPr>
        <w:t xml:space="preserve">Write summary briefing (2-3 double-spaced pages) on IR workflow processes at OU Libraries/other peer institutions, staff interviews, and how IR’s can serve as central elements in academic libraries. </w:t>
      </w:r>
      <w:r>
        <w:rPr>
          <w:rFonts w:ascii="Open Sans" w:hAnsi="Open Sans" w:cs="Open Sans"/>
          <w:b/>
          <w:bCs/>
          <w:color w:val="000000"/>
          <w:sz w:val="20"/>
          <w:szCs w:val="20"/>
        </w:rPr>
        <w:t>DUE 11/8/2021</w:t>
      </w:r>
    </w:p>
    <w:p w14:paraId="0000005B" w14:textId="77777777" w:rsidR="004E2FD8" w:rsidRDefault="004E2FD8">
      <w:pPr>
        <w:spacing w:line="240" w:lineRule="auto"/>
        <w:rPr>
          <w:rFonts w:ascii="Open Sans" w:eastAsia="Open Sans" w:hAnsi="Open Sans" w:cs="Open Sans"/>
          <w:sz w:val="20"/>
          <w:szCs w:val="20"/>
        </w:rPr>
      </w:pPr>
    </w:p>
    <w:p w14:paraId="0000005C" w14:textId="77777777" w:rsidR="004E2FD8" w:rsidRDefault="00410E1D">
      <w:pPr>
        <w:numPr>
          <w:ilvl w:val="0"/>
          <w:numId w:val="4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  <w:u w:val="single"/>
        </w:rPr>
        <w:t>Week 12: November 7 – 13</w:t>
      </w:r>
    </w:p>
    <w:p w14:paraId="0000005D" w14:textId="77777777" w:rsidR="004E2FD8" w:rsidRDefault="00410E1D">
      <w:pPr>
        <w:numPr>
          <w:ilvl w:val="1"/>
          <w:numId w:val="4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 xml:space="preserve">Conduct interviews (via email, phone, or </w:t>
      </w:r>
      <w:proofErr w:type="gramStart"/>
      <w:r>
        <w:rPr>
          <w:rFonts w:ascii="Open Sans" w:eastAsia="Open Sans" w:hAnsi="Open Sans" w:cs="Open Sans"/>
          <w:sz w:val="20"/>
          <w:szCs w:val="20"/>
        </w:rPr>
        <w:t>Zoom</w:t>
      </w:r>
      <w:proofErr w:type="gramEnd"/>
      <w:r>
        <w:rPr>
          <w:rFonts w:ascii="Open Sans" w:eastAsia="Open Sans" w:hAnsi="Open Sans" w:cs="Open Sans"/>
          <w:sz w:val="20"/>
          <w:szCs w:val="20"/>
        </w:rPr>
        <w:t>) with Scholarly Communication personnel at academic libraries at selected peer and aspirational institutions to discover their advocacy efforts, workflows, assessment efforts, and “lessons learned.”</w:t>
      </w:r>
    </w:p>
    <w:p w14:paraId="0000005E" w14:textId="77777777" w:rsidR="004E2FD8" w:rsidRDefault="004E2FD8">
      <w:pPr>
        <w:spacing w:line="240" w:lineRule="auto"/>
        <w:rPr>
          <w:rFonts w:ascii="Open Sans" w:eastAsia="Open Sans" w:hAnsi="Open Sans" w:cs="Open Sans"/>
          <w:sz w:val="20"/>
          <w:szCs w:val="20"/>
        </w:rPr>
      </w:pPr>
    </w:p>
    <w:p w14:paraId="0000005F" w14:textId="77777777" w:rsidR="004E2FD8" w:rsidRDefault="00410E1D">
      <w:pPr>
        <w:numPr>
          <w:ilvl w:val="0"/>
          <w:numId w:val="4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  <w:u w:val="single"/>
        </w:rPr>
        <w:t>Week 13: November 14 – 20</w:t>
      </w:r>
    </w:p>
    <w:p w14:paraId="00000060" w14:textId="77777777" w:rsidR="004E2FD8" w:rsidRDefault="00410E1D">
      <w:pPr>
        <w:numPr>
          <w:ilvl w:val="1"/>
          <w:numId w:val="4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Continue interviews from Week 12</w:t>
      </w:r>
    </w:p>
    <w:p w14:paraId="00000061" w14:textId="77777777" w:rsidR="004E2FD8" w:rsidRDefault="004E2FD8">
      <w:pPr>
        <w:spacing w:line="240" w:lineRule="auto"/>
        <w:rPr>
          <w:rFonts w:ascii="Open Sans" w:eastAsia="Open Sans" w:hAnsi="Open Sans" w:cs="Open Sans"/>
          <w:sz w:val="20"/>
          <w:szCs w:val="20"/>
        </w:rPr>
      </w:pPr>
    </w:p>
    <w:p w14:paraId="00000062" w14:textId="77777777" w:rsidR="004E2FD8" w:rsidRDefault="00410E1D">
      <w:pPr>
        <w:numPr>
          <w:ilvl w:val="0"/>
          <w:numId w:val="4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  <w:u w:val="single"/>
        </w:rPr>
        <w:t>Weeks 14 – 17+: November 21 – December 15</w:t>
      </w:r>
    </w:p>
    <w:p w14:paraId="00000063" w14:textId="09CA99E3" w:rsidR="004E2FD8" w:rsidRDefault="00410E1D">
      <w:pPr>
        <w:numPr>
          <w:ilvl w:val="1"/>
          <w:numId w:val="4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 xml:space="preserve">Prepare a report that recommends advocacy and outreach strategies; identify items missing from the SCTF FAQ webpage; best practices for implementation workflows and procedures; and an assessment strategy for open access policy implementation, based on an evaluation of information gathered during research. </w:t>
      </w:r>
      <w:r>
        <w:rPr>
          <w:rFonts w:ascii="Open Sans" w:eastAsia="Open Sans" w:hAnsi="Open Sans" w:cs="Open Sans"/>
          <w:b/>
          <w:sz w:val="20"/>
          <w:szCs w:val="20"/>
        </w:rPr>
        <w:t>DUE 12/13/2021</w:t>
      </w:r>
    </w:p>
    <w:p w14:paraId="00000064" w14:textId="77777777" w:rsidR="004E2FD8" w:rsidRDefault="00410E1D">
      <w:pPr>
        <w:numPr>
          <w:ilvl w:val="1"/>
          <w:numId w:val="4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 xml:space="preserve">Write a short (1000 word maximum) reflection about your experiences, thoughts, and feelings about the Open Access Policy internship. </w:t>
      </w:r>
      <w:r>
        <w:rPr>
          <w:rFonts w:ascii="Open Sans" w:eastAsia="Open Sans" w:hAnsi="Open Sans" w:cs="Open Sans"/>
          <w:b/>
          <w:sz w:val="20"/>
          <w:szCs w:val="20"/>
        </w:rPr>
        <w:t>DUE 12/15/2021</w:t>
      </w:r>
    </w:p>
    <w:p w14:paraId="00000065" w14:textId="77777777" w:rsidR="004E2FD8" w:rsidRDefault="004E2FD8">
      <w:pPr>
        <w:spacing w:line="240" w:lineRule="auto"/>
      </w:pPr>
    </w:p>
    <w:p w14:paraId="00000066" w14:textId="77777777" w:rsidR="004E2FD8" w:rsidRDefault="004E2FD8">
      <w:pPr>
        <w:spacing w:line="240" w:lineRule="auto"/>
      </w:pPr>
    </w:p>
    <w:sectPr w:rsidR="004E2FD8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14F29"/>
    <w:multiLevelType w:val="multilevel"/>
    <w:tmpl w:val="21540E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A0B69BA"/>
    <w:multiLevelType w:val="multilevel"/>
    <w:tmpl w:val="C47EB4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D041D00"/>
    <w:multiLevelType w:val="multilevel"/>
    <w:tmpl w:val="9F2870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07E5BD1"/>
    <w:multiLevelType w:val="multilevel"/>
    <w:tmpl w:val="41C6C0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FD8"/>
    <w:rsid w:val="001E6032"/>
    <w:rsid w:val="00410E1D"/>
    <w:rsid w:val="004E2FD8"/>
    <w:rsid w:val="00647EC0"/>
    <w:rsid w:val="006503AA"/>
    <w:rsid w:val="00925DD7"/>
    <w:rsid w:val="00AD0057"/>
    <w:rsid w:val="00B470A7"/>
    <w:rsid w:val="00C03A1E"/>
    <w:rsid w:val="00C85C64"/>
    <w:rsid w:val="00F83A53"/>
    <w:rsid w:val="00F8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02F51"/>
  <w15:docId w15:val="{FE6E1136-EBF6-6F4C-9F65-21C2676FF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braries.ou.edu/content/ulc-sctf-report-presentation-and-slide-deck" TargetMode="External"/><Relationship Id="rId13" Type="http://schemas.openxmlformats.org/officeDocument/2006/relationships/hyperlink" Target="https://osf.io/vhw6d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braries.ou.edu/content/university-libraries-committee-%E2%80%93-scholarly-communication-taskforce" TargetMode="External"/><Relationship Id="rId12" Type="http://schemas.openxmlformats.org/officeDocument/2006/relationships/hyperlink" Target="https://sparcopen.org/coap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odbean.com/media/share/pb-c8ydh-9e98af" TargetMode="External"/><Relationship Id="rId11" Type="http://schemas.openxmlformats.org/officeDocument/2006/relationships/hyperlink" Target="https://libraries.ou.edu/content/scholarly-communication-taskforce-readings-and-resources" TargetMode="External"/><Relationship Id="rId5" Type="http://schemas.openxmlformats.org/officeDocument/2006/relationships/hyperlink" Target="https://mitpress.mit.edu/books/open-access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libraries.ou.edu/content/scholarly-communication-taskforce-readings-and-resourc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ymedia.ou.edu/media/Finding+The+BalanceA+Creating+an+Open%2C+Sustainable+Future+for+OU/1_aji26t8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Rupp Serrano, Karen J.</cp:lastModifiedBy>
  <cp:revision>2</cp:revision>
  <dcterms:created xsi:type="dcterms:W3CDTF">2022-01-14T18:36:00Z</dcterms:created>
  <dcterms:modified xsi:type="dcterms:W3CDTF">2022-01-14T18:36:00Z</dcterms:modified>
</cp:coreProperties>
</file>